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numPr>
          <w:ilvl w:val="0"/>
          <w:numId w:val="0"/>
        </w:numPr>
        <w:bidi w:val="0"/>
        <w:ind w:leftChars="0"/>
        <w:jc w:val="center"/>
        <w:rPr>
          <w:rFonts w:hint="eastAsia"/>
        </w:rPr>
      </w:pPr>
      <w:bookmarkStart w:id="1" w:name="_GoBack"/>
      <w:bookmarkEnd w:id="1"/>
      <w:bookmarkStart w:id="0" w:name="_Toc10845"/>
      <w:r>
        <w:rPr>
          <w:rFonts w:hint="eastAsia"/>
        </w:rPr>
        <w:t>云冈区</w:t>
      </w:r>
      <w:r>
        <w:rPr>
          <w:rFonts w:hint="eastAsia"/>
          <w:lang w:eastAsia="zh-CN"/>
        </w:rPr>
        <w:t>能源</w:t>
      </w:r>
      <w:r>
        <w:rPr>
          <w:rFonts w:hint="eastAsia"/>
        </w:rPr>
        <w:t>领域基层政务公开标准目录</w:t>
      </w:r>
      <w:bookmarkEnd w:id="0"/>
    </w:p>
    <w:tbl>
      <w:tblPr>
        <w:tblStyle w:val="22"/>
        <w:tblW w:w="4997" w:type="pct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55"/>
        <w:gridCol w:w="1005"/>
        <w:gridCol w:w="806"/>
        <w:gridCol w:w="2438"/>
        <w:gridCol w:w="1187"/>
        <w:gridCol w:w="831"/>
        <w:gridCol w:w="761"/>
        <w:gridCol w:w="2765"/>
        <w:gridCol w:w="252"/>
        <w:gridCol w:w="358"/>
        <w:gridCol w:w="316"/>
        <w:gridCol w:w="439"/>
        <w:gridCol w:w="400"/>
        <w:gridCol w:w="473"/>
        <w:gridCol w:w="1294"/>
      </w:tblGrid>
      <w:tr>
        <w:trPr>
          <w:trHeight w:val="23" w:hRule="atLeast"/>
          <w:jc w:val="center"/>
        </w:trPr>
        <w:tc>
          <w:tcPr>
            <w:tcW w:w="23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359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 w:val="22"/>
                <w:szCs w:val="22"/>
                <w:lang w:bidi="ar"/>
              </w:rPr>
              <w:t>公开事项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/>
                <w:sz w:val="22"/>
                <w:szCs w:val="22"/>
              </w:rPr>
            </w:pPr>
          </w:p>
        </w:tc>
        <w:tc>
          <w:tcPr>
            <w:tcW w:w="28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 w:val="22"/>
                <w:szCs w:val="22"/>
                <w:lang w:bidi="ar"/>
              </w:rPr>
              <w:t>公开内容（要素）</w:t>
            </w:r>
          </w:p>
        </w:tc>
        <w:tc>
          <w:tcPr>
            <w:tcW w:w="87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 w:val="22"/>
                <w:szCs w:val="22"/>
                <w:lang w:bidi="ar"/>
              </w:rPr>
              <w:t>公开依据</w:t>
            </w:r>
          </w:p>
        </w:tc>
        <w:tc>
          <w:tcPr>
            <w:tcW w:w="42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 w:val="22"/>
                <w:szCs w:val="22"/>
                <w:lang w:bidi="ar"/>
              </w:rPr>
              <w:t>公开时限</w:t>
            </w:r>
          </w:p>
        </w:tc>
        <w:tc>
          <w:tcPr>
            <w:tcW w:w="29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 w:val="22"/>
                <w:szCs w:val="22"/>
                <w:lang w:bidi="ar"/>
              </w:rPr>
              <w:t>公开主体</w:t>
            </w:r>
          </w:p>
        </w:tc>
        <w:tc>
          <w:tcPr>
            <w:tcW w:w="27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 w:val="22"/>
                <w:szCs w:val="22"/>
                <w:lang w:bidi="ar"/>
              </w:rPr>
              <w:t>责任股（室）</w:t>
            </w:r>
          </w:p>
        </w:tc>
        <w:tc>
          <w:tcPr>
            <w:tcW w:w="98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 w:val="22"/>
                <w:szCs w:val="22"/>
                <w:lang w:bidi="ar"/>
              </w:rPr>
              <w:t>公开渠道和载体</w:t>
            </w:r>
          </w:p>
        </w:tc>
        <w:tc>
          <w:tcPr>
            <w:tcW w:w="21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 w:val="22"/>
                <w:szCs w:val="22"/>
                <w:lang w:bidi="ar"/>
              </w:rPr>
              <w:t>公开对象</w:t>
            </w:r>
          </w:p>
        </w:tc>
        <w:tc>
          <w:tcPr>
            <w:tcW w:w="2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 w:val="22"/>
                <w:szCs w:val="22"/>
                <w:lang w:bidi="ar"/>
              </w:rPr>
              <w:t>公开方式</w:t>
            </w:r>
          </w:p>
        </w:tc>
        <w:tc>
          <w:tcPr>
            <w:tcW w:w="31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 w:val="22"/>
                <w:szCs w:val="22"/>
                <w:lang w:bidi="ar"/>
              </w:rPr>
              <w:t>公开层级</w:t>
            </w:r>
          </w:p>
        </w:tc>
        <w:tc>
          <w:tcPr>
            <w:tcW w:w="46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 w:val="21"/>
                <w:szCs w:val="21"/>
                <w:lang w:bidi="ar"/>
              </w:rPr>
              <w:t>咨询及监督</w:t>
            </w:r>
            <w:r>
              <w:rPr>
                <w:rFonts w:hint="eastAsia" w:ascii="黑体" w:hAnsi="黑体" w:eastAsia="黑体" w:cs="黑体"/>
                <w:b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黑体" w:hAnsi="黑体" w:eastAsia="黑体" w:cs="黑体"/>
                <w:b/>
                <w:kern w:val="0"/>
                <w:sz w:val="21"/>
                <w:szCs w:val="21"/>
                <w:lang w:bidi="ar"/>
              </w:rPr>
              <w:t>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23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 w:val="22"/>
                <w:szCs w:val="22"/>
              </w:rPr>
            </w:pPr>
          </w:p>
        </w:tc>
        <w:tc>
          <w:tcPr>
            <w:tcW w:w="359" w:type="pct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/>
                <w:sz w:val="22"/>
                <w:szCs w:val="22"/>
              </w:rPr>
            </w:pPr>
          </w:p>
        </w:tc>
        <w:tc>
          <w:tcPr>
            <w:tcW w:w="2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 w:val="22"/>
                <w:szCs w:val="22"/>
              </w:rPr>
            </w:pPr>
          </w:p>
        </w:tc>
        <w:tc>
          <w:tcPr>
            <w:tcW w:w="87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 w:val="22"/>
                <w:szCs w:val="22"/>
              </w:rPr>
            </w:pPr>
          </w:p>
        </w:tc>
        <w:tc>
          <w:tcPr>
            <w:tcW w:w="4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 w:val="22"/>
                <w:szCs w:val="22"/>
              </w:rPr>
            </w:pPr>
          </w:p>
        </w:tc>
        <w:tc>
          <w:tcPr>
            <w:tcW w:w="2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 w:val="22"/>
                <w:szCs w:val="22"/>
              </w:rPr>
            </w:pPr>
          </w:p>
        </w:tc>
        <w:tc>
          <w:tcPr>
            <w:tcW w:w="2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 w:val="22"/>
                <w:szCs w:val="22"/>
              </w:rPr>
            </w:pPr>
          </w:p>
        </w:tc>
        <w:tc>
          <w:tcPr>
            <w:tcW w:w="9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 w:val="22"/>
                <w:szCs w:val="22"/>
              </w:rPr>
            </w:pPr>
          </w:p>
        </w:tc>
        <w:tc>
          <w:tcPr>
            <w:tcW w:w="90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 w:val="22"/>
                <w:szCs w:val="22"/>
                <w:lang w:bidi="ar"/>
              </w:rPr>
              <w:t>全社会</w:t>
            </w:r>
          </w:p>
        </w:tc>
        <w:tc>
          <w:tcPr>
            <w:tcW w:w="128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 w:val="22"/>
                <w:szCs w:val="22"/>
                <w:lang w:bidi="ar"/>
              </w:rPr>
              <w:t>特定群 众</w:t>
            </w:r>
          </w:p>
        </w:tc>
        <w:tc>
          <w:tcPr>
            <w:tcW w:w="113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 w:val="22"/>
                <w:szCs w:val="22"/>
                <w:lang w:bidi="ar"/>
              </w:rPr>
              <w:t>主动</w:t>
            </w:r>
          </w:p>
        </w:tc>
        <w:tc>
          <w:tcPr>
            <w:tcW w:w="157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 w:val="22"/>
                <w:szCs w:val="22"/>
                <w:lang w:bidi="ar"/>
              </w:rPr>
              <w:t>依申请公开</w:t>
            </w:r>
          </w:p>
        </w:tc>
        <w:tc>
          <w:tcPr>
            <w:tcW w:w="143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 w:val="22"/>
                <w:szCs w:val="22"/>
                <w:lang w:bidi="ar"/>
              </w:rPr>
              <w:t>县级</w:t>
            </w:r>
          </w:p>
        </w:tc>
        <w:tc>
          <w:tcPr>
            <w:tcW w:w="169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 w:val="22"/>
                <w:szCs w:val="22"/>
                <w:lang w:bidi="ar"/>
              </w:rPr>
              <w:t>乡、村级</w:t>
            </w:r>
          </w:p>
        </w:tc>
        <w:tc>
          <w:tcPr>
            <w:tcW w:w="46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2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u w:val="none"/>
              </w:rPr>
              <w:t>1</w:t>
            </w:r>
          </w:p>
        </w:tc>
        <w:tc>
          <w:tcPr>
            <w:tcW w:w="359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仿宋" w:eastAsia="仿宋" w:cs="仿宋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u w:val="none"/>
                <w:lang w:eastAsia="zh-CN"/>
              </w:rPr>
              <w:t>云冈区电力企业</w:t>
            </w:r>
            <w:r>
              <w:rPr>
                <w:rFonts w:hint="eastAsia" w:ascii="仿宋" w:hAnsi="仿宋" w:eastAsia="仿宋" w:cs="仿宋"/>
                <w:sz w:val="21"/>
                <w:szCs w:val="21"/>
                <w:u w:val="none"/>
                <w:lang w:val="en-US" w:eastAsia="zh-CN"/>
              </w:rPr>
              <w:t>2021年度分级分类安全监管认定等级公示</w:t>
            </w:r>
          </w:p>
        </w:tc>
        <w:tc>
          <w:tcPr>
            <w:tcW w:w="288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u w:val="none"/>
                <w:lang w:eastAsia="zh-CN"/>
              </w:rPr>
              <w:t>云冈区电力企业</w:t>
            </w:r>
            <w:r>
              <w:rPr>
                <w:rFonts w:hint="eastAsia" w:ascii="仿宋" w:hAnsi="仿宋" w:eastAsia="仿宋" w:cs="仿宋"/>
                <w:sz w:val="21"/>
                <w:szCs w:val="21"/>
                <w:u w:val="none"/>
                <w:lang w:val="en-US" w:eastAsia="zh-CN"/>
              </w:rPr>
              <w:t>2021年度分级分类安全监管认定等级公示结果</w:t>
            </w:r>
            <w:r>
              <w:rPr>
                <w:rFonts w:hint="eastAsia" w:ascii="仿宋" w:hAnsi="仿宋" w:eastAsia="仿宋" w:cs="仿宋"/>
                <w:sz w:val="21"/>
                <w:szCs w:val="21"/>
                <w:u w:val="none"/>
              </w:rPr>
              <w:t>等</w:t>
            </w:r>
          </w:p>
        </w:tc>
        <w:tc>
          <w:tcPr>
            <w:tcW w:w="871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u w:val="none"/>
              </w:rPr>
              <w:t>《</w:t>
            </w:r>
            <w:r>
              <w:rPr>
                <w:rFonts w:hint="eastAsia" w:ascii="仿宋" w:hAnsi="仿宋" w:eastAsia="仿宋" w:cs="仿宋"/>
                <w:sz w:val="21"/>
                <w:szCs w:val="21"/>
                <w:u w:val="none"/>
                <w:lang w:eastAsia="zh-CN"/>
              </w:rPr>
              <w:t>大同市电力企业分级分类安全监管实施细则（试行）</w:t>
            </w:r>
            <w:r>
              <w:rPr>
                <w:rFonts w:hint="eastAsia" w:ascii="仿宋" w:hAnsi="仿宋" w:eastAsia="仿宋" w:cs="仿宋"/>
                <w:sz w:val="21"/>
                <w:szCs w:val="21"/>
                <w:u w:val="none"/>
              </w:rPr>
              <w:t>》</w:t>
            </w:r>
          </w:p>
        </w:tc>
        <w:tc>
          <w:tcPr>
            <w:tcW w:w="424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u w:val="none"/>
              </w:rPr>
              <w:t>实时公开</w:t>
            </w:r>
          </w:p>
        </w:tc>
        <w:tc>
          <w:tcPr>
            <w:tcW w:w="297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u w:val="none"/>
              </w:rPr>
              <w:t>云冈区</w:t>
            </w:r>
            <w:r>
              <w:rPr>
                <w:rFonts w:hint="eastAsia" w:ascii="仿宋" w:hAnsi="仿宋" w:eastAsia="仿宋" w:cs="仿宋"/>
                <w:sz w:val="21"/>
                <w:szCs w:val="21"/>
                <w:u w:val="none"/>
                <w:lang w:eastAsia="zh-CN"/>
              </w:rPr>
              <w:t>能源局</w:t>
            </w:r>
          </w:p>
        </w:tc>
        <w:tc>
          <w:tcPr>
            <w:tcW w:w="272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u w:val="none"/>
                <w:lang w:eastAsia="zh-CN"/>
              </w:rPr>
              <w:t>能源</w:t>
            </w:r>
            <w:r>
              <w:rPr>
                <w:rFonts w:hint="eastAsia" w:ascii="仿宋" w:hAnsi="仿宋" w:eastAsia="仿宋" w:cs="仿宋"/>
                <w:sz w:val="21"/>
                <w:szCs w:val="21"/>
                <w:u w:val="none"/>
              </w:rPr>
              <w:t>股</w:t>
            </w:r>
          </w:p>
        </w:tc>
        <w:tc>
          <w:tcPr>
            <w:tcW w:w="988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u w:val="none"/>
              </w:rPr>
              <w:t>■政务服务中心</w:t>
            </w:r>
          </w:p>
          <w:p>
            <w:pPr>
              <w:widowControl/>
              <w:textAlignment w:val="center"/>
              <w:rPr>
                <w:rFonts w:hint="eastAsia" w:ascii="仿宋" w:hAnsi="仿宋" w:eastAsia="仿宋" w:cs="仿宋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u w:val="none"/>
              </w:rPr>
              <w:t xml:space="preserve"> </w:t>
            </w:r>
          </w:p>
        </w:tc>
        <w:tc>
          <w:tcPr>
            <w:tcW w:w="90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u w:val="none"/>
              </w:rPr>
              <w:t>√</w:t>
            </w:r>
          </w:p>
        </w:tc>
        <w:tc>
          <w:tcPr>
            <w:tcW w:w="128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u w:val="none"/>
              </w:rPr>
            </w:pPr>
          </w:p>
        </w:tc>
        <w:tc>
          <w:tcPr>
            <w:tcW w:w="113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u w:val="none"/>
              </w:rPr>
              <w:t>√</w:t>
            </w:r>
          </w:p>
        </w:tc>
        <w:tc>
          <w:tcPr>
            <w:tcW w:w="157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u w:val="none"/>
              </w:rPr>
            </w:pPr>
          </w:p>
        </w:tc>
        <w:tc>
          <w:tcPr>
            <w:tcW w:w="143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u w:val="none"/>
              </w:rPr>
              <w:t>√</w:t>
            </w:r>
          </w:p>
        </w:tc>
        <w:tc>
          <w:tcPr>
            <w:tcW w:w="169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u w:val="none"/>
              </w:rPr>
            </w:pPr>
          </w:p>
        </w:tc>
        <w:tc>
          <w:tcPr>
            <w:tcW w:w="462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仿宋" w:hAnsi="仿宋" w:eastAsia="仿宋" w:cs="仿宋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u w:val="none"/>
              </w:rPr>
              <w:t>0352-40</w:t>
            </w:r>
            <w:r>
              <w:rPr>
                <w:rFonts w:hint="eastAsia" w:ascii="仿宋" w:hAnsi="仿宋" w:eastAsia="仿宋" w:cs="仿宋"/>
                <w:sz w:val="21"/>
                <w:szCs w:val="21"/>
                <w:u w:val="none"/>
                <w:lang w:val="en-US" w:eastAsia="zh-CN"/>
              </w:rPr>
              <w:t>51660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0A09D91"/>
    <w:multiLevelType w:val="multilevel"/>
    <w:tmpl w:val="90A09D91"/>
    <w:lvl w:ilvl="0" w:tentative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entative="0">
      <w:start w:val="1"/>
      <w:numFmt w:val="decimal"/>
      <w:pStyle w:val="4"/>
      <w:isLgl/>
      <w:lvlText w:val="%1.%2."/>
      <w:lvlJc w:val="left"/>
      <w:pPr>
        <w:ind w:left="113" w:leftChars="0" w:hanging="113" w:firstLineChars="0"/>
      </w:pPr>
      <w:rPr>
        <w:rFonts w:hint="default" w:ascii="宋体" w:hAnsi="宋体" w:eastAsia="宋体" w:cs="宋体"/>
      </w:rPr>
    </w:lvl>
    <w:lvl w:ilvl="2" w:tentative="0">
      <w:start w:val="1"/>
      <w:numFmt w:val="decimal"/>
      <w:pStyle w:val="5"/>
      <w:lvlText w:val="%1.%2.%3.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pStyle w:val="6"/>
      <w:lvlText w:val="%1.%2.%3.%4."/>
      <w:lvlJc w:val="left"/>
      <w:pPr>
        <w:ind w:left="864" w:hanging="864"/>
      </w:pPr>
      <w:rPr>
        <w:rFonts w:hint="default"/>
      </w:rPr>
    </w:lvl>
    <w:lvl w:ilvl="4" w:tentative="0">
      <w:start w:val="1"/>
      <w:numFmt w:val="decimal"/>
      <w:pStyle w:val="7"/>
      <w:lvlText w:val="%1.%2.%3.%4.%5."/>
      <w:lvlJc w:val="left"/>
      <w:pPr>
        <w:ind w:left="1008" w:hanging="1008"/>
      </w:pPr>
      <w:rPr>
        <w:rFonts w:hint="default"/>
      </w:rPr>
    </w:lvl>
    <w:lvl w:ilvl="5" w:tentative="0">
      <w:start w:val="1"/>
      <w:numFmt w:val="decimal"/>
      <w:pStyle w:val="8"/>
      <w:lvlText w:val="%1.%2.%3.%4.%5.%6."/>
      <w:lvlJc w:val="left"/>
      <w:pPr>
        <w:ind w:left="1151" w:hanging="1151"/>
      </w:pPr>
      <w:rPr>
        <w:rFonts w:hint="default"/>
      </w:rPr>
    </w:lvl>
    <w:lvl w:ilvl="6" w:tentative="0">
      <w:start w:val="1"/>
      <w:numFmt w:val="decimal"/>
      <w:pStyle w:val="9"/>
      <w:lvlText w:val="%1.%2.%3.%4.%5.%6.%7."/>
      <w:lvlJc w:val="left"/>
      <w:pPr>
        <w:ind w:left="1296" w:hanging="1296"/>
      </w:pPr>
      <w:rPr>
        <w:rFonts w:hint="default"/>
      </w:rPr>
    </w:lvl>
    <w:lvl w:ilvl="7" w:tentative="0">
      <w:start w:val="1"/>
      <w:numFmt w:val="decimal"/>
      <w:pStyle w:val="10"/>
      <w:lvlText w:val="%1.%2.%3.%4.%5.%6.%7.%8.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pStyle w:val="11"/>
      <w:lvlText w:val="%1.%2.%3.%4.%5.%6.%7.%8.%9."/>
      <w:lvlJc w:val="left"/>
      <w:pPr>
        <w:ind w:left="1583" w:hanging="158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575F98"/>
    <w:rsid w:val="00425030"/>
    <w:rsid w:val="00CF7E60"/>
    <w:rsid w:val="020F6C21"/>
    <w:rsid w:val="0460272B"/>
    <w:rsid w:val="06776DEB"/>
    <w:rsid w:val="069D2271"/>
    <w:rsid w:val="0973178D"/>
    <w:rsid w:val="0D26449A"/>
    <w:rsid w:val="0D951179"/>
    <w:rsid w:val="0DBE46AE"/>
    <w:rsid w:val="0DE26E74"/>
    <w:rsid w:val="10814AD9"/>
    <w:rsid w:val="111C128B"/>
    <w:rsid w:val="11E342DB"/>
    <w:rsid w:val="15E00238"/>
    <w:rsid w:val="163D6C1B"/>
    <w:rsid w:val="1A5D16BB"/>
    <w:rsid w:val="1AAD3A86"/>
    <w:rsid w:val="1AB21B63"/>
    <w:rsid w:val="203A17B3"/>
    <w:rsid w:val="208664CD"/>
    <w:rsid w:val="214D03CE"/>
    <w:rsid w:val="2393591D"/>
    <w:rsid w:val="241B5282"/>
    <w:rsid w:val="24525BB0"/>
    <w:rsid w:val="24BE6123"/>
    <w:rsid w:val="284C7E70"/>
    <w:rsid w:val="29473438"/>
    <w:rsid w:val="297861C1"/>
    <w:rsid w:val="2DA31038"/>
    <w:rsid w:val="30305A10"/>
    <w:rsid w:val="30437299"/>
    <w:rsid w:val="30D97DD7"/>
    <w:rsid w:val="397F7504"/>
    <w:rsid w:val="3A1B7657"/>
    <w:rsid w:val="3EA91160"/>
    <w:rsid w:val="43105621"/>
    <w:rsid w:val="448E4664"/>
    <w:rsid w:val="47E65D8B"/>
    <w:rsid w:val="4BE84679"/>
    <w:rsid w:val="4FA37960"/>
    <w:rsid w:val="527C5CC8"/>
    <w:rsid w:val="55F15DF6"/>
    <w:rsid w:val="568A58EC"/>
    <w:rsid w:val="57127A7F"/>
    <w:rsid w:val="5EF2131C"/>
    <w:rsid w:val="635C6AFB"/>
    <w:rsid w:val="65810525"/>
    <w:rsid w:val="6FDA54EF"/>
    <w:rsid w:val="70575F98"/>
    <w:rsid w:val="722747C7"/>
    <w:rsid w:val="7351102E"/>
    <w:rsid w:val="76FE1F51"/>
    <w:rsid w:val="78187497"/>
    <w:rsid w:val="7924493F"/>
    <w:rsid w:val="79B516A0"/>
    <w:rsid w:val="7B11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numPr>
        <w:ilvl w:val="0"/>
        <w:numId w:val="0"/>
      </w:numPr>
      <w:spacing w:beforeLines="0" w:beforeAutospacing="0" w:after="200" w:afterLines="0" w:afterAutospacing="0" w:line="240" w:lineRule="auto"/>
      <w:ind w:left="432" w:hanging="432" w:firstLineChars="0"/>
      <w:jc w:val="center"/>
      <w:outlineLvl w:val="0"/>
    </w:pPr>
    <w:rPr>
      <w:rFonts w:ascii="仿宋" w:hAnsi="仿宋" w:eastAsia="仿宋" w:cs="仿宋"/>
      <w:b/>
      <w:kern w:val="44"/>
      <w:sz w:val="32"/>
      <w:szCs w:val="28"/>
    </w:rPr>
  </w:style>
  <w:style w:type="paragraph" w:styleId="4">
    <w:name w:val="heading 2"/>
    <w:basedOn w:val="1"/>
    <w:next w:val="1"/>
    <w:semiHidden/>
    <w:unhideWhenUsed/>
    <w:qFormat/>
    <w:uiPriority w:val="0"/>
    <w:pPr>
      <w:keepNext/>
      <w:keepLines/>
      <w:numPr>
        <w:ilvl w:val="1"/>
        <w:numId w:val="1"/>
      </w:numPr>
      <w:tabs>
        <w:tab w:val="left" w:pos="420"/>
      </w:tabs>
      <w:spacing w:before="300" w:beforeAutospacing="0" w:after="300" w:afterAutospacing="0" w:line="240" w:lineRule="auto"/>
      <w:ind w:left="113" w:hanging="113" w:firstLineChars="0"/>
      <w:jc w:val="left"/>
      <w:outlineLvl w:val="1"/>
    </w:pPr>
    <w:rPr>
      <w:rFonts w:ascii="仿宋" w:hAnsi="仿宋" w:cs="仿宋"/>
      <w:b/>
      <w:sz w:val="30"/>
      <w:szCs w:val="28"/>
    </w:rPr>
  </w:style>
  <w:style w:type="paragraph" w:styleId="5">
    <w:name w:val="heading 3"/>
    <w:basedOn w:val="4"/>
    <w:next w:val="1"/>
    <w:link w:val="24"/>
    <w:semiHidden/>
    <w:unhideWhenUsed/>
    <w:qFormat/>
    <w:uiPriority w:val="0"/>
    <w:pPr>
      <w:keepNext/>
      <w:keepLines/>
      <w:numPr>
        <w:ilvl w:val="2"/>
      </w:numPr>
      <w:spacing w:before="400" w:after="400" w:line="240" w:lineRule="auto"/>
      <w:ind w:left="0" w:firstLine="480" w:firstLineChars="150"/>
      <w:jc w:val="left"/>
      <w:outlineLvl w:val="2"/>
    </w:pPr>
    <w:rPr>
      <w:bCs/>
      <w:szCs w:val="32"/>
    </w:rPr>
  </w:style>
  <w:style w:type="paragraph" w:styleId="6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1"/>
      </w:numPr>
      <w:spacing w:before="400" w:beforeLines="0" w:beforeAutospacing="0" w:after="400" w:afterLines="0" w:afterAutospacing="0" w:line="240" w:lineRule="auto"/>
      <w:ind w:left="864" w:hanging="864" w:firstLineChars="0"/>
      <w:outlineLvl w:val="3"/>
    </w:pPr>
    <w:rPr>
      <w:rFonts w:ascii="仿宋" w:hAnsi="仿宋" w:cs="仿宋"/>
      <w:b/>
      <w:szCs w:val="28"/>
    </w:rPr>
  </w:style>
  <w:style w:type="paragraph" w:styleId="7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1"/>
      </w:numPr>
      <w:spacing w:before="280" w:beforeLines="0" w:beforeAutospacing="0" w:after="290" w:afterLines="0" w:afterAutospacing="0" w:line="372" w:lineRule="auto"/>
      <w:ind w:left="1008" w:hanging="1008" w:firstLineChars="0"/>
      <w:outlineLvl w:val="4"/>
    </w:pPr>
    <w:rPr>
      <w:b/>
      <w:sz w:val="28"/>
    </w:rPr>
  </w:style>
  <w:style w:type="paragraph" w:styleId="8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before="400" w:beforeLines="0" w:beforeAutospacing="0" w:after="400" w:afterLines="0" w:afterAutospacing="0" w:line="240" w:lineRule="auto"/>
      <w:ind w:left="1151" w:hanging="1151" w:firstLineChars="0"/>
      <w:outlineLvl w:val="5"/>
    </w:pPr>
    <w:rPr>
      <w:rFonts w:ascii="仿宋" w:hAnsi="仿宋" w:eastAsia="黑体" w:cs="仿宋"/>
      <w:b/>
      <w:sz w:val="28"/>
      <w:szCs w:val="28"/>
    </w:rPr>
  </w:style>
  <w:style w:type="paragraph" w:styleId="9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left="1296" w:hanging="1296" w:firstLineChars="0"/>
      <w:outlineLvl w:val="6"/>
    </w:pPr>
    <w:rPr>
      <w:b/>
      <w:sz w:val="24"/>
    </w:rPr>
  </w:style>
  <w:style w:type="paragraph" w:styleId="10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left="1440" w:hanging="1440" w:firstLineChars="0"/>
      <w:outlineLvl w:val="7"/>
    </w:pPr>
    <w:rPr>
      <w:rFonts w:ascii="Arial" w:hAnsi="Arial" w:eastAsia="黑体"/>
      <w:sz w:val="24"/>
    </w:rPr>
  </w:style>
  <w:style w:type="paragraph" w:styleId="11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left="1583" w:hanging="1583" w:firstLineChars="0"/>
      <w:outlineLvl w:val="8"/>
    </w:pPr>
    <w:rPr>
      <w:rFonts w:ascii="Arial" w:hAnsi="Arial" w:eastAsia="黑体"/>
      <w:sz w:val="21"/>
    </w:rPr>
  </w:style>
  <w:style w:type="character" w:default="1" w:styleId="23">
    <w:name w:val="Default Paragraph Font"/>
    <w:semiHidden/>
    <w:unhideWhenUsed/>
    <w:qFormat/>
    <w:uiPriority w:val="1"/>
  </w:style>
  <w:style w:type="table" w:default="1" w:styleId="2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</w:style>
  <w:style w:type="paragraph" w:styleId="12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13">
    <w:name w:val="toc 3"/>
    <w:basedOn w:val="1"/>
    <w:next w:val="1"/>
    <w:qFormat/>
    <w:uiPriority w:val="0"/>
    <w:pPr>
      <w:ind w:left="0" w:leftChars="0"/>
    </w:pPr>
    <w:rPr>
      <w:rFonts w:ascii="仿宋" w:hAnsi="仿宋" w:cs="仿宋"/>
      <w:szCs w:val="28"/>
    </w:rPr>
  </w:style>
  <w:style w:type="paragraph" w:styleId="14">
    <w:name w:val="Plain Text"/>
    <w:basedOn w:val="1"/>
    <w:qFormat/>
    <w:uiPriority w:val="0"/>
    <w:rPr>
      <w:rFonts w:ascii="宋体" w:hAnsi="Courier New"/>
    </w:rPr>
  </w:style>
  <w:style w:type="paragraph" w:styleId="1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7">
    <w:name w:val="toc 1"/>
    <w:basedOn w:val="1"/>
    <w:next w:val="1"/>
    <w:qFormat/>
    <w:uiPriority w:val="0"/>
    <w:pPr>
      <w:ind w:firstLine="0" w:firstLineChars="0"/>
    </w:pPr>
    <w:rPr>
      <w:rFonts w:ascii="仿宋" w:hAnsi="仿宋" w:cs="仿宋"/>
      <w:b/>
      <w:szCs w:val="28"/>
    </w:rPr>
  </w:style>
  <w:style w:type="paragraph" w:styleId="18">
    <w:name w:val="toc 2"/>
    <w:basedOn w:val="1"/>
    <w:next w:val="1"/>
    <w:qFormat/>
    <w:uiPriority w:val="0"/>
    <w:pPr>
      <w:ind w:left="0" w:leftChars="0"/>
    </w:pPr>
    <w:rPr>
      <w:rFonts w:ascii="仿宋" w:hAnsi="仿宋" w:cs="仿宋"/>
      <w:szCs w:val="28"/>
    </w:rPr>
  </w:style>
  <w:style w:type="paragraph" w:styleId="19">
    <w:name w:val="Normal (Web)"/>
    <w:basedOn w:val="1"/>
    <w:qFormat/>
    <w:uiPriority w:val="0"/>
    <w:pPr>
      <w:spacing w:before="0" w:beforeAutospacing="1" w:after="0" w:afterAutospacing="1" w:line="400" w:lineRule="exact"/>
      <w:ind w:left="0" w:right="0" w:firstLine="0" w:firstLineChars="0"/>
      <w:jc w:val="left"/>
    </w:pPr>
    <w:rPr>
      <w:kern w:val="0"/>
      <w:sz w:val="24"/>
      <w:lang w:val="en-US" w:eastAsia="zh-CN" w:bidi="ar"/>
    </w:rPr>
  </w:style>
  <w:style w:type="paragraph" w:styleId="20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21">
    <w:name w:val="Body Text First Indent 2"/>
    <w:basedOn w:val="12"/>
    <w:qFormat/>
    <w:uiPriority w:val="0"/>
    <w:pPr>
      <w:ind w:firstLine="420" w:firstLineChars="200"/>
    </w:pPr>
  </w:style>
  <w:style w:type="character" w:customStyle="1" w:styleId="24">
    <w:name w:val="标题 3 Char"/>
    <w:basedOn w:val="23"/>
    <w:link w:val="5"/>
    <w:qFormat/>
    <w:uiPriority w:val="9"/>
    <w:rPr>
      <w:rFonts w:ascii="Times New Roman" w:hAnsi="Times New Roman" w:eastAsia="仿宋" w:cs="Times New Roman"/>
      <w:b/>
      <w:bCs/>
      <w:sz w:val="30"/>
      <w:szCs w:val="32"/>
    </w:rPr>
  </w:style>
  <w:style w:type="paragraph" w:customStyle="1" w:styleId="25">
    <w:name w:val="表格"/>
    <w:basedOn w:val="1"/>
    <w:qFormat/>
    <w:uiPriority w:val="0"/>
    <w:pPr>
      <w:spacing w:line="360" w:lineRule="exact"/>
      <w:ind w:firstLine="0" w:firstLineChars="0"/>
      <w:jc w:val="center"/>
    </w:pPr>
    <w:rPr>
      <w:rFonts w:ascii="仿宋" w:hAnsi="仿宋" w:cs="仿宋"/>
      <w:sz w:val="24"/>
      <w:szCs w:val="28"/>
    </w:rPr>
  </w:style>
  <w:style w:type="paragraph" w:customStyle="1" w:styleId="26">
    <w:name w:val="附注"/>
    <w:basedOn w:val="1"/>
    <w:next w:val="1"/>
    <w:qFormat/>
    <w:uiPriority w:val="0"/>
    <w:pPr>
      <w:spacing w:line="360" w:lineRule="exact"/>
    </w:pPr>
    <w:rPr>
      <w:rFonts w:ascii="仿宋" w:hAnsi="仿宋" w:eastAsia="仿宋" w:cs="仿宋"/>
      <w:b/>
      <w:i/>
      <w:sz w:val="24"/>
      <w:szCs w:val="28"/>
    </w:rPr>
  </w:style>
  <w:style w:type="paragraph" w:customStyle="1" w:styleId="27">
    <w:name w:val="居中加粗"/>
    <w:basedOn w:val="1"/>
    <w:qFormat/>
    <w:uiPriority w:val="0"/>
    <w:pPr>
      <w:ind w:firstLine="0" w:firstLineChars="0"/>
      <w:jc w:val="center"/>
    </w:pPr>
    <w:rPr>
      <w:rFonts w:ascii="仿宋" w:hAnsi="仿宋" w:cs="仿宋"/>
      <w:b/>
      <w:sz w:val="30"/>
      <w:szCs w:val="28"/>
    </w:rPr>
  </w:style>
  <w:style w:type="paragraph" w:customStyle="1" w:styleId="28">
    <w:name w:val="封面-公司名称"/>
    <w:basedOn w:val="1"/>
    <w:next w:val="20"/>
    <w:qFormat/>
    <w:uiPriority w:val="0"/>
    <w:rPr>
      <w:rFonts w:ascii="仿宋" w:hAnsi="仿宋"/>
      <w:sz w:val="44"/>
    </w:rPr>
  </w:style>
  <w:style w:type="paragraph" w:customStyle="1" w:styleId="29">
    <w:name w:val="封面-项目名称"/>
    <w:basedOn w:val="14"/>
    <w:next w:val="14"/>
    <w:qFormat/>
    <w:uiPriority w:val="0"/>
    <w:pPr>
      <w:spacing w:line="240" w:lineRule="auto"/>
      <w:ind w:firstLine="0" w:firstLineChars="0"/>
      <w:jc w:val="center"/>
    </w:pPr>
    <w:rPr>
      <w:rFonts w:hAnsi="宋体" w:cs="仿宋"/>
      <w:b/>
      <w:sz w:val="84"/>
      <w:szCs w:val="28"/>
    </w:rPr>
  </w:style>
  <w:style w:type="paragraph" w:customStyle="1" w:styleId="30">
    <w:name w:val="封面-项目标号"/>
    <w:next w:val="14"/>
    <w:qFormat/>
    <w:uiPriority w:val="0"/>
    <w:pPr>
      <w:jc w:val="center"/>
    </w:pPr>
    <w:rPr>
      <w:rFonts w:ascii="仿宋" w:hAnsi="仿宋" w:eastAsia="仿宋" w:cstheme="minorBidi"/>
      <w:sz w:val="36"/>
    </w:rPr>
  </w:style>
  <w:style w:type="paragraph" w:customStyle="1" w:styleId="31">
    <w:name w:val="封面-投标文件"/>
    <w:basedOn w:val="14"/>
    <w:next w:val="14"/>
    <w:qFormat/>
    <w:uiPriority w:val="0"/>
    <w:pPr>
      <w:ind w:firstLine="0" w:firstLineChars="0"/>
      <w:jc w:val="center"/>
    </w:pPr>
    <w:rPr>
      <w:rFonts w:hAnsi="宋体" w:cs="仿宋"/>
      <w:b/>
      <w:sz w:val="84"/>
      <w:szCs w:val="28"/>
    </w:rPr>
  </w:style>
  <w:style w:type="paragraph" w:customStyle="1" w:styleId="32">
    <w:name w:val="封面-公司名称地址"/>
    <w:basedOn w:val="14"/>
    <w:next w:val="14"/>
    <w:qFormat/>
    <w:uiPriority w:val="0"/>
    <w:pPr>
      <w:ind w:firstLine="0" w:firstLineChars="0"/>
      <w:jc w:val="center"/>
    </w:pPr>
    <w:rPr>
      <w:rFonts w:ascii="仿宋" w:hAnsi="仿宋" w:eastAsia="仿宋" w:cs="仿宋"/>
      <w:sz w:val="30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2020-12-17T03:28:00Z</dcterms:created>
  <dc:creator>恍若゛隔世い</dc:creator>
  <cp:lastModifiedBy>向阳花开</cp:lastModifiedBy>
  <dcterms:modified xsi:type="dcterms:W3CDTF">2021-12-10T07:14:12Z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AAE6641243374B218DE3D7B7A716CA72</vt:lpwstr>
  </property>
</Properties>
</file>