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2AF7EA">
      <w:pPr>
        <w:pStyle w:val="25"/>
        <w:rPr>
          <w:rFonts w:ascii="Times New Roman" w:hAnsi="Times New Roman"/>
        </w:rPr>
      </w:pPr>
    </w:p>
    <w:p w14:paraId="09D87613">
      <w:pPr>
        <w:pStyle w:val="25"/>
        <w:rPr>
          <w:rFonts w:ascii="Times New Roman" w:hAnsi="Times New Roman"/>
        </w:rPr>
      </w:pPr>
    </w:p>
    <w:p w14:paraId="28B72405">
      <w:pPr>
        <w:pStyle w:val="25"/>
        <w:rPr>
          <w:rFonts w:ascii="Times New Roman" w:hAnsi="Times New Roman"/>
        </w:rPr>
      </w:pPr>
    </w:p>
    <w:p w14:paraId="462FE428">
      <w:pPr>
        <w:pStyle w:val="25"/>
        <w:snapToGrid w:val="0"/>
        <w:spacing w:line="360" w:lineRule="auto"/>
        <w:jc w:val="center"/>
        <w:rPr>
          <w:rFonts w:ascii="Times New Roman" w:hAnsi="Times New Roman" w:eastAsia="宋体"/>
          <w:b/>
          <w:sz w:val="48"/>
          <w:szCs w:val="48"/>
        </w:rPr>
      </w:pPr>
      <w:r>
        <w:rPr>
          <w:rFonts w:hint="eastAsia" w:ascii="Times New Roman" w:hAnsi="Times New Roman" w:eastAsia="宋体"/>
          <w:b/>
          <w:sz w:val="48"/>
          <w:szCs w:val="48"/>
        </w:rPr>
        <w:t>大同市云冈区</w:t>
      </w:r>
    </w:p>
    <w:p w14:paraId="0DE1AC9D">
      <w:pPr>
        <w:pStyle w:val="25"/>
        <w:snapToGrid w:val="0"/>
        <w:spacing w:line="360" w:lineRule="auto"/>
        <w:jc w:val="center"/>
        <w:rPr>
          <w:rFonts w:ascii="Times New Roman" w:hAnsi="Times New Roman" w:eastAsia="宋体"/>
          <w:b/>
          <w:sz w:val="48"/>
          <w:szCs w:val="48"/>
        </w:rPr>
      </w:pPr>
      <w:r>
        <w:rPr>
          <w:rFonts w:hint="eastAsia" w:ascii="Times New Roman" w:hAnsi="Times New Roman" w:eastAsia="宋体"/>
          <w:b/>
          <w:sz w:val="48"/>
          <w:szCs w:val="48"/>
        </w:rPr>
        <w:t>土壤环境污染事件应急预案</w:t>
      </w:r>
    </w:p>
    <w:p w14:paraId="632A0EF4">
      <w:pPr>
        <w:pStyle w:val="25"/>
        <w:rPr>
          <w:rFonts w:ascii="Times New Roman" w:hAnsi="Times New Roman"/>
        </w:rPr>
      </w:pPr>
    </w:p>
    <w:p w14:paraId="57620BB6">
      <w:pPr>
        <w:pStyle w:val="25"/>
        <w:rPr>
          <w:rFonts w:ascii="Times New Roman" w:hAnsi="Times New Roman"/>
        </w:rPr>
      </w:pPr>
    </w:p>
    <w:p w14:paraId="5CCEB791">
      <w:pPr>
        <w:pStyle w:val="25"/>
        <w:rPr>
          <w:rFonts w:ascii="Times New Roman" w:hAnsi="Times New Roman"/>
        </w:rPr>
      </w:pPr>
    </w:p>
    <w:p w14:paraId="3D29E216">
      <w:pPr>
        <w:pStyle w:val="25"/>
        <w:rPr>
          <w:rFonts w:ascii="Times New Roman" w:hAnsi="Times New Roman"/>
        </w:rPr>
      </w:pPr>
    </w:p>
    <w:p w14:paraId="261FF35F">
      <w:pPr>
        <w:pStyle w:val="25"/>
        <w:rPr>
          <w:rFonts w:ascii="Times New Roman" w:hAnsi="Times New Roman"/>
        </w:rPr>
      </w:pPr>
    </w:p>
    <w:p w14:paraId="632580BC">
      <w:pPr>
        <w:pStyle w:val="25"/>
        <w:rPr>
          <w:rFonts w:ascii="Times New Roman" w:hAnsi="Times New Roman"/>
        </w:rPr>
      </w:pPr>
    </w:p>
    <w:p w14:paraId="4D4F8732">
      <w:pPr>
        <w:pStyle w:val="25"/>
        <w:rPr>
          <w:rFonts w:ascii="Times New Roman" w:hAnsi="Times New Roman"/>
        </w:rPr>
      </w:pPr>
    </w:p>
    <w:p w14:paraId="3EC319ED">
      <w:pPr>
        <w:pStyle w:val="25"/>
        <w:rPr>
          <w:rFonts w:ascii="Times New Roman" w:hAnsi="Times New Roman"/>
        </w:rPr>
      </w:pPr>
    </w:p>
    <w:p w14:paraId="4A68F8D0">
      <w:pPr>
        <w:pStyle w:val="25"/>
        <w:rPr>
          <w:rFonts w:ascii="Times New Roman" w:hAnsi="Times New Roman"/>
        </w:rPr>
      </w:pPr>
    </w:p>
    <w:p w14:paraId="4E195602">
      <w:pPr>
        <w:pStyle w:val="25"/>
        <w:rPr>
          <w:rFonts w:ascii="Times New Roman" w:hAnsi="Times New Roman"/>
        </w:rPr>
      </w:pPr>
    </w:p>
    <w:p w14:paraId="1488EBBB">
      <w:pPr>
        <w:pStyle w:val="25"/>
        <w:rPr>
          <w:rFonts w:ascii="Times New Roman" w:hAnsi="Times New Roman"/>
        </w:rPr>
      </w:pPr>
    </w:p>
    <w:p w14:paraId="37001511">
      <w:pPr>
        <w:pStyle w:val="25"/>
        <w:rPr>
          <w:rFonts w:ascii="Times New Roman" w:hAnsi="Times New Roman"/>
        </w:rPr>
      </w:pPr>
    </w:p>
    <w:p w14:paraId="2531EB4A">
      <w:pPr>
        <w:pStyle w:val="25"/>
        <w:rPr>
          <w:rFonts w:ascii="Times New Roman" w:hAnsi="Times New Roman"/>
        </w:rPr>
      </w:pPr>
    </w:p>
    <w:p w14:paraId="4B760A1E">
      <w:pPr>
        <w:snapToGrid w:val="0"/>
        <w:spacing w:line="560" w:lineRule="exact"/>
        <w:jc w:val="center"/>
        <w:rPr>
          <w:rFonts w:ascii="Times New Roman" w:hAnsi="Times New Roman" w:eastAsia="宋体"/>
          <w:b/>
          <w:sz w:val="32"/>
          <w:szCs w:val="32"/>
        </w:rPr>
      </w:pPr>
      <w:bookmarkStart w:id="0" w:name="OLE_LINK16"/>
      <w:r>
        <w:rPr>
          <w:rFonts w:hint="eastAsia" w:ascii="Times New Roman" w:hAnsi="Times New Roman" w:eastAsia="宋体"/>
          <w:b/>
          <w:sz w:val="32"/>
          <w:szCs w:val="32"/>
        </w:rPr>
        <w:t>委托单位：大同市生态环境局云冈分局</w:t>
      </w:r>
    </w:p>
    <w:p w14:paraId="25DA9B70">
      <w:pPr>
        <w:snapToGrid w:val="0"/>
        <w:spacing w:line="560" w:lineRule="exact"/>
        <w:jc w:val="center"/>
        <w:rPr>
          <w:rFonts w:ascii="Times New Roman" w:hAnsi="Times New Roman" w:eastAsia="宋体"/>
          <w:b/>
          <w:sz w:val="32"/>
          <w:szCs w:val="32"/>
        </w:rPr>
      </w:pPr>
      <w:r>
        <w:rPr>
          <w:rFonts w:hint="eastAsia" w:ascii="Times New Roman" w:hAnsi="Times New Roman" w:eastAsia="宋体"/>
          <w:b/>
          <w:sz w:val="32"/>
          <w:szCs w:val="32"/>
        </w:rPr>
        <w:t>编制单位：山西同创策略环境发展有限公司</w:t>
      </w:r>
    </w:p>
    <w:p w14:paraId="470924B2">
      <w:pPr>
        <w:snapToGrid w:val="0"/>
        <w:spacing w:line="560" w:lineRule="exact"/>
        <w:jc w:val="center"/>
        <w:rPr>
          <w:rFonts w:ascii="Times New Roman" w:hAnsi="Times New Roman" w:eastAsia="宋体"/>
          <w:b/>
          <w:sz w:val="32"/>
          <w:szCs w:val="32"/>
        </w:rPr>
      </w:pPr>
      <w:r>
        <w:rPr>
          <w:rFonts w:hint="eastAsia" w:ascii="Times New Roman" w:hAnsi="Times New Roman" w:eastAsia="宋体"/>
          <w:b/>
          <w:sz w:val="32"/>
          <w:szCs w:val="32"/>
        </w:rPr>
        <w:t>二零二五年十一月</w:t>
      </w:r>
      <w:bookmarkEnd w:id="0"/>
    </w:p>
    <w:p w14:paraId="3499285D">
      <w:pPr>
        <w:snapToGrid w:val="0"/>
        <w:spacing w:line="560" w:lineRule="exact"/>
        <w:jc w:val="center"/>
        <w:rPr>
          <w:rFonts w:ascii="Times New Roman" w:hAnsi="Times New Roman" w:eastAsia="宋体"/>
          <w:b/>
          <w:sz w:val="32"/>
          <w:szCs w:val="32"/>
        </w:rPr>
      </w:pPr>
    </w:p>
    <w:p w14:paraId="6077E015">
      <w:pPr>
        <w:snapToGrid w:val="0"/>
        <w:spacing w:line="560" w:lineRule="exact"/>
        <w:jc w:val="center"/>
        <w:rPr>
          <w:rFonts w:ascii="Times New Roman" w:hAnsi="Times New Roman" w:eastAsia="宋体"/>
          <w:b/>
          <w:sz w:val="32"/>
          <w:szCs w:val="32"/>
        </w:rPr>
        <w:sectPr>
          <w:footerReference r:id="rId3" w:type="default"/>
          <w:pgSz w:w="11906" w:h="16838"/>
          <w:pgMar w:top="1440" w:right="1134" w:bottom="1440" w:left="1134" w:header="851" w:footer="992" w:gutter="0"/>
          <w:cols w:space="425" w:num="1"/>
          <w:docGrid w:type="lines" w:linePitch="312" w:charSpace="0"/>
        </w:sectPr>
      </w:pPr>
    </w:p>
    <w:p w14:paraId="17A792D9">
      <w:pPr>
        <w:snapToGrid w:val="0"/>
        <w:jc w:val="center"/>
        <w:rPr>
          <w:rFonts w:ascii="Times New Roman" w:hAnsi="Times New Roman" w:eastAsia="宋体"/>
          <w:b/>
          <w:sz w:val="32"/>
          <w:szCs w:val="32"/>
        </w:rPr>
        <w:sectPr>
          <w:pgSz w:w="16838" w:h="11906" w:orient="landscape"/>
          <w:pgMar w:top="1134" w:right="1440" w:bottom="1134" w:left="1440" w:header="851" w:footer="992" w:gutter="0"/>
          <w:cols w:space="425" w:num="1"/>
          <w:docGrid w:type="lines" w:linePitch="312" w:charSpace="0"/>
        </w:sectPr>
      </w:pPr>
      <w:r>
        <w:rPr>
          <w:rFonts w:ascii="Times New Roman" w:hAnsi="Times New Roman" w:eastAsia="宋体"/>
          <w:b/>
          <w:sz w:val="32"/>
          <w:szCs w:val="32"/>
        </w:rPr>
        <w:drawing>
          <wp:inline distT="0" distB="0" distL="0" distR="0">
            <wp:extent cx="7642860" cy="5398770"/>
            <wp:effectExtent l="0" t="0" r="0" b="0"/>
            <wp:docPr id="4" name="图片 4" descr="C:\Users\Administrator\xwechat_files\wxid_r0d7lsibzcyn21_7cb5\temp\RWTemp\2025-11\1c295c353d73577a009ecca0c1453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xwechat_files\wxid_r0d7lsibzcyn21_7cb5\temp\RWTemp\2025-11\1c295c353d73577a009ecca0c14535d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647392" cy="5402431"/>
                    </a:xfrm>
                    <a:prstGeom prst="rect">
                      <a:avLst/>
                    </a:prstGeom>
                    <a:noFill/>
                    <a:ln>
                      <a:noFill/>
                    </a:ln>
                  </pic:spPr>
                </pic:pic>
              </a:graphicData>
            </a:graphic>
          </wp:inline>
        </w:drawing>
      </w:r>
    </w:p>
    <w:p w14:paraId="5CC24EE3">
      <w:pPr>
        <w:snapToGrid w:val="0"/>
        <w:jc w:val="center"/>
        <w:rPr>
          <w:rFonts w:ascii="Times New Roman" w:hAnsi="Times New Roman" w:eastAsia="宋体"/>
          <w:b/>
          <w:sz w:val="32"/>
          <w:szCs w:val="32"/>
        </w:rPr>
        <w:sectPr>
          <w:pgSz w:w="11906" w:h="16838"/>
          <w:pgMar w:top="1440" w:right="1134" w:bottom="1440" w:left="1134" w:header="851" w:footer="992" w:gutter="0"/>
          <w:cols w:space="425" w:num="1"/>
          <w:docGrid w:type="lines" w:linePitch="312" w:charSpace="0"/>
        </w:sectPr>
      </w:pPr>
      <w:r>
        <w:rPr>
          <w:rFonts w:ascii="Times New Roman" w:hAnsi="Times New Roman" w:eastAsia="宋体"/>
          <w:b/>
          <w:sz w:val="32"/>
          <w:szCs w:val="32"/>
        </w:rPr>
        <w:drawing>
          <wp:inline distT="0" distB="0" distL="0" distR="0">
            <wp:extent cx="6120130" cy="8663305"/>
            <wp:effectExtent l="0" t="0" r="0" b="4445"/>
            <wp:docPr id="5" name="图片 5" descr="C:\Users\Administrator\xwechat_files\wxid_r0d7lsibzcyn21_7cb5\temp\RWTemp\2025-11\9ee17350ecde78aaea2beecd4fb5a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xwechat_files\wxid_r0d7lsibzcyn21_7cb5\temp\RWTemp\2025-11\9ee17350ecde78aaea2beecd4fb5a7e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120130" cy="8663327"/>
                    </a:xfrm>
                    <a:prstGeom prst="rect">
                      <a:avLst/>
                    </a:prstGeom>
                    <a:noFill/>
                    <a:ln>
                      <a:noFill/>
                    </a:ln>
                  </pic:spPr>
                </pic:pic>
              </a:graphicData>
            </a:graphic>
          </wp:inline>
        </w:drawing>
      </w:r>
    </w:p>
    <w:p w14:paraId="1A737A00">
      <w:pPr>
        <w:snapToGrid w:val="0"/>
        <w:spacing w:line="560" w:lineRule="exact"/>
        <w:jc w:val="center"/>
        <w:rPr>
          <w:rFonts w:ascii="Times New Roman" w:hAnsi="Times New Roman" w:eastAsia="宋体"/>
          <w:b/>
          <w:sz w:val="32"/>
          <w:szCs w:val="32"/>
        </w:rPr>
      </w:pPr>
    </w:p>
    <w:p w14:paraId="0178335A">
      <w:pPr>
        <w:jc w:val="center"/>
        <w:rPr>
          <w:rFonts w:ascii="Times New Roman" w:hAnsi="Times New Roman" w:eastAsia="仿宋_GB2312"/>
          <w:sz w:val="32"/>
          <w:szCs w:val="32"/>
        </w:rPr>
      </w:pPr>
      <w:r>
        <w:rPr>
          <w:rFonts w:hint="eastAsia" w:ascii="Times New Roman" w:hAnsi="Times New Roman" w:eastAsia="仿宋_GB2312"/>
          <w:sz w:val="32"/>
          <w:szCs w:val="32"/>
        </w:rPr>
        <w:t>大同市云冈区土壤环境污染事件应急预案修改说明</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352"/>
      </w:tblGrid>
      <w:tr w14:paraId="7DA1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14:paraId="3067D572">
            <w:pPr>
              <w:spacing w:line="276" w:lineRule="auto"/>
              <w:jc w:val="center"/>
              <w:rPr>
                <w:rFonts w:ascii="Times New Roman" w:hAnsi="Times New Roman" w:eastAsia="仿宋_GB2312"/>
                <w:sz w:val="28"/>
                <w:szCs w:val="28"/>
              </w:rPr>
            </w:pPr>
            <w:r>
              <w:rPr>
                <w:rFonts w:hint="eastAsia" w:ascii="Times New Roman" w:hAnsi="Times New Roman" w:eastAsia="仿宋_GB2312"/>
                <w:sz w:val="28"/>
                <w:szCs w:val="28"/>
              </w:rPr>
              <w:t>技术审查意见</w:t>
            </w:r>
          </w:p>
        </w:tc>
        <w:tc>
          <w:tcPr>
            <w:tcW w:w="4352" w:type="dxa"/>
          </w:tcPr>
          <w:p w14:paraId="664721D3">
            <w:pPr>
              <w:spacing w:line="276" w:lineRule="auto"/>
              <w:jc w:val="center"/>
              <w:rPr>
                <w:rFonts w:ascii="Times New Roman" w:hAnsi="Times New Roman" w:eastAsia="仿宋_GB2312"/>
                <w:sz w:val="28"/>
                <w:szCs w:val="28"/>
              </w:rPr>
            </w:pPr>
            <w:r>
              <w:rPr>
                <w:rFonts w:hint="eastAsia" w:ascii="Times New Roman" w:hAnsi="Times New Roman" w:eastAsia="仿宋_GB2312"/>
                <w:sz w:val="28"/>
                <w:szCs w:val="28"/>
              </w:rPr>
              <w:t>修改说明</w:t>
            </w:r>
          </w:p>
        </w:tc>
      </w:tr>
      <w:tr w14:paraId="18BF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14:paraId="60A1EFC5">
            <w:pPr>
              <w:spacing w:line="276" w:lineRule="auto"/>
              <w:rPr>
                <w:rFonts w:ascii="Times New Roman" w:hAnsi="Times New Roman" w:eastAsia="仿宋_GB2312"/>
                <w:sz w:val="28"/>
                <w:szCs w:val="28"/>
              </w:rPr>
            </w:pPr>
            <w:r>
              <w:rPr>
                <w:rFonts w:hint="eastAsia" w:ascii="Times New Roman" w:hAnsi="Times New Roman" w:eastAsia="仿宋_GB2312"/>
                <w:sz w:val="28"/>
                <w:szCs w:val="28"/>
              </w:rPr>
              <w:t>1、预案所有的内容应针对土壤环境污染的特点进行编制。</w:t>
            </w:r>
          </w:p>
        </w:tc>
        <w:tc>
          <w:tcPr>
            <w:tcW w:w="4352" w:type="dxa"/>
          </w:tcPr>
          <w:p w14:paraId="7B5212A2">
            <w:pPr>
              <w:spacing w:line="276" w:lineRule="auto"/>
              <w:rPr>
                <w:rFonts w:ascii="Times New Roman" w:hAnsi="Times New Roman" w:eastAsia="仿宋_GB2312"/>
                <w:sz w:val="28"/>
                <w:szCs w:val="28"/>
              </w:rPr>
            </w:pPr>
            <w:r>
              <w:rPr>
                <w:rFonts w:hint="eastAsia" w:ascii="Times New Roman" w:hAnsi="Times New Roman" w:eastAsia="仿宋_GB2312"/>
                <w:sz w:val="28"/>
                <w:szCs w:val="28"/>
              </w:rPr>
              <w:t>1、针对土壤环境污染的特点对预案所有内容进行了调整。</w:t>
            </w:r>
          </w:p>
        </w:tc>
      </w:tr>
      <w:tr w14:paraId="30FAC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14:paraId="03143EC8">
            <w:pPr>
              <w:spacing w:line="276" w:lineRule="auto"/>
              <w:rPr>
                <w:rFonts w:ascii="Times New Roman" w:hAnsi="Times New Roman" w:eastAsia="仿宋_GB2312"/>
                <w:sz w:val="28"/>
                <w:szCs w:val="28"/>
              </w:rPr>
            </w:pPr>
            <w:bookmarkStart w:id="1" w:name="OLE_LINK5"/>
            <w:bookmarkStart w:id="2" w:name="OLE_LINK6"/>
            <w:r>
              <w:rPr>
                <w:rFonts w:hint="eastAsia" w:ascii="Times New Roman" w:hAnsi="Times New Roman" w:eastAsia="仿宋_GB2312"/>
                <w:sz w:val="28"/>
                <w:szCs w:val="28"/>
              </w:rPr>
              <w:t>2、强化风险源识别和评估内容。</w:t>
            </w:r>
            <w:bookmarkEnd w:id="1"/>
            <w:bookmarkEnd w:id="2"/>
          </w:p>
        </w:tc>
        <w:tc>
          <w:tcPr>
            <w:tcW w:w="4352" w:type="dxa"/>
          </w:tcPr>
          <w:p w14:paraId="6FD04E63">
            <w:pPr>
              <w:spacing w:line="276" w:lineRule="auto"/>
              <w:rPr>
                <w:rFonts w:ascii="Times New Roman" w:hAnsi="Times New Roman" w:eastAsia="仿宋_GB2312"/>
                <w:sz w:val="28"/>
                <w:szCs w:val="28"/>
              </w:rPr>
            </w:pPr>
            <w:r>
              <w:rPr>
                <w:rFonts w:hint="eastAsia" w:ascii="Times New Roman" w:hAnsi="Times New Roman" w:eastAsia="仿宋_GB2312"/>
                <w:sz w:val="28"/>
                <w:szCs w:val="28"/>
              </w:rPr>
              <w:t>2、强化了风险源识别和评估内容，详见P</w:t>
            </w:r>
            <w:r>
              <w:rPr>
                <w:rFonts w:ascii="Times New Roman" w:hAnsi="Times New Roman" w:eastAsia="仿宋_GB2312"/>
                <w:sz w:val="28"/>
                <w:szCs w:val="28"/>
              </w:rPr>
              <w:t>8</w:t>
            </w:r>
            <w:r>
              <w:rPr>
                <w:rFonts w:hint="eastAsia" w:ascii="Times New Roman" w:hAnsi="Times New Roman" w:eastAsia="仿宋_GB2312"/>
                <w:sz w:val="28"/>
                <w:szCs w:val="28"/>
              </w:rPr>
              <w:t>-</w:t>
            </w:r>
            <w:r>
              <w:rPr>
                <w:rFonts w:ascii="Times New Roman" w:hAnsi="Times New Roman" w:eastAsia="仿宋_GB2312"/>
                <w:sz w:val="28"/>
                <w:szCs w:val="28"/>
              </w:rPr>
              <w:t>9</w:t>
            </w:r>
            <w:r>
              <w:rPr>
                <w:rFonts w:hint="eastAsia" w:ascii="Times New Roman" w:hAnsi="Times New Roman" w:eastAsia="仿宋_GB2312"/>
                <w:sz w:val="28"/>
                <w:szCs w:val="28"/>
              </w:rPr>
              <w:t>。</w:t>
            </w:r>
          </w:p>
        </w:tc>
      </w:tr>
      <w:tr w14:paraId="1750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14:paraId="24CE488E">
            <w:pPr>
              <w:spacing w:line="276" w:lineRule="auto"/>
              <w:rPr>
                <w:rFonts w:ascii="Times New Roman" w:hAnsi="Times New Roman" w:eastAsia="仿宋_GB2312"/>
                <w:sz w:val="28"/>
                <w:szCs w:val="28"/>
              </w:rPr>
            </w:pPr>
            <w:r>
              <w:rPr>
                <w:rFonts w:hint="eastAsia" w:ascii="Times New Roman" w:hAnsi="Times New Roman" w:eastAsia="仿宋_GB2312"/>
                <w:sz w:val="28"/>
                <w:szCs w:val="28"/>
              </w:rPr>
              <w:t>3、进一步核实事件分级，使分级准确且符合云冈区的实际情况，根据分级情况，完善相应的应急响应措施。</w:t>
            </w:r>
          </w:p>
        </w:tc>
        <w:tc>
          <w:tcPr>
            <w:tcW w:w="4352" w:type="dxa"/>
          </w:tcPr>
          <w:p w14:paraId="3A1F0D77">
            <w:pPr>
              <w:spacing w:line="276" w:lineRule="auto"/>
              <w:rPr>
                <w:rFonts w:ascii="Times New Roman" w:hAnsi="Times New Roman" w:eastAsia="仿宋_GB2312"/>
                <w:sz w:val="28"/>
                <w:szCs w:val="28"/>
              </w:rPr>
            </w:pPr>
            <w:r>
              <w:rPr>
                <w:rFonts w:hint="eastAsia" w:ascii="Times New Roman" w:hAnsi="Times New Roman" w:eastAsia="仿宋_GB2312"/>
                <w:sz w:val="28"/>
                <w:szCs w:val="28"/>
              </w:rPr>
              <w:t>3、参照山西省人民政府办公厅关于印发《山西省突发环境事件应急预案》的通知（晋政办发〔</w:t>
            </w:r>
            <w:r>
              <w:rPr>
                <w:rFonts w:ascii="Times New Roman" w:hAnsi="Times New Roman" w:eastAsia="仿宋_GB2312"/>
                <w:sz w:val="28"/>
                <w:szCs w:val="28"/>
              </w:rPr>
              <w:t>2020〕</w:t>
            </w:r>
            <w:r>
              <w:rPr>
                <w:rFonts w:hint="eastAsia" w:ascii="Times New Roman" w:hAnsi="Times New Roman" w:eastAsia="仿宋_GB2312"/>
                <w:sz w:val="28"/>
                <w:szCs w:val="28"/>
              </w:rPr>
              <w:t>140号）对云冈区土壤突发环境事件进行分级，完善了相应的应急响应措施，详见P1</w:t>
            </w:r>
            <w:r>
              <w:rPr>
                <w:rFonts w:ascii="Times New Roman" w:hAnsi="Times New Roman" w:eastAsia="仿宋_GB2312"/>
                <w:sz w:val="28"/>
                <w:szCs w:val="28"/>
              </w:rPr>
              <w:t>2</w:t>
            </w:r>
            <w:r>
              <w:rPr>
                <w:rFonts w:hint="eastAsia" w:ascii="Times New Roman" w:hAnsi="Times New Roman" w:eastAsia="仿宋_GB2312"/>
                <w:sz w:val="28"/>
                <w:szCs w:val="28"/>
              </w:rPr>
              <w:t>-1</w:t>
            </w:r>
            <w:r>
              <w:rPr>
                <w:rFonts w:ascii="Times New Roman" w:hAnsi="Times New Roman" w:eastAsia="仿宋_GB2312"/>
                <w:sz w:val="28"/>
                <w:szCs w:val="28"/>
              </w:rPr>
              <w:t>4</w:t>
            </w:r>
            <w:r>
              <w:rPr>
                <w:rFonts w:hint="eastAsia" w:ascii="Times New Roman" w:hAnsi="Times New Roman" w:eastAsia="仿宋_GB2312"/>
                <w:sz w:val="28"/>
                <w:szCs w:val="28"/>
              </w:rPr>
              <w:t>,P</w:t>
            </w:r>
            <w:r>
              <w:rPr>
                <w:rFonts w:ascii="Times New Roman" w:hAnsi="Times New Roman" w:eastAsia="仿宋_GB2312"/>
                <w:sz w:val="28"/>
                <w:szCs w:val="28"/>
              </w:rPr>
              <w:t>19</w:t>
            </w:r>
            <w:r>
              <w:rPr>
                <w:rFonts w:hint="eastAsia" w:ascii="Times New Roman" w:hAnsi="Times New Roman" w:eastAsia="仿宋_GB2312"/>
                <w:sz w:val="28"/>
                <w:szCs w:val="28"/>
              </w:rPr>
              <w:t>-</w:t>
            </w:r>
            <w:r>
              <w:rPr>
                <w:rFonts w:ascii="Times New Roman" w:hAnsi="Times New Roman" w:eastAsia="仿宋_GB2312"/>
                <w:sz w:val="28"/>
                <w:szCs w:val="28"/>
              </w:rPr>
              <w:t>21</w:t>
            </w:r>
          </w:p>
        </w:tc>
      </w:tr>
      <w:tr w14:paraId="0D66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14:paraId="73233982">
            <w:pPr>
              <w:spacing w:line="276" w:lineRule="auto"/>
              <w:rPr>
                <w:rFonts w:ascii="Times New Roman" w:hAnsi="Times New Roman" w:eastAsia="仿宋_GB2312"/>
                <w:sz w:val="28"/>
                <w:szCs w:val="28"/>
              </w:rPr>
            </w:pPr>
            <w:r>
              <w:rPr>
                <w:rFonts w:hint="eastAsia" w:ascii="Times New Roman" w:hAnsi="Times New Roman" w:eastAsia="仿宋_GB2312"/>
                <w:sz w:val="28"/>
                <w:szCs w:val="28"/>
              </w:rPr>
              <w:t>4、</w:t>
            </w:r>
            <w:bookmarkStart w:id="3" w:name="OLE_LINK61"/>
            <w:bookmarkStart w:id="4" w:name="OLE_LINK60"/>
            <w:r>
              <w:rPr>
                <w:rFonts w:hint="eastAsia" w:ascii="Times New Roman" w:hAnsi="Times New Roman" w:eastAsia="仿宋_GB2312"/>
                <w:sz w:val="28"/>
                <w:szCs w:val="28"/>
              </w:rPr>
              <w:t>厘清应急组织机构逻辑，责权明确。</w:t>
            </w:r>
            <w:bookmarkEnd w:id="3"/>
            <w:bookmarkEnd w:id="4"/>
          </w:p>
        </w:tc>
        <w:tc>
          <w:tcPr>
            <w:tcW w:w="4352" w:type="dxa"/>
          </w:tcPr>
          <w:p w14:paraId="35F358A7">
            <w:pPr>
              <w:spacing w:line="276" w:lineRule="auto"/>
              <w:rPr>
                <w:rFonts w:ascii="Times New Roman" w:hAnsi="Times New Roman" w:eastAsia="仿宋_GB2312"/>
                <w:sz w:val="28"/>
                <w:szCs w:val="28"/>
              </w:rPr>
            </w:pPr>
            <w:r>
              <w:rPr>
                <w:rFonts w:hint="eastAsia" w:ascii="Times New Roman" w:hAnsi="Times New Roman" w:eastAsia="仿宋_GB2312"/>
                <w:sz w:val="28"/>
                <w:szCs w:val="28"/>
              </w:rPr>
              <w:t>4、厘清了应急组织机构逻辑，明确了责权，详见P2</w:t>
            </w:r>
            <w:r>
              <w:rPr>
                <w:rFonts w:ascii="Times New Roman" w:hAnsi="Times New Roman" w:eastAsia="仿宋_GB2312"/>
                <w:sz w:val="28"/>
                <w:szCs w:val="28"/>
              </w:rPr>
              <w:t>4</w:t>
            </w:r>
          </w:p>
        </w:tc>
      </w:tr>
      <w:tr w14:paraId="4784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14:paraId="42B317CB">
            <w:pPr>
              <w:spacing w:line="276" w:lineRule="auto"/>
              <w:rPr>
                <w:rFonts w:ascii="Times New Roman" w:hAnsi="Times New Roman" w:eastAsia="仿宋_GB2312"/>
                <w:sz w:val="28"/>
                <w:szCs w:val="28"/>
              </w:rPr>
            </w:pPr>
            <w:r>
              <w:rPr>
                <w:rFonts w:hint="eastAsia" w:ascii="Times New Roman" w:hAnsi="Times New Roman" w:eastAsia="仿宋_GB2312"/>
                <w:sz w:val="28"/>
                <w:szCs w:val="28"/>
              </w:rPr>
              <w:t>5、征求成员单位合理意见，落实到本预案中；补充完善附件、附图。</w:t>
            </w:r>
          </w:p>
        </w:tc>
        <w:tc>
          <w:tcPr>
            <w:tcW w:w="4352" w:type="dxa"/>
          </w:tcPr>
          <w:p w14:paraId="03FB3054">
            <w:pPr>
              <w:spacing w:line="276" w:lineRule="auto"/>
              <w:rPr>
                <w:rFonts w:ascii="Times New Roman" w:hAnsi="Times New Roman" w:eastAsia="仿宋_GB2312"/>
                <w:sz w:val="28"/>
                <w:szCs w:val="28"/>
              </w:rPr>
            </w:pPr>
            <w:r>
              <w:rPr>
                <w:rFonts w:hint="eastAsia" w:ascii="Times New Roman" w:hAnsi="Times New Roman" w:eastAsia="仿宋_GB2312"/>
                <w:sz w:val="28"/>
                <w:szCs w:val="28"/>
              </w:rPr>
              <w:t>5、已落实成员单位意见。补充了附件和附图，详见附件1-4，附图1</w:t>
            </w:r>
          </w:p>
        </w:tc>
      </w:tr>
    </w:tbl>
    <w:p w14:paraId="5A0658BF">
      <w:pPr>
        <w:pStyle w:val="25"/>
        <w:spacing w:line="240" w:lineRule="auto"/>
        <w:ind w:firstLine="0"/>
        <w:rPr>
          <w:rFonts w:ascii="Times New Roman" w:hAnsi="Times New Roman"/>
        </w:rPr>
      </w:pPr>
    </w:p>
    <w:p w14:paraId="30A0A58A">
      <w:pPr>
        <w:pStyle w:val="25"/>
        <w:rPr>
          <w:rFonts w:ascii="Times New Roman" w:hAnsi="Times New Roman"/>
        </w:rPr>
      </w:pPr>
    </w:p>
    <w:p w14:paraId="0CFB4C41">
      <w:pPr>
        <w:pStyle w:val="25"/>
        <w:rPr>
          <w:rFonts w:ascii="Times New Roman" w:hAnsi="Times New Roman"/>
        </w:rPr>
        <w:sectPr>
          <w:pgSz w:w="11906" w:h="16838"/>
          <w:pgMar w:top="1440" w:right="1134" w:bottom="1440" w:left="1134" w:header="851" w:footer="992" w:gutter="0"/>
          <w:cols w:space="425" w:num="1"/>
          <w:docGrid w:type="lines" w:linePitch="312" w:charSpace="0"/>
        </w:sectPr>
      </w:pPr>
    </w:p>
    <w:p w14:paraId="2A190B46">
      <w:pPr>
        <w:pStyle w:val="21"/>
        <w:spacing w:before="156" w:after="156"/>
        <w:rPr>
          <w:rFonts w:ascii="Times New Roman" w:hAnsi="Times New Roman"/>
          <w:color w:val="auto"/>
        </w:rPr>
      </w:pPr>
      <w:r>
        <w:rPr>
          <w:rFonts w:hint="eastAsia" w:ascii="Times New Roman" w:hAnsi="Times New Roman"/>
          <w:color w:val="auto"/>
        </w:rPr>
        <w:t>目录</w:t>
      </w:r>
    </w:p>
    <w:p w14:paraId="14FDBE25">
      <w:pPr>
        <w:pStyle w:val="12"/>
        <w:tabs>
          <w:tab w:val="right" w:leader="dot" w:pos="8494"/>
        </w:tabs>
        <w:rPr>
          <w:rFonts w:ascii="Times New Roman" w:hAnsi="Times New Roman" w:eastAsia="仿宋_GB2312"/>
          <w:sz w:val="32"/>
          <w:szCs w:val="32"/>
        </w:rPr>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TOC \o "1-3" \h \z \u </w:instrText>
      </w:r>
      <w:r>
        <w:rPr>
          <w:rFonts w:hint="eastAsia" w:ascii="Times New Roman" w:hAnsi="Times New Roman" w:eastAsia="仿宋_GB2312"/>
          <w:sz w:val="32"/>
          <w:szCs w:val="32"/>
        </w:rPr>
        <w:fldChar w:fldCharType="separate"/>
      </w:r>
      <w:r>
        <w:fldChar w:fldCharType="begin"/>
      </w:r>
      <w:r>
        <w:instrText xml:space="preserve"> HYPERLINK \l "_Toc205835902" </w:instrText>
      </w:r>
      <w:r>
        <w:fldChar w:fldCharType="separate"/>
      </w:r>
      <w:r>
        <w:rPr>
          <w:rStyle w:val="19"/>
          <w:rFonts w:hint="eastAsia" w:ascii="Times New Roman" w:hAnsi="Times New Roman" w:eastAsia="仿宋_GB2312"/>
          <w:color w:val="auto"/>
          <w:sz w:val="32"/>
          <w:szCs w:val="32"/>
        </w:rPr>
        <w:t>1.总则</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_Toc205835902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1</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49986B64">
      <w:pPr>
        <w:pStyle w:val="13"/>
        <w:rPr>
          <w:rFonts w:ascii="Times New Roman" w:hAnsi="Times New Roman" w:eastAsia="仿宋_GB2312"/>
        </w:rPr>
      </w:pPr>
      <w:r>
        <w:fldChar w:fldCharType="begin"/>
      </w:r>
      <w:r>
        <w:instrText xml:space="preserve"> HYPERLINK \l "_Toc205835903" </w:instrText>
      </w:r>
      <w:r>
        <w:fldChar w:fldCharType="separate"/>
      </w:r>
      <w:r>
        <w:rPr>
          <w:rStyle w:val="19"/>
          <w:rFonts w:hint="eastAsia" w:ascii="Times New Roman" w:hAnsi="Times New Roman" w:eastAsia="仿宋_GB2312"/>
          <w:color w:val="auto"/>
        </w:rPr>
        <w:t>1.1编制目的</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_Toc205835903 \h </w:instrText>
      </w:r>
      <w:r>
        <w:rPr>
          <w:rFonts w:hint="eastAsia" w:ascii="Times New Roman" w:hAnsi="Times New Roman" w:eastAsia="仿宋_GB2312"/>
        </w:rPr>
        <w:fldChar w:fldCharType="separate"/>
      </w:r>
      <w:r>
        <w:rPr>
          <w:rFonts w:ascii="Times New Roman" w:hAnsi="Times New Roman" w:eastAsia="仿宋_GB2312"/>
        </w:rPr>
        <w:t>1</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376A7C74">
      <w:pPr>
        <w:pStyle w:val="13"/>
        <w:rPr>
          <w:rFonts w:ascii="Times New Roman" w:hAnsi="Times New Roman" w:eastAsia="仿宋_GB2312"/>
        </w:rPr>
      </w:pPr>
      <w:r>
        <w:fldChar w:fldCharType="begin"/>
      </w:r>
      <w:r>
        <w:instrText xml:space="preserve"> HYPERLINK \l "_Toc205835904" </w:instrText>
      </w:r>
      <w:r>
        <w:fldChar w:fldCharType="separate"/>
      </w:r>
      <w:r>
        <w:rPr>
          <w:rStyle w:val="19"/>
          <w:rFonts w:hint="eastAsia" w:ascii="Times New Roman" w:hAnsi="Times New Roman" w:eastAsia="仿宋_GB2312"/>
          <w:color w:val="auto"/>
        </w:rPr>
        <w:t>1.2工作原则</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_Toc205835904 \h </w:instrText>
      </w:r>
      <w:r>
        <w:rPr>
          <w:rFonts w:hint="eastAsia" w:ascii="Times New Roman" w:hAnsi="Times New Roman" w:eastAsia="仿宋_GB2312"/>
        </w:rPr>
        <w:fldChar w:fldCharType="separate"/>
      </w:r>
      <w:r>
        <w:rPr>
          <w:rFonts w:ascii="Times New Roman" w:hAnsi="Times New Roman" w:eastAsia="仿宋_GB2312"/>
        </w:rPr>
        <w:t>1</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31C9BEBE">
      <w:pPr>
        <w:pStyle w:val="13"/>
        <w:rPr>
          <w:rFonts w:ascii="Times New Roman" w:hAnsi="Times New Roman" w:eastAsia="仿宋_GB2312"/>
        </w:rPr>
      </w:pPr>
      <w:r>
        <w:fldChar w:fldCharType="begin"/>
      </w:r>
      <w:r>
        <w:instrText xml:space="preserve"> HYPERLINK \l "_Toc205835905" </w:instrText>
      </w:r>
      <w:r>
        <w:fldChar w:fldCharType="separate"/>
      </w:r>
      <w:r>
        <w:rPr>
          <w:rStyle w:val="19"/>
          <w:rFonts w:hint="eastAsia" w:ascii="Times New Roman" w:hAnsi="Times New Roman" w:eastAsia="仿宋_GB2312"/>
          <w:color w:val="auto"/>
        </w:rPr>
        <w:t>1.3 编制依据</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_Toc205835905 \h </w:instrText>
      </w:r>
      <w:r>
        <w:rPr>
          <w:rFonts w:hint="eastAsia" w:ascii="Times New Roman" w:hAnsi="Times New Roman" w:eastAsia="仿宋_GB2312"/>
        </w:rPr>
        <w:fldChar w:fldCharType="separate"/>
      </w:r>
      <w:r>
        <w:rPr>
          <w:rFonts w:ascii="Times New Roman" w:hAnsi="Times New Roman" w:eastAsia="仿宋_GB2312"/>
        </w:rPr>
        <w:t>2</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770BDBC5">
      <w:pPr>
        <w:pStyle w:val="13"/>
        <w:rPr>
          <w:rFonts w:ascii="Times New Roman" w:hAnsi="Times New Roman" w:eastAsia="仿宋_GB2312"/>
        </w:rPr>
      </w:pPr>
      <w:r>
        <w:fldChar w:fldCharType="begin"/>
      </w:r>
      <w:r>
        <w:instrText xml:space="preserve"> HYPERLINK \l "_Toc205835906" </w:instrText>
      </w:r>
      <w:r>
        <w:fldChar w:fldCharType="separate"/>
      </w:r>
      <w:r>
        <w:rPr>
          <w:rStyle w:val="19"/>
          <w:rFonts w:hint="eastAsia" w:ascii="Times New Roman" w:hAnsi="Times New Roman" w:eastAsia="仿宋_GB2312"/>
          <w:color w:val="auto"/>
        </w:rPr>
        <w:t>1.4 适用范围</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_Toc205835906 \h </w:instrText>
      </w:r>
      <w:r>
        <w:rPr>
          <w:rFonts w:hint="eastAsia" w:ascii="Times New Roman" w:hAnsi="Times New Roman" w:eastAsia="仿宋_GB2312"/>
        </w:rPr>
        <w:fldChar w:fldCharType="separate"/>
      </w:r>
      <w:r>
        <w:rPr>
          <w:rFonts w:ascii="Times New Roman" w:hAnsi="Times New Roman" w:eastAsia="仿宋_GB2312"/>
        </w:rPr>
        <w:t>3</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00C2DC6F">
      <w:pPr>
        <w:pStyle w:val="13"/>
        <w:rPr>
          <w:rFonts w:ascii="Times New Roman" w:hAnsi="Times New Roman" w:eastAsia="仿宋_GB2312"/>
        </w:rPr>
      </w:pPr>
      <w:r>
        <w:fldChar w:fldCharType="begin"/>
      </w:r>
      <w:r>
        <w:instrText xml:space="preserve"> HYPERLINK \l "_Toc205835907" </w:instrText>
      </w:r>
      <w:r>
        <w:fldChar w:fldCharType="separate"/>
      </w:r>
      <w:r>
        <w:rPr>
          <w:rStyle w:val="19"/>
          <w:rFonts w:hint="eastAsia" w:ascii="Times New Roman" w:hAnsi="Times New Roman" w:eastAsia="仿宋_GB2312"/>
          <w:color w:val="auto"/>
        </w:rPr>
        <w:t>1.5 预案体系</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_Toc205835907 \h </w:instrText>
      </w:r>
      <w:r>
        <w:rPr>
          <w:rFonts w:hint="eastAsia" w:ascii="Times New Roman" w:hAnsi="Times New Roman" w:eastAsia="仿宋_GB2312"/>
        </w:rPr>
        <w:fldChar w:fldCharType="separate"/>
      </w:r>
      <w:r>
        <w:rPr>
          <w:rFonts w:ascii="Times New Roman" w:hAnsi="Times New Roman" w:eastAsia="仿宋_GB2312"/>
        </w:rPr>
        <w:t>4</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0204AA6B">
      <w:pPr>
        <w:pStyle w:val="12"/>
        <w:tabs>
          <w:tab w:val="right" w:leader="dot" w:pos="8494"/>
        </w:tabs>
        <w:rPr>
          <w:rFonts w:ascii="Times New Roman" w:hAnsi="Times New Roman" w:eastAsia="仿宋_GB2312"/>
          <w:sz w:val="32"/>
          <w:szCs w:val="32"/>
        </w:rPr>
      </w:pPr>
      <w:r>
        <w:fldChar w:fldCharType="begin"/>
      </w:r>
      <w:r>
        <w:instrText xml:space="preserve"> HYPERLINK \l "_Toc205835908" </w:instrText>
      </w:r>
      <w:r>
        <w:fldChar w:fldCharType="separate"/>
      </w:r>
      <w:r>
        <w:rPr>
          <w:rStyle w:val="19"/>
          <w:rFonts w:hint="eastAsia" w:ascii="Times New Roman" w:hAnsi="Times New Roman" w:eastAsia="仿宋_GB2312"/>
          <w:color w:val="auto"/>
          <w:sz w:val="32"/>
          <w:szCs w:val="32"/>
        </w:rPr>
        <w:t>2.应急组织机构</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_Toc205835908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5</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10E89D2A">
      <w:pPr>
        <w:pStyle w:val="13"/>
        <w:rPr>
          <w:rFonts w:ascii="Times New Roman" w:hAnsi="Times New Roman" w:eastAsia="仿宋_GB2312"/>
        </w:rPr>
      </w:pPr>
      <w:r>
        <w:fldChar w:fldCharType="begin"/>
      </w:r>
      <w:r>
        <w:instrText xml:space="preserve"> HYPERLINK \l "_Toc205835909" </w:instrText>
      </w:r>
      <w:r>
        <w:fldChar w:fldCharType="separate"/>
      </w:r>
      <w:r>
        <w:rPr>
          <w:rStyle w:val="19"/>
          <w:rFonts w:hint="eastAsia" w:ascii="Times New Roman" w:hAnsi="Times New Roman" w:eastAsia="仿宋_GB2312"/>
          <w:bCs/>
          <w:color w:val="auto"/>
          <w:kern w:val="44"/>
        </w:rPr>
        <w:t>2.1指挥部</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_Toc205835909 \h </w:instrText>
      </w:r>
      <w:r>
        <w:rPr>
          <w:rFonts w:hint="eastAsia" w:ascii="Times New Roman" w:hAnsi="Times New Roman" w:eastAsia="仿宋_GB2312"/>
        </w:rPr>
        <w:fldChar w:fldCharType="separate"/>
      </w:r>
      <w:r>
        <w:rPr>
          <w:rFonts w:ascii="Times New Roman" w:hAnsi="Times New Roman" w:eastAsia="仿宋_GB2312"/>
        </w:rPr>
        <w:t>5</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78BB9E2A">
      <w:pPr>
        <w:pStyle w:val="13"/>
        <w:rPr>
          <w:rFonts w:ascii="Times New Roman" w:hAnsi="Times New Roman" w:eastAsia="仿宋_GB2312"/>
        </w:rPr>
      </w:pPr>
      <w:r>
        <w:fldChar w:fldCharType="begin"/>
      </w:r>
      <w:r>
        <w:instrText xml:space="preserve"> HYPERLINK \l "_Toc205835910" </w:instrText>
      </w:r>
      <w:r>
        <w:fldChar w:fldCharType="separate"/>
      </w:r>
      <w:r>
        <w:rPr>
          <w:rStyle w:val="19"/>
          <w:rFonts w:hint="eastAsia" w:ascii="Times New Roman" w:hAnsi="Times New Roman" w:eastAsia="仿宋_GB2312"/>
          <w:bCs/>
          <w:color w:val="auto"/>
          <w:kern w:val="44"/>
        </w:rPr>
        <w:t>2.2应急指挥部工作组</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_Toc205835910 \h </w:instrText>
      </w:r>
      <w:r>
        <w:rPr>
          <w:rFonts w:hint="eastAsia" w:ascii="Times New Roman" w:hAnsi="Times New Roman" w:eastAsia="仿宋_GB2312"/>
        </w:rPr>
        <w:fldChar w:fldCharType="separate"/>
      </w:r>
      <w:r>
        <w:rPr>
          <w:rFonts w:ascii="Times New Roman" w:hAnsi="Times New Roman" w:eastAsia="仿宋_GB2312"/>
        </w:rPr>
        <w:t>5</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0A54CD86">
      <w:pPr>
        <w:pStyle w:val="12"/>
        <w:tabs>
          <w:tab w:val="right" w:leader="dot" w:pos="8494"/>
        </w:tabs>
        <w:rPr>
          <w:rFonts w:ascii="Times New Roman" w:hAnsi="Times New Roman" w:eastAsia="仿宋_GB2312"/>
          <w:sz w:val="32"/>
          <w:szCs w:val="32"/>
        </w:rPr>
      </w:pPr>
      <w:r>
        <w:fldChar w:fldCharType="begin"/>
      </w:r>
      <w:r>
        <w:instrText xml:space="preserve"> HYPERLINK \l "_Toc205835911" </w:instrText>
      </w:r>
      <w:r>
        <w:fldChar w:fldCharType="separate"/>
      </w:r>
      <w:r>
        <w:rPr>
          <w:rStyle w:val="19"/>
          <w:rFonts w:hint="eastAsia" w:ascii="Times New Roman" w:hAnsi="Times New Roman" w:eastAsia="仿宋_GB2312"/>
          <w:color w:val="auto"/>
          <w:sz w:val="32"/>
          <w:szCs w:val="32"/>
        </w:rPr>
        <w:t>3区域概况及风险评估</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_Toc205835911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6</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445BE31A">
      <w:pPr>
        <w:pStyle w:val="13"/>
        <w:rPr>
          <w:rFonts w:ascii="Times New Roman" w:hAnsi="Times New Roman" w:eastAsia="仿宋_GB2312"/>
        </w:rPr>
      </w:pPr>
      <w:r>
        <w:fldChar w:fldCharType="begin"/>
      </w:r>
      <w:r>
        <w:instrText xml:space="preserve"> HYPERLINK \l "_Toc205835912" </w:instrText>
      </w:r>
      <w:r>
        <w:fldChar w:fldCharType="separate"/>
      </w:r>
      <w:r>
        <w:rPr>
          <w:rStyle w:val="19"/>
          <w:rFonts w:hint="eastAsia" w:ascii="Times New Roman" w:hAnsi="Times New Roman" w:eastAsia="仿宋_GB2312"/>
          <w:color w:val="auto"/>
        </w:rPr>
        <w:t>3.1 区域概况</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_Toc205835912 \h </w:instrText>
      </w:r>
      <w:r>
        <w:rPr>
          <w:rFonts w:hint="eastAsia" w:ascii="Times New Roman" w:hAnsi="Times New Roman" w:eastAsia="仿宋_GB2312"/>
        </w:rPr>
        <w:fldChar w:fldCharType="separate"/>
      </w:r>
      <w:r>
        <w:rPr>
          <w:rFonts w:ascii="Times New Roman" w:hAnsi="Times New Roman" w:eastAsia="仿宋_GB2312"/>
        </w:rPr>
        <w:t>6</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7388918B">
      <w:pPr>
        <w:pStyle w:val="13"/>
        <w:rPr>
          <w:rFonts w:ascii="Times New Roman" w:hAnsi="Times New Roman" w:eastAsia="仿宋_GB2312"/>
        </w:rPr>
      </w:pPr>
      <w:r>
        <w:fldChar w:fldCharType="begin"/>
      </w:r>
      <w:r>
        <w:instrText xml:space="preserve"> HYPERLINK \l "_Toc205835918" </w:instrText>
      </w:r>
      <w:r>
        <w:fldChar w:fldCharType="separate"/>
      </w:r>
      <w:r>
        <w:rPr>
          <w:rStyle w:val="19"/>
          <w:rFonts w:hint="eastAsia" w:ascii="Times New Roman" w:hAnsi="Times New Roman" w:eastAsia="仿宋_GB2312"/>
          <w:color w:val="auto"/>
        </w:rPr>
        <w:t>3.2风险评估</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_Toc205835918 \h </w:instrText>
      </w:r>
      <w:r>
        <w:rPr>
          <w:rFonts w:hint="eastAsia" w:ascii="Times New Roman" w:hAnsi="Times New Roman" w:eastAsia="仿宋_GB2312"/>
        </w:rPr>
        <w:fldChar w:fldCharType="separate"/>
      </w:r>
      <w:r>
        <w:rPr>
          <w:rFonts w:ascii="Times New Roman" w:hAnsi="Times New Roman" w:eastAsia="仿宋_GB2312"/>
        </w:rPr>
        <w:t>8</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714AAA13">
      <w:pPr>
        <w:pStyle w:val="8"/>
        <w:tabs>
          <w:tab w:val="right" w:leader="dot" w:pos="8494"/>
        </w:tabs>
        <w:rPr>
          <w:rFonts w:ascii="Times New Roman" w:hAnsi="Times New Roman" w:eastAsia="仿宋_GB2312"/>
          <w:sz w:val="32"/>
          <w:szCs w:val="32"/>
        </w:rPr>
      </w:pPr>
      <w:r>
        <w:fldChar w:fldCharType="begin"/>
      </w:r>
      <w:r>
        <w:instrText xml:space="preserve"> HYPERLINK \l "_Toc205835919" </w:instrText>
      </w:r>
      <w:r>
        <w:fldChar w:fldCharType="separate"/>
      </w:r>
      <w:r>
        <w:rPr>
          <w:rStyle w:val="19"/>
          <w:rFonts w:hint="eastAsia" w:ascii="Times New Roman" w:hAnsi="Times New Roman" w:eastAsia="仿宋_GB2312"/>
          <w:color w:val="auto"/>
          <w:sz w:val="32"/>
          <w:szCs w:val="32"/>
        </w:rPr>
        <w:t>3.2.1风险源识别和评估</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_Toc205835919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8</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040C3548">
      <w:pPr>
        <w:pStyle w:val="8"/>
        <w:tabs>
          <w:tab w:val="right" w:leader="dot" w:pos="8494"/>
        </w:tabs>
        <w:rPr>
          <w:rFonts w:ascii="Times New Roman" w:hAnsi="Times New Roman" w:eastAsia="仿宋_GB2312"/>
          <w:sz w:val="32"/>
          <w:szCs w:val="32"/>
        </w:rPr>
      </w:pPr>
      <w:r>
        <w:fldChar w:fldCharType="begin"/>
      </w:r>
      <w:r>
        <w:instrText xml:space="preserve"> HYPERLINK \l "_Toc205835920" </w:instrText>
      </w:r>
      <w:r>
        <w:fldChar w:fldCharType="separate"/>
      </w:r>
      <w:r>
        <w:rPr>
          <w:rStyle w:val="19"/>
          <w:rFonts w:hint="eastAsia" w:ascii="Times New Roman" w:hAnsi="Times New Roman" w:eastAsia="仿宋_GB2312"/>
          <w:color w:val="auto"/>
          <w:sz w:val="32"/>
          <w:szCs w:val="32"/>
        </w:rPr>
        <w:t>3.2.2环境风险能力建设</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_Toc205835920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10</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314B5E94">
      <w:pPr>
        <w:pStyle w:val="12"/>
        <w:tabs>
          <w:tab w:val="right" w:leader="dot" w:pos="8494"/>
        </w:tabs>
        <w:rPr>
          <w:rFonts w:ascii="Times New Roman" w:hAnsi="Times New Roman" w:eastAsia="仿宋_GB2312"/>
          <w:sz w:val="32"/>
          <w:szCs w:val="32"/>
        </w:rPr>
      </w:pPr>
      <w:r>
        <w:fldChar w:fldCharType="begin"/>
      </w:r>
      <w:r>
        <w:instrText xml:space="preserve"> HYPERLINK \l "_Toc205835921" </w:instrText>
      </w:r>
      <w:r>
        <w:fldChar w:fldCharType="separate"/>
      </w:r>
      <w:r>
        <w:rPr>
          <w:rStyle w:val="19"/>
          <w:rFonts w:hint="eastAsia" w:ascii="Times New Roman" w:hAnsi="Times New Roman" w:eastAsia="仿宋_GB2312"/>
          <w:color w:val="auto"/>
          <w:sz w:val="32"/>
          <w:szCs w:val="32"/>
        </w:rPr>
        <w:t>4监测和预警</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_Toc205835921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12</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6D65F7BE">
      <w:pPr>
        <w:pStyle w:val="13"/>
        <w:rPr>
          <w:rFonts w:ascii="Times New Roman" w:hAnsi="Times New Roman" w:eastAsia="仿宋_GB2312"/>
        </w:rPr>
      </w:pPr>
      <w:r>
        <w:fldChar w:fldCharType="begin"/>
      </w:r>
      <w:r>
        <w:instrText xml:space="preserve"> HYPERLINK \l "_Toc205835922" </w:instrText>
      </w:r>
      <w:r>
        <w:fldChar w:fldCharType="separate"/>
      </w:r>
      <w:r>
        <w:rPr>
          <w:rStyle w:val="19"/>
          <w:rFonts w:hint="eastAsia" w:ascii="Times New Roman" w:hAnsi="Times New Roman" w:eastAsia="仿宋_GB2312"/>
          <w:color w:val="auto"/>
        </w:rPr>
        <w:t>4.1监测</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_Toc205835922 \h </w:instrText>
      </w:r>
      <w:r>
        <w:rPr>
          <w:rFonts w:hint="eastAsia" w:ascii="Times New Roman" w:hAnsi="Times New Roman" w:eastAsia="仿宋_GB2312"/>
        </w:rPr>
        <w:fldChar w:fldCharType="separate"/>
      </w:r>
      <w:r>
        <w:rPr>
          <w:rFonts w:ascii="Times New Roman" w:hAnsi="Times New Roman" w:eastAsia="仿宋_GB2312"/>
        </w:rPr>
        <w:t>12</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0ABDED5A">
      <w:pPr>
        <w:pStyle w:val="13"/>
        <w:rPr>
          <w:rFonts w:ascii="Times New Roman" w:hAnsi="Times New Roman" w:eastAsia="仿宋_GB2312"/>
        </w:rPr>
      </w:pPr>
      <w:r>
        <w:fldChar w:fldCharType="begin"/>
      </w:r>
      <w:r>
        <w:instrText xml:space="preserve"> HYPERLINK \l "_Toc205835923" </w:instrText>
      </w:r>
      <w:r>
        <w:fldChar w:fldCharType="separate"/>
      </w:r>
      <w:r>
        <w:rPr>
          <w:rStyle w:val="19"/>
          <w:rFonts w:hint="eastAsia" w:ascii="Times New Roman" w:hAnsi="Times New Roman" w:eastAsia="仿宋_GB2312"/>
          <w:color w:val="auto"/>
        </w:rPr>
        <w:t>4.2预警</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_Toc205835923 \h </w:instrText>
      </w:r>
      <w:r>
        <w:rPr>
          <w:rFonts w:hint="eastAsia" w:ascii="Times New Roman" w:hAnsi="Times New Roman" w:eastAsia="仿宋_GB2312"/>
        </w:rPr>
        <w:fldChar w:fldCharType="separate"/>
      </w:r>
      <w:r>
        <w:rPr>
          <w:rFonts w:ascii="Times New Roman" w:hAnsi="Times New Roman" w:eastAsia="仿宋_GB2312"/>
        </w:rPr>
        <w:t>12</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74A3707E">
      <w:pPr>
        <w:pStyle w:val="8"/>
        <w:tabs>
          <w:tab w:val="right" w:leader="dot" w:pos="8494"/>
        </w:tabs>
        <w:rPr>
          <w:rFonts w:ascii="Times New Roman" w:hAnsi="Times New Roman" w:eastAsia="仿宋_GB2312"/>
          <w:sz w:val="32"/>
          <w:szCs w:val="32"/>
        </w:rPr>
      </w:pPr>
      <w:r>
        <w:fldChar w:fldCharType="begin"/>
      </w:r>
      <w:r>
        <w:instrText xml:space="preserve"> HYPERLINK \l "_Toc205835924" </w:instrText>
      </w:r>
      <w:r>
        <w:fldChar w:fldCharType="separate"/>
      </w:r>
      <w:r>
        <w:rPr>
          <w:rStyle w:val="19"/>
          <w:rFonts w:hint="eastAsia" w:ascii="Times New Roman" w:hAnsi="Times New Roman" w:eastAsia="仿宋_GB2312"/>
          <w:color w:val="auto"/>
          <w:sz w:val="32"/>
          <w:szCs w:val="32"/>
        </w:rPr>
        <w:t>4.2.1预警分级</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_Toc205835924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12</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1882AC27">
      <w:pPr>
        <w:pStyle w:val="8"/>
        <w:tabs>
          <w:tab w:val="right" w:leader="dot" w:pos="8494"/>
        </w:tabs>
        <w:rPr>
          <w:rFonts w:ascii="Times New Roman" w:hAnsi="Times New Roman" w:eastAsia="仿宋_GB2312"/>
          <w:sz w:val="32"/>
          <w:szCs w:val="32"/>
        </w:rPr>
      </w:pPr>
      <w:r>
        <w:fldChar w:fldCharType="begin"/>
      </w:r>
      <w:r>
        <w:instrText xml:space="preserve"> HYPERLINK \l "_Toc205835925" </w:instrText>
      </w:r>
      <w:r>
        <w:fldChar w:fldCharType="separate"/>
      </w:r>
      <w:r>
        <w:rPr>
          <w:rStyle w:val="19"/>
          <w:rFonts w:hint="eastAsia" w:ascii="Times New Roman" w:hAnsi="Times New Roman" w:eastAsia="仿宋_GB2312"/>
          <w:color w:val="auto"/>
          <w:sz w:val="32"/>
          <w:szCs w:val="32"/>
        </w:rPr>
        <w:t>4.2.2预警信息发布</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_Toc205835925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14</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70D66CF0">
      <w:pPr>
        <w:pStyle w:val="8"/>
        <w:tabs>
          <w:tab w:val="right" w:leader="dot" w:pos="8494"/>
        </w:tabs>
        <w:rPr>
          <w:rFonts w:ascii="Times New Roman" w:hAnsi="Times New Roman" w:eastAsia="仿宋_GB2312"/>
          <w:sz w:val="32"/>
          <w:szCs w:val="32"/>
        </w:rPr>
      </w:pPr>
      <w:r>
        <w:fldChar w:fldCharType="begin"/>
      </w:r>
      <w:r>
        <w:instrText xml:space="preserve"> HYPERLINK \l "_Toc205835926" </w:instrText>
      </w:r>
      <w:r>
        <w:fldChar w:fldCharType="separate"/>
      </w:r>
      <w:r>
        <w:rPr>
          <w:rStyle w:val="19"/>
          <w:rFonts w:hint="eastAsia" w:ascii="Times New Roman" w:hAnsi="Times New Roman" w:eastAsia="仿宋_GB2312"/>
          <w:color w:val="auto"/>
          <w:sz w:val="32"/>
          <w:szCs w:val="32"/>
        </w:rPr>
        <w:t>4.2.3预警行动</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_Toc205835926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15</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255AD939">
      <w:pPr>
        <w:pStyle w:val="8"/>
        <w:tabs>
          <w:tab w:val="right" w:leader="dot" w:pos="8494"/>
        </w:tabs>
        <w:rPr>
          <w:rFonts w:ascii="Times New Roman" w:hAnsi="Times New Roman" w:eastAsia="仿宋_GB2312"/>
          <w:sz w:val="32"/>
          <w:szCs w:val="32"/>
        </w:rPr>
      </w:pPr>
      <w:r>
        <w:fldChar w:fldCharType="begin"/>
      </w:r>
      <w:r>
        <w:instrText xml:space="preserve"> HYPERLINK \l "_Toc205835927" </w:instrText>
      </w:r>
      <w:r>
        <w:fldChar w:fldCharType="separate"/>
      </w:r>
      <w:r>
        <w:rPr>
          <w:rStyle w:val="19"/>
          <w:rFonts w:hint="eastAsia" w:ascii="Times New Roman" w:hAnsi="Times New Roman" w:eastAsia="仿宋_GB2312"/>
          <w:color w:val="auto"/>
          <w:sz w:val="32"/>
          <w:szCs w:val="32"/>
        </w:rPr>
        <w:t>4.2.4 预警级别调整和解除</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_Toc205835927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15</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441B2095">
      <w:pPr>
        <w:pStyle w:val="12"/>
        <w:tabs>
          <w:tab w:val="right" w:leader="dot" w:pos="8494"/>
        </w:tabs>
        <w:rPr>
          <w:rFonts w:ascii="Times New Roman" w:hAnsi="Times New Roman" w:eastAsia="仿宋_GB2312"/>
          <w:sz w:val="32"/>
          <w:szCs w:val="32"/>
        </w:rPr>
      </w:pPr>
      <w:r>
        <w:fldChar w:fldCharType="begin"/>
      </w:r>
      <w:r>
        <w:instrText xml:space="preserve"> HYPERLINK \l "_Toc205835928" </w:instrText>
      </w:r>
      <w:r>
        <w:fldChar w:fldCharType="separate"/>
      </w:r>
      <w:r>
        <w:rPr>
          <w:rStyle w:val="19"/>
          <w:rFonts w:hint="eastAsia" w:ascii="Times New Roman" w:hAnsi="Times New Roman" w:eastAsia="仿宋_GB2312"/>
          <w:color w:val="auto"/>
          <w:sz w:val="32"/>
          <w:szCs w:val="32"/>
        </w:rPr>
        <w:t>5应急处置与救援</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_Toc205835928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16</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2190DF42">
      <w:pPr>
        <w:pStyle w:val="13"/>
        <w:rPr>
          <w:rFonts w:ascii="Times New Roman" w:hAnsi="Times New Roman" w:eastAsia="仿宋_GB2312"/>
        </w:rPr>
      </w:pPr>
      <w:r>
        <w:fldChar w:fldCharType="begin"/>
      </w:r>
      <w:r>
        <w:instrText xml:space="preserve"> HYPERLINK \l "_Toc205835929" </w:instrText>
      </w:r>
      <w:r>
        <w:fldChar w:fldCharType="separate"/>
      </w:r>
      <w:r>
        <w:rPr>
          <w:rStyle w:val="19"/>
          <w:rFonts w:hint="eastAsia" w:ascii="Times New Roman" w:hAnsi="Times New Roman" w:eastAsia="仿宋_GB2312"/>
          <w:color w:val="auto"/>
        </w:rPr>
        <w:t>5.1信息报告与通报</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_Toc205835929 \h </w:instrText>
      </w:r>
      <w:r>
        <w:rPr>
          <w:rFonts w:hint="eastAsia" w:ascii="Times New Roman" w:hAnsi="Times New Roman" w:eastAsia="仿宋_GB2312"/>
        </w:rPr>
        <w:fldChar w:fldCharType="separate"/>
      </w:r>
      <w:r>
        <w:rPr>
          <w:rFonts w:ascii="Times New Roman" w:hAnsi="Times New Roman" w:eastAsia="仿宋_GB2312"/>
        </w:rPr>
        <w:t>16</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248E65A7">
      <w:pPr>
        <w:pStyle w:val="8"/>
        <w:tabs>
          <w:tab w:val="right" w:leader="dot" w:pos="8494"/>
        </w:tabs>
        <w:rPr>
          <w:rFonts w:ascii="Times New Roman" w:hAnsi="Times New Roman" w:eastAsia="仿宋_GB2312"/>
          <w:sz w:val="32"/>
          <w:szCs w:val="32"/>
        </w:rPr>
      </w:pPr>
      <w:r>
        <w:fldChar w:fldCharType="begin"/>
      </w:r>
      <w:r>
        <w:instrText xml:space="preserve"> HYPERLINK \l "_Toc205835930" </w:instrText>
      </w:r>
      <w:r>
        <w:fldChar w:fldCharType="separate"/>
      </w:r>
      <w:r>
        <w:rPr>
          <w:rStyle w:val="19"/>
          <w:rFonts w:hint="eastAsia" w:ascii="Times New Roman" w:hAnsi="Times New Roman" w:eastAsia="仿宋_GB2312"/>
          <w:color w:val="auto"/>
          <w:sz w:val="32"/>
          <w:szCs w:val="32"/>
        </w:rPr>
        <w:t>5.1.1信息报告</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_Toc205835930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16</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13919F84">
      <w:pPr>
        <w:pStyle w:val="8"/>
        <w:tabs>
          <w:tab w:val="right" w:leader="dot" w:pos="8494"/>
        </w:tabs>
        <w:rPr>
          <w:rFonts w:ascii="Times New Roman" w:hAnsi="Times New Roman" w:eastAsia="仿宋_GB2312"/>
          <w:sz w:val="32"/>
          <w:szCs w:val="32"/>
        </w:rPr>
      </w:pPr>
      <w:r>
        <w:fldChar w:fldCharType="begin"/>
      </w:r>
      <w:r>
        <w:instrText xml:space="preserve"> HYPERLINK \l "_Toc205835931" </w:instrText>
      </w:r>
      <w:r>
        <w:fldChar w:fldCharType="separate"/>
      </w:r>
      <w:r>
        <w:rPr>
          <w:rStyle w:val="19"/>
          <w:rFonts w:hint="eastAsia" w:ascii="Times New Roman" w:hAnsi="Times New Roman" w:eastAsia="仿宋_GB2312"/>
          <w:color w:val="auto"/>
          <w:sz w:val="32"/>
          <w:szCs w:val="32"/>
        </w:rPr>
        <w:t>5.1.2信息报告分类</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_Toc205835931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17</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6E7C1CCB">
      <w:pPr>
        <w:pStyle w:val="8"/>
        <w:tabs>
          <w:tab w:val="right" w:leader="dot" w:pos="8494"/>
        </w:tabs>
        <w:rPr>
          <w:rFonts w:ascii="Times New Roman" w:hAnsi="Times New Roman" w:eastAsia="仿宋_GB2312"/>
          <w:sz w:val="32"/>
          <w:szCs w:val="32"/>
        </w:rPr>
      </w:pPr>
      <w:r>
        <w:fldChar w:fldCharType="begin"/>
      </w:r>
      <w:r>
        <w:instrText xml:space="preserve"> HYPERLINK \l "_Toc205835932" </w:instrText>
      </w:r>
      <w:r>
        <w:fldChar w:fldCharType="separate"/>
      </w:r>
      <w:r>
        <w:rPr>
          <w:rStyle w:val="19"/>
          <w:rFonts w:hint="eastAsia" w:ascii="Times New Roman" w:hAnsi="Times New Roman" w:eastAsia="仿宋_GB2312"/>
          <w:color w:val="auto"/>
          <w:sz w:val="32"/>
          <w:szCs w:val="32"/>
        </w:rPr>
        <w:t>5.1.2信息共享</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_Toc205835932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18</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60889063">
      <w:pPr>
        <w:pStyle w:val="13"/>
        <w:rPr>
          <w:rFonts w:ascii="Times New Roman" w:hAnsi="Times New Roman" w:eastAsia="仿宋_GB2312"/>
        </w:rPr>
      </w:pPr>
      <w:r>
        <w:fldChar w:fldCharType="begin"/>
      </w:r>
      <w:r>
        <w:instrText xml:space="preserve"> HYPERLINK \l "_Toc205835933" </w:instrText>
      </w:r>
      <w:r>
        <w:fldChar w:fldCharType="separate"/>
      </w:r>
      <w:r>
        <w:rPr>
          <w:rStyle w:val="19"/>
          <w:rFonts w:hint="eastAsia" w:ascii="Times New Roman" w:hAnsi="Times New Roman" w:eastAsia="仿宋_GB2312"/>
          <w:color w:val="auto"/>
        </w:rPr>
        <w:t>5.2先期处置</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_Toc205835933 \h </w:instrText>
      </w:r>
      <w:r>
        <w:rPr>
          <w:rFonts w:hint="eastAsia" w:ascii="Times New Roman" w:hAnsi="Times New Roman" w:eastAsia="仿宋_GB2312"/>
        </w:rPr>
        <w:fldChar w:fldCharType="separate"/>
      </w:r>
      <w:r>
        <w:rPr>
          <w:rFonts w:ascii="Times New Roman" w:hAnsi="Times New Roman" w:eastAsia="仿宋_GB2312"/>
        </w:rPr>
        <w:t>18</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096B69D6">
      <w:pPr>
        <w:pStyle w:val="13"/>
        <w:rPr>
          <w:rFonts w:ascii="Times New Roman" w:hAnsi="Times New Roman" w:eastAsia="仿宋_GB2312"/>
        </w:rPr>
      </w:pPr>
      <w:r>
        <w:fldChar w:fldCharType="begin"/>
      </w:r>
      <w:r>
        <w:instrText xml:space="preserve"> HYPERLINK \l "_Toc205835934" </w:instrText>
      </w:r>
      <w:r>
        <w:fldChar w:fldCharType="separate"/>
      </w:r>
      <w:r>
        <w:rPr>
          <w:rStyle w:val="19"/>
          <w:rFonts w:hint="eastAsia" w:ascii="Times New Roman" w:hAnsi="Times New Roman" w:eastAsia="仿宋_GB2312"/>
          <w:color w:val="auto"/>
        </w:rPr>
        <w:t>5.3应急响应</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_Toc205835934 \h </w:instrText>
      </w:r>
      <w:r>
        <w:rPr>
          <w:rFonts w:hint="eastAsia" w:ascii="Times New Roman" w:hAnsi="Times New Roman" w:eastAsia="仿宋_GB2312"/>
        </w:rPr>
        <w:fldChar w:fldCharType="separate"/>
      </w:r>
      <w:r>
        <w:rPr>
          <w:rFonts w:ascii="Times New Roman" w:hAnsi="Times New Roman" w:eastAsia="仿宋_GB2312"/>
        </w:rPr>
        <w:t>18</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585578C3">
      <w:pPr>
        <w:pStyle w:val="8"/>
        <w:tabs>
          <w:tab w:val="right" w:leader="dot" w:pos="8494"/>
        </w:tabs>
        <w:rPr>
          <w:rFonts w:ascii="Times New Roman" w:hAnsi="Times New Roman" w:eastAsia="仿宋_GB2312"/>
          <w:sz w:val="32"/>
          <w:szCs w:val="32"/>
        </w:rPr>
      </w:pPr>
      <w:r>
        <w:fldChar w:fldCharType="begin"/>
      </w:r>
      <w:r>
        <w:instrText xml:space="preserve"> HYPERLINK \l "_Toc205835935" </w:instrText>
      </w:r>
      <w:r>
        <w:fldChar w:fldCharType="separate"/>
      </w:r>
      <w:r>
        <w:rPr>
          <w:rStyle w:val="19"/>
          <w:rFonts w:hint="eastAsia" w:ascii="Times New Roman" w:hAnsi="Times New Roman" w:eastAsia="仿宋_GB2312"/>
          <w:color w:val="auto"/>
          <w:sz w:val="32"/>
          <w:szCs w:val="32"/>
        </w:rPr>
        <w:t>5.3.1 分级响应</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_Toc205835935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18</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733E3D3C">
      <w:pPr>
        <w:pStyle w:val="13"/>
        <w:rPr>
          <w:rFonts w:ascii="Times New Roman" w:hAnsi="Times New Roman" w:eastAsia="仿宋_GB2312"/>
        </w:rPr>
      </w:pPr>
      <w:r>
        <w:fldChar w:fldCharType="begin"/>
      </w:r>
      <w:r>
        <w:instrText xml:space="preserve"> HYPERLINK \l "_Toc205835936" </w:instrText>
      </w:r>
      <w:r>
        <w:fldChar w:fldCharType="separate"/>
      </w:r>
      <w:r>
        <w:rPr>
          <w:rStyle w:val="19"/>
          <w:rFonts w:hint="eastAsia" w:ascii="Times New Roman" w:hAnsi="Times New Roman" w:eastAsia="仿宋_GB2312"/>
          <w:color w:val="auto"/>
        </w:rPr>
        <w:t>5.4应急措施</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_Toc205835936 \h </w:instrText>
      </w:r>
      <w:r>
        <w:rPr>
          <w:rFonts w:hint="eastAsia" w:ascii="Times New Roman" w:hAnsi="Times New Roman" w:eastAsia="仿宋_GB2312"/>
        </w:rPr>
        <w:fldChar w:fldCharType="separate"/>
      </w:r>
      <w:r>
        <w:rPr>
          <w:rFonts w:ascii="Times New Roman" w:hAnsi="Times New Roman" w:eastAsia="仿宋_GB2312"/>
        </w:rPr>
        <w:t>19</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1BECB530">
      <w:pPr>
        <w:pStyle w:val="8"/>
        <w:tabs>
          <w:tab w:val="right" w:leader="dot" w:pos="8494"/>
        </w:tabs>
        <w:rPr>
          <w:rFonts w:ascii="Times New Roman" w:hAnsi="Times New Roman" w:eastAsia="仿宋_GB2312"/>
          <w:sz w:val="32"/>
          <w:szCs w:val="32"/>
        </w:rPr>
      </w:pPr>
      <w:r>
        <w:fldChar w:fldCharType="begin"/>
      </w:r>
      <w:r>
        <w:instrText xml:space="preserve"> HYPERLINK \l "_Toc205835937" </w:instrText>
      </w:r>
      <w:r>
        <w:fldChar w:fldCharType="separate"/>
      </w:r>
      <w:r>
        <w:rPr>
          <w:rStyle w:val="19"/>
          <w:rFonts w:hint="eastAsia" w:ascii="Times New Roman" w:hAnsi="Times New Roman" w:eastAsia="仿宋_GB2312"/>
          <w:color w:val="auto"/>
          <w:sz w:val="32"/>
          <w:szCs w:val="32"/>
        </w:rPr>
        <w:t>5.4.1现场污染处置</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_Toc205835937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19</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635CB25B">
      <w:pPr>
        <w:pStyle w:val="8"/>
        <w:tabs>
          <w:tab w:val="right" w:leader="dot" w:pos="8494"/>
        </w:tabs>
        <w:rPr>
          <w:rFonts w:ascii="Times New Roman" w:hAnsi="Times New Roman" w:eastAsia="仿宋_GB2312"/>
          <w:sz w:val="32"/>
          <w:szCs w:val="32"/>
        </w:rPr>
      </w:pPr>
      <w:r>
        <w:fldChar w:fldCharType="begin"/>
      </w:r>
      <w:r>
        <w:instrText xml:space="preserve"> HYPERLINK \l "_Toc205835938" </w:instrText>
      </w:r>
      <w:r>
        <w:fldChar w:fldCharType="separate"/>
      </w:r>
      <w:r>
        <w:rPr>
          <w:rStyle w:val="19"/>
          <w:rFonts w:hint="eastAsia" w:ascii="Times New Roman" w:hAnsi="Times New Roman" w:eastAsia="仿宋_GB2312"/>
          <w:color w:val="auto"/>
          <w:sz w:val="32"/>
          <w:szCs w:val="32"/>
        </w:rPr>
        <w:t>5.4.2转移安置人员</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_Toc205835938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20</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7E4E784D">
      <w:pPr>
        <w:pStyle w:val="8"/>
        <w:tabs>
          <w:tab w:val="right" w:leader="dot" w:pos="8494"/>
        </w:tabs>
        <w:rPr>
          <w:rFonts w:ascii="Times New Roman" w:hAnsi="Times New Roman" w:eastAsia="仿宋_GB2312"/>
          <w:sz w:val="32"/>
          <w:szCs w:val="32"/>
        </w:rPr>
      </w:pPr>
      <w:r>
        <w:fldChar w:fldCharType="begin"/>
      </w:r>
      <w:r>
        <w:instrText xml:space="preserve"> HYPERLINK \l "_Toc205835939" </w:instrText>
      </w:r>
      <w:r>
        <w:fldChar w:fldCharType="separate"/>
      </w:r>
      <w:r>
        <w:rPr>
          <w:rStyle w:val="19"/>
          <w:rFonts w:hint="eastAsia" w:ascii="Times New Roman" w:hAnsi="Times New Roman" w:eastAsia="仿宋_GB2312"/>
          <w:color w:val="auto"/>
          <w:sz w:val="32"/>
          <w:szCs w:val="32"/>
        </w:rPr>
        <w:t>5.4.3应急监测</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_Toc205835939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20</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72F9F2CF">
      <w:pPr>
        <w:pStyle w:val="8"/>
        <w:tabs>
          <w:tab w:val="right" w:leader="dot" w:pos="8494"/>
        </w:tabs>
        <w:rPr>
          <w:rFonts w:ascii="Times New Roman" w:hAnsi="Times New Roman" w:eastAsia="仿宋_GB2312"/>
          <w:sz w:val="32"/>
          <w:szCs w:val="32"/>
        </w:rPr>
      </w:pPr>
      <w:r>
        <w:fldChar w:fldCharType="begin"/>
      </w:r>
      <w:r>
        <w:instrText xml:space="preserve"> HYPERLINK \l "_Toc205835940" </w:instrText>
      </w:r>
      <w:r>
        <w:fldChar w:fldCharType="separate"/>
      </w:r>
      <w:r>
        <w:rPr>
          <w:rStyle w:val="19"/>
          <w:rFonts w:hint="eastAsia" w:ascii="Times New Roman" w:hAnsi="Times New Roman" w:eastAsia="仿宋_GB2312"/>
          <w:color w:val="auto"/>
          <w:sz w:val="32"/>
          <w:szCs w:val="32"/>
        </w:rPr>
        <w:t>5.4.4信息发布和舆论引导</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_Toc205835940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21</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5906F140">
      <w:pPr>
        <w:pStyle w:val="8"/>
        <w:tabs>
          <w:tab w:val="right" w:leader="dot" w:pos="8494"/>
        </w:tabs>
        <w:rPr>
          <w:rFonts w:ascii="Times New Roman" w:hAnsi="Times New Roman" w:eastAsia="仿宋_GB2312"/>
          <w:sz w:val="32"/>
          <w:szCs w:val="32"/>
        </w:rPr>
      </w:pPr>
      <w:r>
        <w:fldChar w:fldCharType="begin"/>
      </w:r>
      <w:r>
        <w:instrText xml:space="preserve"> HYPERLINK \l "_Toc205835941" </w:instrText>
      </w:r>
      <w:r>
        <w:fldChar w:fldCharType="separate"/>
      </w:r>
      <w:r>
        <w:rPr>
          <w:rStyle w:val="19"/>
          <w:rFonts w:hint="eastAsia" w:ascii="Times New Roman" w:hAnsi="Times New Roman" w:eastAsia="仿宋_GB2312"/>
          <w:color w:val="auto"/>
          <w:sz w:val="32"/>
          <w:szCs w:val="32"/>
        </w:rPr>
        <w:t>5.4.5维护社会稳定</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_Toc205835941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21</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11003076">
      <w:pPr>
        <w:pStyle w:val="13"/>
        <w:rPr>
          <w:rFonts w:ascii="Times New Roman" w:hAnsi="Times New Roman" w:eastAsia="仿宋_GB2312"/>
        </w:rPr>
      </w:pPr>
      <w:r>
        <w:fldChar w:fldCharType="begin"/>
      </w:r>
      <w:r>
        <w:instrText xml:space="preserve"> HYPERLINK \l "_Toc205835942" </w:instrText>
      </w:r>
      <w:r>
        <w:fldChar w:fldCharType="separate"/>
      </w:r>
      <w:r>
        <w:rPr>
          <w:rStyle w:val="19"/>
          <w:rFonts w:hint="eastAsia" w:ascii="Times New Roman" w:hAnsi="Times New Roman" w:eastAsia="仿宋_GB2312"/>
          <w:color w:val="auto"/>
        </w:rPr>
        <w:t>5.5响应终止</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_Toc205835942 \h </w:instrText>
      </w:r>
      <w:r>
        <w:rPr>
          <w:rFonts w:hint="eastAsia" w:ascii="Times New Roman" w:hAnsi="Times New Roman" w:eastAsia="仿宋_GB2312"/>
        </w:rPr>
        <w:fldChar w:fldCharType="separate"/>
      </w:r>
      <w:r>
        <w:rPr>
          <w:rFonts w:ascii="Times New Roman" w:hAnsi="Times New Roman" w:eastAsia="仿宋_GB2312"/>
        </w:rPr>
        <w:t>22</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0A7CA5BC">
      <w:pPr>
        <w:pStyle w:val="12"/>
        <w:tabs>
          <w:tab w:val="right" w:leader="dot" w:pos="8494"/>
        </w:tabs>
        <w:rPr>
          <w:rFonts w:ascii="Times New Roman" w:hAnsi="Times New Roman" w:eastAsia="仿宋_GB2312"/>
          <w:sz w:val="32"/>
          <w:szCs w:val="32"/>
        </w:rPr>
      </w:pPr>
      <w:r>
        <w:fldChar w:fldCharType="begin"/>
      </w:r>
      <w:r>
        <w:instrText xml:space="preserve"> HYPERLINK \l "_Toc205835943" </w:instrText>
      </w:r>
      <w:r>
        <w:fldChar w:fldCharType="separate"/>
      </w:r>
      <w:r>
        <w:rPr>
          <w:rStyle w:val="19"/>
          <w:rFonts w:hint="eastAsia" w:ascii="Times New Roman" w:hAnsi="Times New Roman" w:eastAsia="仿宋_GB2312"/>
          <w:color w:val="auto"/>
          <w:sz w:val="32"/>
          <w:szCs w:val="32"/>
        </w:rPr>
        <w:t>6后期处置</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_Toc205835943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23</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4FEC7122">
      <w:pPr>
        <w:pStyle w:val="13"/>
        <w:rPr>
          <w:rFonts w:ascii="Times New Roman" w:hAnsi="Times New Roman" w:eastAsia="仿宋_GB2312"/>
        </w:rPr>
      </w:pPr>
      <w:r>
        <w:fldChar w:fldCharType="begin"/>
      </w:r>
      <w:r>
        <w:instrText xml:space="preserve"> HYPERLINK \l "_Toc205835944" </w:instrText>
      </w:r>
      <w:r>
        <w:fldChar w:fldCharType="separate"/>
      </w:r>
      <w:r>
        <w:rPr>
          <w:rStyle w:val="19"/>
          <w:rFonts w:hint="eastAsia" w:ascii="Times New Roman" w:hAnsi="Times New Roman" w:eastAsia="仿宋_GB2312"/>
          <w:color w:val="auto"/>
        </w:rPr>
        <w:t>6.1 损害评估</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_Toc205835944 \h </w:instrText>
      </w:r>
      <w:r>
        <w:rPr>
          <w:rFonts w:hint="eastAsia" w:ascii="Times New Roman" w:hAnsi="Times New Roman" w:eastAsia="仿宋_GB2312"/>
        </w:rPr>
        <w:fldChar w:fldCharType="separate"/>
      </w:r>
      <w:r>
        <w:rPr>
          <w:rFonts w:ascii="Times New Roman" w:hAnsi="Times New Roman" w:eastAsia="仿宋_GB2312"/>
        </w:rPr>
        <w:t>23</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255F0A50">
      <w:pPr>
        <w:pStyle w:val="13"/>
        <w:rPr>
          <w:rFonts w:ascii="Times New Roman" w:hAnsi="Times New Roman" w:eastAsia="仿宋_GB2312"/>
        </w:rPr>
      </w:pPr>
      <w:r>
        <w:fldChar w:fldCharType="begin"/>
      </w:r>
      <w:r>
        <w:instrText xml:space="preserve"> HYPERLINK \l "_Toc205835945" </w:instrText>
      </w:r>
      <w:r>
        <w:fldChar w:fldCharType="separate"/>
      </w:r>
      <w:r>
        <w:rPr>
          <w:rStyle w:val="19"/>
          <w:rFonts w:hint="eastAsia" w:ascii="Times New Roman" w:hAnsi="Times New Roman" w:eastAsia="仿宋_GB2312"/>
          <w:color w:val="auto"/>
        </w:rPr>
        <w:t>6.2事件调查</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_Toc205835945 \h </w:instrText>
      </w:r>
      <w:r>
        <w:rPr>
          <w:rFonts w:hint="eastAsia" w:ascii="Times New Roman" w:hAnsi="Times New Roman" w:eastAsia="仿宋_GB2312"/>
        </w:rPr>
        <w:fldChar w:fldCharType="separate"/>
      </w:r>
      <w:r>
        <w:rPr>
          <w:rFonts w:ascii="Times New Roman" w:hAnsi="Times New Roman" w:eastAsia="仿宋_GB2312"/>
        </w:rPr>
        <w:t>23</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0E32ADF1">
      <w:pPr>
        <w:pStyle w:val="13"/>
        <w:rPr>
          <w:rFonts w:ascii="Times New Roman" w:hAnsi="Times New Roman" w:eastAsia="仿宋_GB2312"/>
        </w:rPr>
      </w:pPr>
      <w:r>
        <w:fldChar w:fldCharType="begin"/>
      </w:r>
      <w:r>
        <w:instrText xml:space="preserve"> HYPERLINK \l "_Toc205835946" </w:instrText>
      </w:r>
      <w:r>
        <w:fldChar w:fldCharType="separate"/>
      </w:r>
      <w:r>
        <w:rPr>
          <w:rStyle w:val="19"/>
          <w:rFonts w:hint="eastAsia" w:ascii="Times New Roman" w:hAnsi="Times New Roman" w:eastAsia="仿宋_GB2312"/>
          <w:color w:val="auto"/>
        </w:rPr>
        <w:t>6.3善后处置</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_Toc205835946 \h </w:instrText>
      </w:r>
      <w:r>
        <w:rPr>
          <w:rFonts w:hint="eastAsia" w:ascii="Times New Roman" w:hAnsi="Times New Roman" w:eastAsia="仿宋_GB2312"/>
        </w:rPr>
        <w:fldChar w:fldCharType="separate"/>
      </w:r>
      <w:r>
        <w:rPr>
          <w:rFonts w:ascii="Times New Roman" w:hAnsi="Times New Roman" w:eastAsia="仿宋_GB2312"/>
        </w:rPr>
        <w:t>24</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17461A77">
      <w:pPr>
        <w:pStyle w:val="12"/>
        <w:tabs>
          <w:tab w:val="right" w:leader="dot" w:pos="8494"/>
        </w:tabs>
        <w:rPr>
          <w:rFonts w:ascii="Times New Roman" w:hAnsi="Times New Roman" w:eastAsia="仿宋_GB2312"/>
          <w:sz w:val="32"/>
          <w:szCs w:val="32"/>
        </w:rPr>
      </w:pPr>
      <w:r>
        <w:fldChar w:fldCharType="begin"/>
      </w:r>
      <w:r>
        <w:instrText xml:space="preserve"> HYPERLINK \l "_Toc205835947" </w:instrText>
      </w:r>
      <w:r>
        <w:fldChar w:fldCharType="separate"/>
      </w:r>
      <w:r>
        <w:rPr>
          <w:rStyle w:val="19"/>
          <w:rFonts w:hint="eastAsia" w:ascii="Times New Roman" w:hAnsi="Times New Roman" w:eastAsia="仿宋_GB2312"/>
          <w:color w:val="auto"/>
          <w:sz w:val="32"/>
          <w:szCs w:val="32"/>
        </w:rPr>
        <w:t>7应急保障</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_Toc205835947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25</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10CF479D">
      <w:pPr>
        <w:pStyle w:val="13"/>
        <w:rPr>
          <w:rFonts w:ascii="Times New Roman" w:hAnsi="Times New Roman" w:eastAsia="仿宋_GB2312"/>
        </w:rPr>
      </w:pPr>
      <w:r>
        <w:fldChar w:fldCharType="begin"/>
      </w:r>
      <w:r>
        <w:instrText xml:space="preserve"> HYPERLINK \l "_Toc205835948" </w:instrText>
      </w:r>
      <w:r>
        <w:fldChar w:fldCharType="separate"/>
      </w:r>
      <w:r>
        <w:rPr>
          <w:rStyle w:val="19"/>
          <w:rFonts w:hint="eastAsia" w:ascii="Times New Roman" w:hAnsi="Times New Roman" w:eastAsia="仿宋_GB2312"/>
          <w:color w:val="auto"/>
        </w:rPr>
        <w:t>7.1队伍保障</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_Toc205835948 \h </w:instrText>
      </w:r>
      <w:r>
        <w:rPr>
          <w:rFonts w:hint="eastAsia" w:ascii="Times New Roman" w:hAnsi="Times New Roman" w:eastAsia="仿宋_GB2312"/>
        </w:rPr>
        <w:fldChar w:fldCharType="separate"/>
      </w:r>
      <w:r>
        <w:rPr>
          <w:rFonts w:ascii="Times New Roman" w:hAnsi="Times New Roman" w:eastAsia="仿宋_GB2312"/>
        </w:rPr>
        <w:t>25</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3352EC33">
      <w:pPr>
        <w:pStyle w:val="13"/>
        <w:rPr>
          <w:rFonts w:ascii="Times New Roman" w:hAnsi="Times New Roman" w:eastAsia="仿宋_GB2312"/>
        </w:rPr>
      </w:pPr>
      <w:r>
        <w:fldChar w:fldCharType="begin"/>
      </w:r>
      <w:r>
        <w:instrText xml:space="preserve"> HYPERLINK \l "_Toc205835949" </w:instrText>
      </w:r>
      <w:r>
        <w:fldChar w:fldCharType="separate"/>
      </w:r>
      <w:r>
        <w:rPr>
          <w:rStyle w:val="19"/>
          <w:rFonts w:hint="eastAsia" w:ascii="Times New Roman" w:hAnsi="Times New Roman" w:eastAsia="仿宋_GB2312"/>
          <w:color w:val="auto"/>
        </w:rPr>
        <w:t>7.2物质与资金保障</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_Toc205835949 \h </w:instrText>
      </w:r>
      <w:r>
        <w:rPr>
          <w:rFonts w:hint="eastAsia" w:ascii="Times New Roman" w:hAnsi="Times New Roman" w:eastAsia="仿宋_GB2312"/>
        </w:rPr>
        <w:fldChar w:fldCharType="separate"/>
      </w:r>
      <w:r>
        <w:rPr>
          <w:rFonts w:ascii="Times New Roman" w:hAnsi="Times New Roman" w:eastAsia="仿宋_GB2312"/>
        </w:rPr>
        <w:t>25</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765C47AC">
      <w:pPr>
        <w:pStyle w:val="13"/>
        <w:rPr>
          <w:rFonts w:ascii="Times New Roman" w:hAnsi="Times New Roman" w:eastAsia="仿宋_GB2312"/>
        </w:rPr>
      </w:pPr>
      <w:r>
        <w:fldChar w:fldCharType="begin"/>
      </w:r>
      <w:r>
        <w:instrText xml:space="preserve"> HYPERLINK \l "_Toc205835950" </w:instrText>
      </w:r>
      <w:r>
        <w:fldChar w:fldCharType="separate"/>
      </w:r>
      <w:r>
        <w:rPr>
          <w:rStyle w:val="19"/>
          <w:rFonts w:hint="eastAsia" w:ascii="Times New Roman" w:hAnsi="Times New Roman" w:eastAsia="仿宋_GB2312"/>
          <w:color w:val="auto"/>
        </w:rPr>
        <w:t>7.3通信、交通与运输保障</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_Toc205835950 \h </w:instrText>
      </w:r>
      <w:r>
        <w:rPr>
          <w:rFonts w:hint="eastAsia" w:ascii="Times New Roman" w:hAnsi="Times New Roman" w:eastAsia="仿宋_GB2312"/>
        </w:rPr>
        <w:fldChar w:fldCharType="separate"/>
      </w:r>
      <w:r>
        <w:rPr>
          <w:rFonts w:ascii="Times New Roman" w:hAnsi="Times New Roman" w:eastAsia="仿宋_GB2312"/>
        </w:rPr>
        <w:t>25</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4A7C31A5">
      <w:pPr>
        <w:pStyle w:val="13"/>
        <w:rPr>
          <w:rFonts w:ascii="Times New Roman" w:hAnsi="Times New Roman" w:eastAsia="仿宋_GB2312"/>
        </w:rPr>
      </w:pPr>
      <w:r>
        <w:fldChar w:fldCharType="begin"/>
      </w:r>
      <w:r>
        <w:instrText xml:space="preserve"> HYPERLINK \l "_Toc205835951" </w:instrText>
      </w:r>
      <w:r>
        <w:fldChar w:fldCharType="separate"/>
      </w:r>
      <w:r>
        <w:rPr>
          <w:rStyle w:val="19"/>
          <w:rFonts w:hint="eastAsia" w:ascii="Times New Roman" w:hAnsi="Times New Roman" w:eastAsia="仿宋_GB2312"/>
          <w:color w:val="auto"/>
        </w:rPr>
        <w:t>7.4技术保障</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_Toc205835951 \h </w:instrText>
      </w:r>
      <w:r>
        <w:rPr>
          <w:rFonts w:hint="eastAsia" w:ascii="Times New Roman" w:hAnsi="Times New Roman" w:eastAsia="仿宋_GB2312"/>
        </w:rPr>
        <w:fldChar w:fldCharType="separate"/>
      </w:r>
      <w:r>
        <w:rPr>
          <w:rFonts w:ascii="Times New Roman" w:hAnsi="Times New Roman" w:eastAsia="仿宋_GB2312"/>
        </w:rPr>
        <w:t>26</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6252B482">
      <w:pPr>
        <w:pStyle w:val="13"/>
        <w:rPr>
          <w:rFonts w:ascii="Times New Roman" w:hAnsi="Times New Roman" w:eastAsia="仿宋_GB2312"/>
        </w:rPr>
      </w:pPr>
      <w:r>
        <w:fldChar w:fldCharType="begin"/>
      </w:r>
      <w:r>
        <w:instrText xml:space="preserve"> HYPERLINK \l "_Toc205835952" </w:instrText>
      </w:r>
      <w:r>
        <w:fldChar w:fldCharType="separate"/>
      </w:r>
      <w:r>
        <w:rPr>
          <w:rStyle w:val="19"/>
          <w:rFonts w:hint="eastAsia" w:ascii="Times New Roman" w:hAnsi="Times New Roman" w:eastAsia="仿宋_GB2312"/>
          <w:color w:val="auto"/>
        </w:rPr>
        <w:t>7.5宣传、培训和演练</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_Toc205835952 \h </w:instrText>
      </w:r>
      <w:r>
        <w:rPr>
          <w:rFonts w:hint="eastAsia" w:ascii="Times New Roman" w:hAnsi="Times New Roman" w:eastAsia="仿宋_GB2312"/>
        </w:rPr>
        <w:fldChar w:fldCharType="separate"/>
      </w:r>
      <w:r>
        <w:rPr>
          <w:rFonts w:ascii="Times New Roman" w:hAnsi="Times New Roman" w:eastAsia="仿宋_GB2312"/>
        </w:rPr>
        <w:t>26</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2513DF86">
      <w:pPr>
        <w:pStyle w:val="12"/>
        <w:tabs>
          <w:tab w:val="right" w:leader="dot" w:pos="8494"/>
        </w:tabs>
        <w:rPr>
          <w:rFonts w:ascii="Times New Roman" w:hAnsi="Times New Roman" w:eastAsia="仿宋_GB2312"/>
          <w:sz w:val="32"/>
          <w:szCs w:val="32"/>
        </w:rPr>
      </w:pPr>
      <w:r>
        <w:fldChar w:fldCharType="begin"/>
      </w:r>
      <w:r>
        <w:instrText xml:space="preserve"> HYPERLINK \l "_Toc205835953" </w:instrText>
      </w:r>
      <w:r>
        <w:fldChar w:fldCharType="separate"/>
      </w:r>
      <w:r>
        <w:rPr>
          <w:rStyle w:val="19"/>
          <w:rFonts w:hint="eastAsia" w:ascii="Times New Roman" w:hAnsi="Times New Roman" w:eastAsia="仿宋_GB2312"/>
          <w:color w:val="auto"/>
          <w:sz w:val="32"/>
          <w:szCs w:val="32"/>
        </w:rPr>
        <w:t>8 附则</w:t>
      </w:r>
      <w:r>
        <w:rPr>
          <w:rFonts w:hint="eastAsia" w:ascii="Times New Roman" w:hAnsi="Times New Roman" w:eastAsia="仿宋_GB2312"/>
          <w:sz w:val="32"/>
          <w:szCs w:val="32"/>
        </w:rPr>
        <w:tab/>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PAGEREF _Toc205835953 \h </w:instrText>
      </w:r>
      <w:r>
        <w:rPr>
          <w:rFonts w:hint="eastAsia" w:ascii="Times New Roman" w:hAnsi="Times New Roman" w:eastAsia="仿宋_GB2312"/>
          <w:sz w:val="32"/>
          <w:szCs w:val="32"/>
        </w:rPr>
        <w:fldChar w:fldCharType="separate"/>
      </w:r>
      <w:r>
        <w:rPr>
          <w:rFonts w:ascii="Times New Roman" w:hAnsi="Times New Roman" w:eastAsia="仿宋_GB2312"/>
          <w:sz w:val="32"/>
          <w:szCs w:val="32"/>
        </w:rPr>
        <w:t>28</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fldChar w:fldCharType="end"/>
      </w:r>
    </w:p>
    <w:p w14:paraId="226E1834">
      <w:pPr>
        <w:pStyle w:val="13"/>
        <w:rPr>
          <w:rFonts w:ascii="Times New Roman" w:hAnsi="Times New Roman" w:eastAsia="仿宋_GB2312"/>
        </w:rPr>
      </w:pPr>
      <w:r>
        <w:fldChar w:fldCharType="begin"/>
      </w:r>
      <w:r>
        <w:instrText xml:space="preserve"> HYPERLINK \l "_Toc205835954" </w:instrText>
      </w:r>
      <w:r>
        <w:fldChar w:fldCharType="separate"/>
      </w:r>
      <w:r>
        <w:rPr>
          <w:rStyle w:val="19"/>
          <w:rFonts w:hint="eastAsia" w:ascii="Times New Roman" w:hAnsi="Times New Roman" w:eastAsia="仿宋_GB2312"/>
          <w:color w:val="auto"/>
        </w:rPr>
        <w:t>8.1  预案管理与更新</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_Toc205835954 \h </w:instrText>
      </w:r>
      <w:r>
        <w:rPr>
          <w:rFonts w:hint="eastAsia" w:ascii="Times New Roman" w:hAnsi="Times New Roman" w:eastAsia="仿宋_GB2312"/>
        </w:rPr>
        <w:fldChar w:fldCharType="separate"/>
      </w:r>
      <w:r>
        <w:rPr>
          <w:rFonts w:ascii="Times New Roman" w:hAnsi="Times New Roman" w:eastAsia="仿宋_GB2312"/>
        </w:rPr>
        <w:t>28</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007CB2E6">
      <w:pPr>
        <w:pStyle w:val="13"/>
        <w:rPr>
          <w:rFonts w:ascii="Times New Roman" w:hAnsi="Times New Roman" w:eastAsia="仿宋_GB2312"/>
        </w:rPr>
      </w:pPr>
      <w:r>
        <w:fldChar w:fldCharType="begin"/>
      </w:r>
      <w:r>
        <w:instrText xml:space="preserve"> HYPERLINK \l "_Toc205835955" </w:instrText>
      </w:r>
      <w:r>
        <w:fldChar w:fldCharType="separate"/>
      </w:r>
      <w:r>
        <w:rPr>
          <w:rStyle w:val="19"/>
          <w:rFonts w:hint="eastAsia" w:ascii="Times New Roman" w:hAnsi="Times New Roman" w:eastAsia="仿宋_GB2312"/>
          <w:color w:val="auto"/>
        </w:rPr>
        <w:t>8.2  预案解释部门</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_Toc205835955 \h </w:instrText>
      </w:r>
      <w:r>
        <w:rPr>
          <w:rFonts w:hint="eastAsia" w:ascii="Times New Roman" w:hAnsi="Times New Roman" w:eastAsia="仿宋_GB2312"/>
        </w:rPr>
        <w:fldChar w:fldCharType="separate"/>
      </w:r>
      <w:r>
        <w:rPr>
          <w:rFonts w:ascii="Times New Roman" w:hAnsi="Times New Roman" w:eastAsia="仿宋_GB2312"/>
        </w:rPr>
        <w:t>28</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08617DED">
      <w:pPr>
        <w:pStyle w:val="13"/>
        <w:rPr>
          <w:rFonts w:ascii="Times New Roman" w:hAnsi="Times New Roman" w:eastAsia="仿宋_GB2312"/>
        </w:rPr>
      </w:pPr>
      <w:r>
        <w:fldChar w:fldCharType="begin"/>
      </w:r>
      <w:r>
        <w:instrText xml:space="preserve"> HYPERLINK \l "_Toc205835956" </w:instrText>
      </w:r>
      <w:r>
        <w:fldChar w:fldCharType="separate"/>
      </w:r>
      <w:r>
        <w:rPr>
          <w:rStyle w:val="19"/>
          <w:rFonts w:hint="eastAsia" w:ascii="Times New Roman" w:hAnsi="Times New Roman" w:eastAsia="仿宋_GB2312"/>
          <w:color w:val="auto"/>
        </w:rPr>
        <w:t>8.3  预案实施时间</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_Toc205835956 \h </w:instrText>
      </w:r>
      <w:r>
        <w:rPr>
          <w:rFonts w:hint="eastAsia" w:ascii="Times New Roman" w:hAnsi="Times New Roman" w:eastAsia="仿宋_GB2312"/>
        </w:rPr>
        <w:fldChar w:fldCharType="separate"/>
      </w:r>
      <w:r>
        <w:rPr>
          <w:rFonts w:ascii="Times New Roman" w:hAnsi="Times New Roman" w:eastAsia="仿宋_GB2312"/>
        </w:rPr>
        <w:t>28</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27BC5304">
      <w:pPr>
        <w:pStyle w:val="13"/>
        <w:rPr>
          <w:rFonts w:ascii="Times New Roman" w:hAnsi="Times New Roman" w:eastAsia="仿宋_GB2312"/>
        </w:rPr>
      </w:pPr>
      <w:r>
        <w:fldChar w:fldCharType="begin"/>
      </w:r>
      <w:r>
        <w:instrText xml:space="preserve"> HYPERLINK \l "_Toc205835957" </w:instrText>
      </w:r>
      <w:r>
        <w:fldChar w:fldCharType="separate"/>
      </w:r>
      <w:r>
        <w:rPr>
          <w:rStyle w:val="19"/>
          <w:rFonts w:hint="eastAsia" w:ascii="Times New Roman" w:hAnsi="Times New Roman" w:eastAsia="仿宋_GB2312"/>
          <w:color w:val="auto"/>
        </w:rPr>
        <w:t>附件</w:t>
      </w:r>
      <w:r>
        <w:rPr>
          <w:rFonts w:hint="eastAsia" w:ascii="Times New Roman" w:hAnsi="Times New Roman" w:eastAsia="仿宋_GB2312"/>
        </w:rPr>
        <w:tab/>
      </w:r>
      <w:r>
        <w:rPr>
          <w:rFonts w:hint="eastAsia" w:ascii="Times New Roman" w:hAnsi="Times New Roman" w:eastAsia="仿宋_GB2312"/>
        </w:rPr>
        <w:fldChar w:fldCharType="begin"/>
      </w:r>
      <w:r>
        <w:rPr>
          <w:rFonts w:hint="eastAsia" w:ascii="Times New Roman" w:hAnsi="Times New Roman" w:eastAsia="仿宋_GB2312"/>
        </w:rPr>
        <w:instrText xml:space="preserve"> PAGEREF _Toc205835957 \h </w:instrText>
      </w:r>
      <w:r>
        <w:rPr>
          <w:rFonts w:hint="eastAsia" w:ascii="Times New Roman" w:hAnsi="Times New Roman" w:eastAsia="仿宋_GB2312"/>
        </w:rPr>
        <w:fldChar w:fldCharType="separate"/>
      </w:r>
      <w:r>
        <w:rPr>
          <w:rFonts w:ascii="Times New Roman" w:hAnsi="Times New Roman" w:eastAsia="仿宋_GB2312"/>
        </w:rPr>
        <w:t>29</w:t>
      </w:r>
      <w:r>
        <w:rPr>
          <w:rFonts w:hint="eastAsia" w:ascii="Times New Roman" w:hAnsi="Times New Roman" w:eastAsia="仿宋_GB2312"/>
        </w:rPr>
        <w:fldChar w:fldCharType="end"/>
      </w:r>
      <w:r>
        <w:rPr>
          <w:rFonts w:hint="eastAsia" w:ascii="Times New Roman" w:hAnsi="Times New Roman" w:eastAsia="仿宋_GB2312"/>
        </w:rPr>
        <w:fldChar w:fldCharType="end"/>
      </w:r>
    </w:p>
    <w:p w14:paraId="29EF57A9">
      <w:pPr>
        <w:pStyle w:val="13"/>
        <w:rPr>
          <w:rFonts w:ascii="Times New Roman" w:hAnsi="Times New Roman" w:eastAsia="仿宋_GB2312"/>
        </w:rPr>
      </w:pPr>
      <w:r>
        <w:rPr>
          <w:rFonts w:hint="eastAsia" w:ascii="Times New Roman" w:hAnsi="Times New Roman" w:eastAsia="仿宋_GB2312"/>
        </w:rPr>
        <w:fldChar w:fldCharType="end"/>
      </w:r>
      <w:r>
        <w:fldChar w:fldCharType="begin"/>
      </w:r>
      <w:r>
        <w:instrText xml:space="preserve"> HYPERLINK \l "_Toc199859481" </w:instrText>
      </w:r>
      <w:r>
        <w:fldChar w:fldCharType="separate"/>
      </w:r>
      <w:r>
        <w:rPr>
          <w:rStyle w:val="19"/>
          <w:rFonts w:hint="eastAsia" w:ascii="Times New Roman" w:hAnsi="Times New Roman" w:eastAsia="仿宋_GB2312"/>
          <w:color w:val="auto"/>
          <w:u w:val="none"/>
        </w:rPr>
        <w:t>附图</w:t>
      </w:r>
      <w:r>
        <w:rPr>
          <w:rFonts w:hint="eastAsia" w:ascii="Times New Roman" w:hAnsi="Times New Roman" w:eastAsia="仿宋_GB2312"/>
        </w:rPr>
        <w:tab/>
      </w:r>
      <w:r>
        <w:rPr>
          <w:rFonts w:hint="eastAsia" w:ascii="Times New Roman" w:hAnsi="Times New Roman" w:eastAsia="仿宋_GB2312"/>
        </w:rPr>
        <w:t>4</w:t>
      </w:r>
      <w:r>
        <w:rPr>
          <w:rFonts w:ascii="Times New Roman" w:hAnsi="Times New Roman" w:eastAsia="仿宋_GB2312"/>
        </w:rPr>
        <w:t>3</w:t>
      </w:r>
      <w:r>
        <w:rPr>
          <w:rFonts w:ascii="Times New Roman" w:hAnsi="Times New Roman" w:eastAsia="仿宋_GB2312"/>
        </w:rPr>
        <w:fldChar w:fldCharType="end"/>
      </w:r>
    </w:p>
    <w:p w14:paraId="0F2DAB61">
      <w:pPr>
        <w:pStyle w:val="25"/>
        <w:rPr>
          <w:rFonts w:ascii="Times New Roman" w:hAnsi="Times New Roman"/>
        </w:rPr>
      </w:pPr>
    </w:p>
    <w:p w14:paraId="4BF2E07F">
      <w:pPr>
        <w:pStyle w:val="25"/>
        <w:rPr>
          <w:rFonts w:ascii="Times New Roman" w:hAnsi="Times New Roman"/>
        </w:rPr>
      </w:pPr>
    </w:p>
    <w:p w14:paraId="096EC514">
      <w:pPr>
        <w:pStyle w:val="21"/>
        <w:spacing w:before="156" w:after="156"/>
        <w:rPr>
          <w:rFonts w:ascii="Times New Roman" w:hAnsi="Times New Roman"/>
          <w:color w:val="auto"/>
        </w:rPr>
        <w:sectPr>
          <w:footerReference r:id="rId4" w:type="default"/>
          <w:pgSz w:w="11906" w:h="16838"/>
          <w:pgMar w:top="1440" w:right="1701" w:bottom="1440" w:left="1701" w:header="851" w:footer="992" w:gutter="0"/>
          <w:pgNumType w:start="1"/>
          <w:cols w:space="425" w:num="1"/>
          <w:docGrid w:type="lines" w:linePitch="312" w:charSpace="0"/>
        </w:sectPr>
      </w:pPr>
    </w:p>
    <w:p w14:paraId="3A5A97FC">
      <w:pPr>
        <w:pStyle w:val="21"/>
        <w:spacing w:before="156" w:after="156"/>
        <w:rPr>
          <w:rFonts w:ascii="Times New Roman" w:hAnsi="Times New Roman"/>
          <w:color w:val="auto"/>
        </w:rPr>
      </w:pPr>
      <w:bookmarkStart w:id="5" w:name="_Toc205835902"/>
      <w:r>
        <w:rPr>
          <w:rFonts w:ascii="Times New Roman" w:hAnsi="Times New Roman"/>
          <w:color w:val="auto"/>
        </w:rPr>
        <w:t>1总则</w:t>
      </w:r>
      <w:bookmarkEnd w:id="5"/>
    </w:p>
    <w:p w14:paraId="18ED7640">
      <w:pPr>
        <w:pStyle w:val="22"/>
      </w:pPr>
      <w:bookmarkStart w:id="6" w:name="_Toc205835903"/>
      <w:r>
        <w:t>1.1编制目的</w:t>
      </w:r>
      <w:bookmarkEnd w:id="6"/>
    </w:p>
    <w:p w14:paraId="217B4B32">
      <w:pPr>
        <w:pStyle w:val="25"/>
        <w:rPr>
          <w:rFonts w:ascii="Times New Roman" w:hAnsi="Times New Roman"/>
        </w:rPr>
      </w:pPr>
      <w:r>
        <w:rPr>
          <w:rFonts w:hint="eastAsia" w:ascii="Times New Roman" w:hAnsi="Times New Roman"/>
        </w:rPr>
        <w:t>为建立健全大同市云冈区突发土壤环境污染事件应急机制，规范应急处置工作，提高云冈区突发土壤环境污染突发事件的应急管理与应对处置的能力，有效预防、及时控制和消除土壤环境污染突发事件的危害，保障群众生命健康和财产安全，保护土壤环境，维护社会稳定，促进经济社会全面协调可持续发展，结合我区实际，制定本预案。</w:t>
      </w:r>
    </w:p>
    <w:p w14:paraId="58C3DCD8">
      <w:pPr>
        <w:pStyle w:val="22"/>
      </w:pPr>
      <w:bookmarkStart w:id="7" w:name="_Toc205835904"/>
      <w:r>
        <w:rPr>
          <w:rFonts w:hint="eastAsia"/>
        </w:rPr>
        <w:t>1</w:t>
      </w:r>
      <w:r>
        <w:t>.2</w:t>
      </w:r>
      <w:r>
        <w:rPr>
          <w:rFonts w:hint="eastAsia"/>
        </w:rPr>
        <w:t>工作原则</w:t>
      </w:r>
      <w:bookmarkEnd w:id="7"/>
    </w:p>
    <w:p w14:paraId="35AA553A">
      <w:pPr>
        <w:pStyle w:val="25"/>
        <w:rPr>
          <w:rFonts w:ascii="Times New Roman" w:hAnsi="Times New Roman"/>
        </w:rPr>
      </w:pPr>
      <w:r>
        <w:rPr>
          <w:rFonts w:hint="eastAsia" w:ascii="Times New Roman" w:hAnsi="Times New Roman"/>
        </w:rPr>
        <w:t>（1）</w:t>
      </w:r>
      <w:r>
        <w:rPr>
          <w:rFonts w:ascii="Times New Roman" w:hAnsi="Times New Roman"/>
        </w:rPr>
        <w:t>以人为本，预防为主。把保障人民群众身体健康和环境安全作为应对突发土壤环境污染事件的首要任务，切实保护土</w:t>
      </w:r>
      <w:r>
        <w:rPr>
          <w:rFonts w:hint="eastAsia" w:ascii="Times New Roman" w:hAnsi="Times New Roman"/>
        </w:rPr>
        <w:t>壤环境，防治和减少土壤污染。</w:t>
      </w:r>
    </w:p>
    <w:p w14:paraId="778D49D1">
      <w:pPr>
        <w:pStyle w:val="25"/>
        <w:rPr>
          <w:rFonts w:ascii="Times New Roman" w:hAnsi="Times New Roman"/>
        </w:rPr>
      </w:pPr>
      <w:r>
        <w:rPr>
          <w:rFonts w:hint="eastAsia" w:ascii="Times New Roman" w:hAnsi="Times New Roman"/>
        </w:rPr>
        <w:t>（2）</w:t>
      </w:r>
      <w:r>
        <w:rPr>
          <w:rFonts w:ascii="Times New Roman" w:hAnsi="Times New Roman"/>
        </w:rPr>
        <w:t>统一领导，属地管理。加强对土壤污染应对的区域统筹领导，建立健全政府统一领导、部门配合的突发土壤环境污染应急响应机制，相关部门充分发挥协调作用，各司其职、密切配合。</w:t>
      </w:r>
    </w:p>
    <w:p w14:paraId="2E10DD28">
      <w:pPr>
        <w:pStyle w:val="25"/>
        <w:rPr>
          <w:rFonts w:ascii="Times New Roman" w:hAnsi="Times New Roman"/>
        </w:rPr>
      </w:pPr>
      <w:r>
        <w:rPr>
          <w:rFonts w:hint="eastAsia" w:ascii="Times New Roman" w:hAnsi="Times New Roman"/>
        </w:rPr>
        <w:t>（3）</w:t>
      </w:r>
      <w:r>
        <w:rPr>
          <w:rFonts w:ascii="Times New Roman" w:hAnsi="Times New Roman"/>
        </w:rPr>
        <w:t>加强预警，及时响应。积极做好突发土壤环境质量的日常监测，及时掌握土壤环境质量变化情况，加强突发土壤环境污染事件预警、预报工作，做到及时、快速和有效应对。</w:t>
      </w:r>
    </w:p>
    <w:p w14:paraId="09969FA9">
      <w:pPr>
        <w:pStyle w:val="25"/>
        <w:rPr>
          <w:rFonts w:ascii="Times New Roman" w:hAnsi="Times New Roman"/>
        </w:rPr>
      </w:pPr>
      <w:r>
        <w:rPr>
          <w:rFonts w:hint="eastAsia" w:ascii="Times New Roman" w:hAnsi="Times New Roman"/>
        </w:rPr>
        <w:t>（4）</w:t>
      </w:r>
      <w:r>
        <w:rPr>
          <w:rFonts w:ascii="Times New Roman" w:hAnsi="Times New Roman"/>
        </w:rPr>
        <w:t>部门联动，社会参与。加强部门之间协助与合作，充分发挥公众在突发土壤环境污染事件应对工作的参与、监督作用共同做好突发土壤环境污染事件应对工作。</w:t>
      </w:r>
    </w:p>
    <w:p w14:paraId="2F5939EB">
      <w:pPr>
        <w:pStyle w:val="25"/>
        <w:rPr>
          <w:rFonts w:ascii="Times New Roman" w:hAnsi="Times New Roman"/>
        </w:rPr>
      </w:pPr>
      <w:r>
        <w:rPr>
          <w:rFonts w:hint="eastAsia" w:ascii="Times New Roman" w:hAnsi="Times New Roman"/>
        </w:rPr>
        <w:t>（5）</w:t>
      </w:r>
      <w:r>
        <w:rPr>
          <w:rFonts w:ascii="Times New Roman" w:hAnsi="Times New Roman"/>
        </w:rPr>
        <w:t>平战结合，科学处置。积极做好应对土壤突发环境事件的物资和技术准备，发挥专业人员作用，完善行业安全监控体系，加强应急演练，提高公众自救、互救和应对突发事</w:t>
      </w:r>
      <w:r>
        <w:rPr>
          <w:rFonts w:hint="eastAsia" w:ascii="Times New Roman" w:hAnsi="Times New Roman"/>
        </w:rPr>
        <w:t>件</w:t>
      </w:r>
      <w:r>
        <w:rPr>
          <w:rFonts w:ascii="Times New Roman" w:hAnsi="Times New Roman"/>
        </w:rPr>
        <w:t>的综合素质。</w:t>
      </w:r>
    </w:p>
    <w:p w14:paraId="53B7BAC3">
      <w:pPr>
        <w:pStyle w:val="25"/>
        <w:rPr>
          <w:rFonts w:ascii="Times New Roman" w:hAnsi="Times New Roman"/>
        </w:rPr>
      </w:pPr>
      <w:r>
        <w:rPr>
          <w:rFonts w:hint="eastAsia" w:ascii="Times New Roman" w:hAnsi="Times New Roman"/>
        </w:rPr>
        <w:t>（6）</w:t>
      </w:r>
      <w:r>
        <w:rPr>
          <w:rFonts w:ascii="Times New Roman" w:hAnsi="Times New Roman"/>
        </w:rPr>
        <w:t>谁主管，谁负责。对土壤突发环境事件的责任主体要明确，按照“谁主管，谁负责，谁监管，谁负责”的原则进行责任追究。同时，发生事件单位的上级主管单位</w:t>
      </w:r>
      <w:r>
        <w:rPr>
          <w:rFonts w:hint="eastAsia" w:ascii="Times New Roman" w:hAnsi="Times New Roman"/>
        </w:rPr>
        <w:t>和监管单位应作为主要成员单位承担相应的应急工作职责。</w:t>
      </w:r>
    </w:p>
    <w:p w14:paraId="272E260D">
      <w:pPr>
        <w:pStyle w:val="22"/>
      </w:pPr>
      <w:bookmarkStart w:id="8" w:name="_Toc205835905"/>
      <w:r>
        <w:t>1.3 编制依据</w:t>
      </w:r>
      <w:bookmarkEnd w:id="8"/>
    </w:p>
    <w:p w14:paraId="0277C462">
      <w:pPr>
        <w:pStyle w:val="25"/>
        <w:rPr>
          <w:rFonts w:ascii="Times New Roman" w:hAnsi="Times New Roman"/>
        </w:rPr>
      </w:pPr>
      <w:r>
        <w:rPr>
          <w:rFonts w:hint="eastAsia" w:ascii="Times New Roman" w:hAnsi="Times New Roman"/>
        </w:rPr>
        <w:t>（</w:t>
      </w:r>
      <w:r>
        <w:rPr>
          <w:rFonts w:ascii="Times New Roman" w:hAnsi="Times New Roman"/>
        </w:rPr>
        <w:t>1）《中华人民共和国突发事件应对法》（2024年11月1日起实施）；</w:t>
      </w:r>
    </w:p>
    <w:p w14:paraId="0C5F9909">
      <w:pPr>
        <w:pStyle w:val="25"/>
        <w:rPr>
          <w:rFonts w:ascii="Times New Roman" w:hAnsi="Times New Roman"/>
        </w:rPr>
      </w:pPr>
      <w:r>
        <w:rPr>
          <w:rFonts w:hint="eastAsia" w:ascii="Times New Roman" w:hAnsi="Times New Roman"/>
        </w:rPr>
        <w:t>（</w:t>
      </w:r>
      <w:r>
        <w:rPr>
          <w:rFonts w:ascii="Times New Roman" w:hAnsi="Times New Roman"/>
        </w:rPr>
        <w:t>2）《中华人民共和国环境保护法》（2015年1月1日起实施）；</w:t>
      </w:r>
    </w:p>
    <w:p w14:paraId="4F4991A0">
      <w:pPr>
        <w:pStyle w:val="25"/>
        <w:rPr>
          <w:rFonts w:ascii="Times New Roman" w:hAnsi="Times New Roman"/>
        </w:rPr>
      </w:pPr>
      <w:r>
        <w:rPr>
          <w:rFonts w:hint="eastAsia" w:ascii="Times New Roman" w:hAnsi="Times New Roman"/>
        </w:rPr>
        <w:t>（3）《中华人民共和国土壤污染防治法》（</w:t>
      </w:r>
      <w:r>
        <w:rPr>
          <w:rFonts w:ascii="Times New Roman" w:hAnsi="Times New Roman"/>
        </w:rPr>
        <w:t>2019年1月1日起</w:t>
      </w:r>
      <w:r>
        <w:rPr>
          <w:rFonts w:hint="eastAsia" w:ascii="Times New Roman" w:hAnsi="Times New Roman"/>
        </w:rPr>
        <w:t>施行）；</w:t>
      </w:r>
    </w:p>
    <w:p w14:paraId="37145DC7">
      <w:pPr>
        <w:pStyle w:val="25"/>
        <w:rPr>
          <w:rFonts w:ascii="Times New Roman" w:hAnsi="Times New Roman"/>
        </w:rPr>
      </w:pPr>
      <w:r>
        <w:rPr>
          <w:rFonts w:hint="eastAsia" w:ascii="Times New Roman" w:hAnsi="Times New Roman"/>
        </w:rPr>
        <w:t>（4）《中华人民共和国固体废物污染环境防治法》（</w:t>
      </w:r>
      <w:r>
        <w:rPr>
          <w:rFonts w:ascii="Times New Roman" w:hAnsi="Times New Roman"/>
        </w:rPr>
        <w:t>2020年9月1日起施行）；</w:t>
      </w:r>
    </w:p>
    <w:p w14:paraId="54D79AFE">
      <w:pPr>
        <w:pStyle w:val="25"/>
        <w:rPr>
          <w:rFonts w:ascii="Times New Roman" w:hAnsi="Times New Roman"/>
        </w:rPr>
      </w:pPr>
      <w:r>
        <w:rPr>
          <w:rFonts w:hint="eastAsia" w:ascii="Times New Roman" w:hAnsi="Times New Roman"/>
        </w:rPr>
        <w:t>（</w:t>
      </w:r>
      <w:r>
        <w:rPr>
          <w:rFonts w:ascii="Times New Roman" w:hAnsi="Times New Roman"/>
        </w:rPr>
        <w:t>5）《国家突发环境事件应急预案》（2014年12月29日起实施）；</w:t>
      </w:r>
    </w:p>
    <w:p w14:paraId="100A615F">
      <w:pPr>
        <w:pStyle w:val="25"/>
        <w:rPr>
          <w:rFonts w:ascii="Times New Roman" w:hAnsi="Times New Roman"/>
        </w:rPr>
      </w:pPr>
      <w:r>
        <w:rPr>
          <w:rFonts w:hint="eastAsia" w:ascii="Times New Roman" w:hAnsi="Times New Roman"/>
        </w:rPr>
        <w:t>（</w:t>
      </w:r>
      <w:r>
        <w:rPr>
          <w:rFonts w:ascii="Times New Roman" w:hAnsi="Times New Roman"/>
        </w:rPr>
        <w:t>6）《突发环境事件应急预案管理办法》（2015年6月5日起实施）；</w:t>
      </w:r>
    </w:p>
    <w:p w14:paraId="0A2E5EBC">
      <w:pPr>
        <w:pStyle w:val="25"/>
        <w:rPr>
          <w:rFonts w:ascii="Times New Roman" w:hAnsi="Times New Roman"/>
        </w:rPr>
      </w:pPr>
      <w:r>
        <w:rPr>
          <w:rFonts w:hint="eastAsia" w:ascii="Times New Roman" w:hAnsi="Times New Roman"/>
        </w:rPr>
        <w:t>（</w:t>
      </w:r>
      <w:r>
        <w:rPr>
          <w:rFonts w:ascii="Times New Roman" w:hAnsi="Times New Roman"/>
        </w:rPr>
        <w:t>7）《突发环境事件信息报告办法》（2011年5月1日起实施）；</w:t>
      </w:r>
    </w:p>
    <w:p w14:paraId="618E2FD5">
      <w:pPr>
        <w:pStyle w:val="25"/>
        <w:rPr>
          <w:rFonts w:ascii="Times New Roman" w:hAnsi="Times New Roman"/>
        </w:rPr>
      </w:pPr>
      <w:r>
        <w:rPr>
          <w:rFonts w:hint="eastAsia" w:ascii="Times New Roman" w:hAnsi="Times New Roman"/>
        </w:rPr>
        <w:t>（</w:t>
      </w:r>
      <w:r>
        <w:rPr>
          <w:rFonts w:ascii="Times New Roman" w:hAnsi="Times New Roman"/>
        </w:rPr>
        <w:t>8）《突发环境事件调查处理办法》（2015年3月1日起施行）；</w:t>
      </w:r>
    </w:p>
    <w:p w14:paraId="56354B21">
      <w:pPr>
        <w:pStyle w:val="25"/>
        <w:rPr>
          <w:rFonts w:ascii="Times New Roman" w:hAnsi="Times New Roman"/>
        </w:rPr>
      </w:pPr>
      <w:r>
        <w:rPr>
          <w:rFonts w:hint="eastAsia" w:ascii="Times New Roman" w:hAnsi="Times New Roman"/>
        </w:rPr>
        <w:t>（</w:t>
      </w:r>
      <w:r>
        <w:rPr>
          <w:rFonts w:ascii="Times New Roman" w:hAnsi="Times New Roman"/>
        </w:rPr>
        <w:t>9）《山西省突发事件应对条例》（2012年6月1日起实施）；</w:t>
      </w:r>
    </w:p>
    <w:p w14:paraId="5102D688">
      <w:pPr>
        <w:pStyle w:val="25"/>
        <w:rPr>
          <w:rFonts w:ascii="Times New Roman" w:hAnsi="Times New Roman"/>
        </w:rPr>
      </w:pPr>
      <w:r>
        <w:rPr>
          <w:rFonts w:hint="eastAsia" w:ascii="Times New Roman" w:hAnsi="Times New Roman"/>
        </w:rPr>
        <w:t>（</w:t>
      </w:r>
      <w:r>
        <w:rPr>
          <w:rFonts w:ascii="Times New Roman" w:hAnsi="Times New Roman"/>
        </w:rPr>
        <w:t>10）《山西省突发事件应急管理办法》（2024年6月7日实施）；</w:t>
      </w:r>
    </w:p>
    <w:p w14:paraId="646E9B03">
      <w:pPr>
        <w:pStyle w:val="25"/>
        <w:rPr>
          <w:rFonts w:ascii="Times New Roman" w:hAnsi="Times New Roman"/>
        </w:rPr>
      </w:pPr>
      <w:r>
        <w:rPr>
          <w:rFonts w:hint="eastAsia" w:ascii="Times New Roman" w:hAnsi="Times New Roman"/>
        </w:rPr>
        <w:t>（</w:t>
      </w:r>
      <w:r>
        <w:rPr>
          <w:rFonts w:ascii="Times New Roman" w:hAnsi="Times New Roman"/>
        </w:rPr>
        <w:t>11）山西省人民政府办公厅关于印发《山西省突发环境事件应急预案》的通知（晋政办发</w:t>
      </w:r>
      <w:r>
        <w:rPr>
          <w:rFonts w:hint="eastAsia" w:ascii="Times New Roman" w:hAnsi="Times New Roman"/>
        </w:rPr>
        <w:t>〔</w:t>
      </w:r>
      <w:r>
        <w:rPr>
          <w:rFonts w:ascii="Times New Roman" w:hAnsi="Times New Roman"/>
        </w:rPr>
        <w:t>2020〕104号）；</w:t>
      </w:r>
    </w:p>
    <w:p w14:paraId="5FE9585F">
      <w:pPr>
        <w:pStyle w:val="25"/>
        <w:rPr>
          <w:rFonts w:ascii="Times New Roman" w:hAnsi="Times New Roman"/>
        </w:rPr>
      </w:pPr>
      <w:r>
        <w:rPr>
          <w:rFonts w:hint="eastAsia" w:ascii="Times New Roman" w:hAnsi="Times New Roman"/>
        </w:rPr>
        <w:t>（</w:t>
      </w:r>
      <w:r>
        <w:rPr>
          <w:rFonts w:ascii="Times New Roman" w:hAnsi="Times New Roman"/>
        </w:rPr>
        <w:t>12）《大同市突发事件应急预案管理办法》（2025年4月15日实施）</w:t>
      </w:r>
      <w:r>
        <w:rPr>
          <w:rFonts w:hint="eastAsia" w:ascii="Times New Roman" w:hAnsi="Times New Roman"/>
        </w:rPr>
        <w:t>；</w:t>
      </w:r>
    </w:p>
    <w:p w14:paraId="3A2B4508">
      <w:pPr>
        <w:pStyle w:val="25"/>
        <w:rPr>
          <w:rFonts w:ascii="Times New Roman" w:hAnsi="Times New Roman"/>
        </w:rPr>
      </w:pPr>
      <w:r>
        <w:rPr>
          <w:rFonts w:hint="eastAsia" w:ascii="Times New Roman" w:hAnsi="Times New Roman"/>
        </w:rPr>
        <w:t>（1</w:t>
      </w:r>
      <w:r>
        <w:rPr>
          <w:rFonts w:ascii="Times New Roman" w:hAnsi="Times New Roman"/>
        </w:rPr>
        <w:t>3</w:t>
      </w:r>
      <w:r>
        <w:rPr>
          <w:rFonts w:hint="eastAsia" w:ascii="Times New Roman" w:hAnsi="Times New Roman"/>
        </w:rPr>
        <w:t>）《山西省土壤污染防治条例》（2</w:t>
      </w:r>
      <w:r>
        <w:rPr>
          <w:rFonts w:ascii="Times New Roman" w:hAnsi="Times New Roman"/>
        </w:rPr>
        <w:t>020</w:t>
      </w:r>
      <w:r>
        <w:rPr>
          <w:rFonts w:hint="eastAsia" w:ascii="Times New Roman" w:hAnsi="Times New Roman"/>
        </w:rPr>
        <w:t>年1月1日起实施）；</w:t>
      </w:r>
    </w:p>
    <w:p w14:paraId="269352F9">
      <w:pPr>
        <w:pStyle w:val="25"/>
        <w:rPr>
          <w:rFonts w:ascii="Times New Roman" w:hAnsi="Times New Roman"/>
        </w:rPr>
      </w:pPr>
      <w:r>
        <w:rPr>
          <w:rFonts w:hint="eastAsia" w:ascii="Times New Roman" w:hAnsi="Times New Roman"/>
        </w:rPr>
        <w:t>（</w:t>
      </w:r>
      <w:r>
        <w:rPr>
          <w:rFonts w:ascii="Times New Roman" w:hAnsi="Times New Roman"/>
        </w:rPr>
        <w:t>14）《土壤环境质量 建设用地土壤污染风险管控标准（试行）》</w:t>
      </w:r>
      <w:r>
        <w:rPr>
          <w:rFonts w:hint="eastAsia" w:ascii="Times New Roman" w:hAnsi="Times New Roman"/>
        </w:rPr>
        <w:t>（</w:t>
      </w:r>
      <w:r>
        <w:rPr>
          <w:rFonts w:ascii="Times New Roman" w:hAnsi="Times New Roman"/>
        </w:rPr>
        <w:t>GB36600-2018）；</w:t>
      </w:r>
    </w:p>
    <w:p w14:paraId="21CA8F64">
      <w:pPr>
        <w:pStyle w:val="25"/>
        <w:rPr>
          <w:rFonts w:ascii="Times New Roman" w:hAnsi="Times New Roman"/>
        </w:rPr>
      </w:pPr>
      <w:r>
        <w:rPr>
          <w:rFonts w:hint="eastAsia" w:ascii="Times New Roman" w:hAnsi="Times New Roman"/>
        </w:rPr>
        <w:t>（</w:t>
      </w:r>
      <w:r>
        <w:rPr>
          <w:rFonts w:ascii="Times New Roman" w:hAnsi="Times New Roman"/>
        </w:rPr>
        <w:t>15）《土壤环境质量 农用地土壤污染风险管控标准（试行）》</w:t>
      </w:r>
      <w:r>
        <w:rPr>
          <w:rFonts w:hint="eastAsia" w:ascii="Times New Roman" w:hAnsi="Times New Roman"/>
        </w:rPr>
        <w:t>（</w:t>
      </w:r>
      <w:r>
        <w:rPr>
          <w:rFonts w:ascii="Times New Roman" w:hAnsi="Times New Roman"/>
        </w:rPr>
        <w:t>GB15618-2018）</w:t>
      </w:r>
      <w:r>
        <w:rPr>
          <w:rFonts w:hint="eastAsia" w:ascii="Times New Roman" w:hAnsi="Times New Roman"/>
        </w:rPr>
        <w:t>；</w:t>
      </w:r>
    </w:p>
    <w:p w14:paraId="37C74632">
      <w:pPr>
        <w:pStyle w:val="25"/>
        <w:rPr>
          <w:rFonts w:ascii="Times New Roman" w:hAnsi="Times New Roman"/>
        </w:rPr>
      </w:pPr>
      <w:r>
        <w:rPr>
          <w:rFonts w:hint="eastAsia" w:ascii="Times New Roman" w:hAnsi="Times New Roman"/>
        </w:rPr>
        <w:t>（1</w:t>
      </w:r>
      <w:r>
        <w:rPr>
          <w:rFonts w:ascii="Times New Roman" w:hAnsi="Times New Roman"/>
        </w:rPr>
        <w:t>6</w:t>
      </w:r>
      <w:r>
        <w:rPr>
          <w:rFonts w:hint="eastAsia" w:ascii="Times New Roman" w:hAnsi="Times New Roman"/>
        </w:rPr>
        <w:t>）《建设用地土壤污染责任人认定暂行办法》（生态环境部令第</w:t>
      </w:r>
      <w:r>
        <w:rPr>
          <w:rFonts w:ascii="Times New Roman" w:hAnsi="Times New Roman"/>
        </w:rPr>
        <w:t>48号，2021年5月1日起施行）。</w:t>
      </w:r>
    </w:p>
    <w:p w14:paraId="0E9CECB2">
      <w:pPr>
        <w:pStyle w:val="22"/>
      </w:pPr>
      <w:bookmarkStart w:id="9" w:name="_Toc205835906"/>
      <w:r>
        <w:t>1.4 适用范围</w:t>
      </w:r>
      <w:bookmarkEnd w:id="9"/>
    </w:p>
    <w:p w14:paraId="16665030">
      <w:pPr>
        <w:pStyle w:val="25"/>
        <w:rPr>
          <w:rFonts w:ascii="Times New Roman" w:hAnsi="Times New Roman"/>
        </w:rPr>
      </w:pPr>
      <w:r>
        <w:rPr>
          <w:rFonts w:hint="eastAsia" w:ascii="Times New Roman" w:hAnsi="Times New Roman"/>
        </w:rPr>
        <w:t>本预案适用于云冈区行政区域内因人为或不可抗拒因素造成的土壤污染突发环境事件的预防和应急处置工作。本预案所称突发环境事件，是指由于污染物排放或自然灾害、生产安全事件等因素，导致污染物等有毒有害物质进入土壤，突然造成或可能造成土壤环境质量下降，危及公众身体健康和财产安全，或造成生态环境破坏，或造成重大社会影响，需要采取紧急措施予以应对的事件。本预案不适用于放射性物质或伴生放射性矿产资源开发利用过程中造成的土壤污染事件，该类事件应遵循《放射性污染防治法》及《山西省辐射事故应急预案》。</w:t>
      </w:r>
    </w:p>
    <w:p w14:paraId="5AD92EB5">
      <w:pPr>
        <w:pStyle w:val="22"/>
      </w:pPr>
      <w:bookmarkStart w:id="10" w:name="_Toc205835907"/>
      <w:r>
        <w:t>1.5 预案体系</w:t>
      </w:r>
      <w:bookmarkEnd w:id="10"/>
    </w:p>
    <w:p w14:paraId="7404CB26">
      <w:pPr>
        <w:pStyle w:val="25"/>
        <w:rPr>
          <w:rFonts w:ascii="Times New Roman" w:hAnsi="Times New Roman"/>
        </w:rPr>
      </w:pPr>
      <w:r>
        <w:rPr>
          <w:rFonts w:hint="eastAsia" w:ascii="Times New Roman" w:hAnsi="Times New Roman"/>
        </w:rPr>
        <w:t>《云冈区土壤环境污染事件应急预案》为</w:t>
      </w:r>
      <w:bookmarkStart w:id="11" w:name="OLE_LINK11"/>
      <w:bookmarkStart w:id="12" w:name="OLE_LINK12"/>
      <w:r>
        <w:rPr>
          <w:rFonts w:hint="eastAsia" w:ascii="Times New Roman" w:hAnsi="Times New Roman"/>
        </w:rPr>
        <w:t>《云冈区突发事件总体应急预案</w:t>
      </w:r>
      <w:r>
        <w:rPr>
          <w:rFonts w:ascii="Times New Roman" w:hAnsi="Times New Roman"/>
        </w:rPr>
        <w:t>》</w:t>
      </w:r>
      <w:bookmarkEnd w:id="11"/>
      <w:bookmarkEnd w:id="12"/>
      <w:r>
        <w:rPr>
          <w:rFonts w:ascii="Times New Roman" w:hAnsi="Times New Roman"/>
        </w:rPr>
        <w:t>的子预案，本预案是土壤环境污染事</w:t>
      </w:r>
      <w:r>
        <w:rPr>
          <w:rFonts w:hint="eastAsia" w:ascii="Times New Roman" w:hAnsi="Times New Roman"/>
        </w:rPr>
        <w:t>件</w:t>
      </w:r>
      <w:r>
        <w:rPr>
          <w:rFonts w:ascii="Times New Roman" w:hAnsi="Times New Roman"/>
        </w:rPr>
        <w:t>专项应急预案，</w:t>
      </w:r>
      <w:r>
        <w:rPr>
          <w:rFonts w:hint="eastAsia" w:ascii="Times New Roman" w:hAnsi="Times New Roman"/>
        </w:rPr>
        <w:t>云冈区</w:t>
      </w:r>
      <w:r>
        <w:rPr>
          <w:rFonts w:ascii="Times New Roman" w:hAnsi="Times New Roman"/>
        </w:rPr>
        <w:t>相关部门土壤环境污染事</w:t>
      </w:r>
      <w:r>
        <w:rPr>
          <w:rFonts w:hint="eastAsia" w:ascii="Times New Roman" w:hAnsi="Times New Roman"/>
        </w:rPr>
        <w:t>件</w:t>
      </w:r>
      <w:r>
        <w:rPr>
          <w:rFonts w:ascii="Times New Roman" w:hAnsi="Times New Roman"/>
        </w:rPr>
        <w:t>应急预案和相关企业土壤环境污染事</w:t>
      </w:r>
      <w:r>
        <w:rPr>
          <w:rFonts w:hint="eastAsia" w:ascii="Times New Roman" w:hAnsi="Times New Roman"/>
        </w:rPr>
        <w:t>件</w:t>
      </w:r>
      <w:r>
        <w:rPr>
          <w:rFonts w:ascii="Times New Roman" w:hAnsi="Times New Roman"/>
        </w:rPr>
        <w:t>应急预案与本预案相衔接，以其为依据，对相关内容进行分解和细化，共同构成</w:t>
      </w:r>
      <w:r>
        <w:rPr>
          <w:rFonts w:hint="eastAsia" w:ascii="Times New Roman" w:hAnsi="Times New Roman"/>
        </w:rPr>
        <w:t>云冈区</w:t>
      </w:r>
      <w:r>
        <w:rPr>
          <w:rFonts w:ascii="Times New Roman" w:hAnsi="Times New Roman"/>
        </w:rPr>
        <w:t>土壤环境污染事</w:t>
      </w:r>
      <w:r>
        <w:rPr>
          <w:rFonts w:hint="eastAsia" w:ascii="Times New Roman" w:hAnsi="Times New Roman"/>
        </w:rPr>
        <w:t>件</w:t>
      </w:r>
      <w:r>
        <w:rPr>
          <w:rFonts w:ascii="Times New Roman" w:hAnsi="Times New Roman"/>
        </w:rPr>
        <w:t>应急预案体系</w:t>
      </w:r>
      <w:r>
        <w:rPr>
          <w:rFonts w:hint="eastAsia" w:ascii="Times New Roman" w:hAnsi="Times New Roman"/>
        </w:rPr>
        <w:t>，</w:t>
      </w:r>
      <w:r>
        <w:rPr>
          <w:rFonts w:ascii="Times New Roman" w:hAnsi="Times New Roman"/>
        </w:rPr>
        <w:t>是《</w:t>
      </w:r>
      <w:r>
        <w:rPr>
          <w:rFonts w:hint="eastAsia" w:ascii="Times New Roman" w:hAnsi="Times New Roman"/>
        </w:rPr>
        <w:t>大同</w:t>
      </w:r>
      <w:r>
        <w:rPr>
          <w:rFonts w:ascii="Times New Roman" w:hAnsi="Times New Roman"/>
        </w:rPr>
        <w:t>市</w:t>
      </w:r>
      <w:r>
        <w:rPr>
          <w:rFonts w:hint="eastAsia" w:ascii="Times New Roman" w:hAnsi="Times New Roman"/>
        </w:rPr>
        <w:t>云冈区</w:t>
      </w:r>
      <w:r>
        <w:rPr>
          <w:rFonts w:ascii="Times New Roman" w:hAnsi="Times New Roman"/>
        </w:rPr>
        <w:t>突发环境事件应急预案》体系的组成部分。</w:t>
      </w:r>
    </w:p>
    <w:p w14:paraId="2A8DB784">
      <w:pPr>
        <w:pStyle w:val="25"/>
        <w:rPr>
          <w:rFonts w:ascii="Times New Roman" w:hAnsi="Times New Roman"/>
        </w:rPr>
      </w:pPr>
    </w:p>
    <w:p w14:paraId="383A4D1C">
      <w:pPr>
        <w:pStyle w:val="25"/>
        <w:rPr>
          <w:rFonts w:ascii="Times New Roman" w:hAnsi="Times New Roman"/>
        </w:rPr>
        <w:sectPr>
          <w:pgSz w:w="11906" w:h="16838"/>
          <w:pgMar w:top="1440" w:right="1701" w:bottom="1440" w:left="1701" w:header="851" w:footer="425" w:gutter="0"/>
          <w:pgNumType w:start="1"/>
          <w:cols w:space="425" w:num="1"/>
          <w:docGrid w:type="lines" w:linePitch="312" w:charSpace="0"/>
        </w:sectPr>
      </w:pPr>
    </w:p>
    <w:p w14:paraId="1228CA2C">
      <w:pPr>
        <w:pStyle w:val="21"/>
        <w:spacing w:before="156" w:after="156"/>
        <w:rPr>
          <w:rFonts w:ascii="Times New Roman" w:hAnsi="Times New Roman"/>
          <w:color w:val="auto"/>
        </w:rPr>
      </w:pPr>
      <w:bookmarkStart w:id="13" w:name="_Toc205835908"/>
      <w:r>
        <w:rPr>
          <w:rFonts w:hint="eastAsia" w:ascii="Times New Roman" w:hAnsi="Times New Roman"/>
          <w:color w:val="auto"/>
        </w:rPr>
        <w:t>2应急组织机构</w:t>
      </w:r>
      <w:bookmarkEnd w:id="13"/>
    </w:p>
    <w:p w14:paraId="33938D4E">
      <w:pPr>
        <w:pStyle w:val="25"/>
        <w:rPr>
          <w:rFonts w:ascii="Times New Roman" w:hAnsi="Times New Roman"/>
        </w:rPr>
      </w:pPr>
      <w:r>
        <w:rPr>
          <w:rFonts w:hint="eastAsia" w:ascii="Times New Roman" w:hAnsi="Times New Roman"/>
        </w:rPr>
        <w:t>云冈区土壤突发环境事件应急组织指挥体系由应急指挥部及其办公室组成。</w:t>
      </w:r>
    </w:p>
    <w:p w14:paraId="3CD6F2B1">
      <w:pPr>
        <w:pStyle w:val="22"/>
      </w:pPr>
      <w:bookmarkStart w:id="14" w:name="_Toc199265576"/>
      <w:bookmarkStart w:id="15" w:name="_Toc205835909"/>
      <w:r>
        <w:rPr>
          <w:rFonts w:hint="eastAsia"/>
        </w:rPr>
        <w:t>2</w:t>
      </w:r>
      <w:r>
        <w:t>.1指挥部</w:t>
      </w:r>
      <w:bookmarkEnd w:id="14"/>
      <w:bookmarkEnd w:id="15"/>
    </w:p>
    <w:p w14:paraId="508B6271">
      <w:pPr>
        <w:pStyle w:val="25"/>
        <w:rPr>
          <w:rFonts w:ascii="Times New Roman" w:hAnsi="Times New Roman"/>
        </w:rPr>
      </w:pPr>
      <w:r>
        <w:rPr>
          <w:rFonts w:hint="eastAsia" w:ascii="Times New Roman" w:hAnsi="Times New Roman"/>
        </w:rPr>
        <w:t>总指挥由云冈区人民政府区长担任，副总指挥由分管应急工作的副区长担任，统一领导、组织和指挥应急处置工作。指挥部办公室设在大同市生态环境局云冈分局，大同市生态环境局云冈分局主要负责人担任办公室主任。</w:t>
      </w:r>
    </w:p>
    <w:p w14:paraId="745AFD8B">
      <w:pPr>
        <w:pStyle w:val="25"/>
        <w:rPr>
          <w:rFonts w:ascii="Times New Roman" w:hAnsi="Times New Roman"/>
        </w:rPr>
      </w:pPr>
      <w:bookmarkStart w:id="16" w:name="OLE_LINK13"/>
      <w:bookmarkStart w:id="17" w:name="OLE_LINK14"/>
      <w:r>
        <w:rPr>
          <w:rFonts w:hint="eastAsia" w:ascii="Times New Roman" w:hAnsi="Times New Roman"/>
        </w:rPr>
        <w:t>成员单位：区委宣传部、</w:t>
      </w:r>
      <w:r>
        <w:rPr>
          <w:rFonts w:ascii="Times New Roman" w:hAnsi="Times New Roman"/>
        </w:rPr>
        <w:t>区应急</w:t>
      </w:r>
      <w:r>
        <w:rPr>
          <w:rFonts w:hint="eastAsia" w:ascii="Times New Roman" w:hAnsi="Times New Roman"/>
        </w:rPr>
        <w:t>管理</w:t>
      </w:r>
      <w:r>
        <w:rPr>
          <w:rFonts w:ascii="Times New Roman" w:hAnsi="Times New Roman"/>
        </w:rPr>
        <w:t>局、</w:t>
      </w:r>
      <w:r>
        <w:rPr>
          <w:rFonts w:hint="eastAsia" w:ascii="Times New Roman" w:hAnsi="Times New Roman"/>
        </w:rPr>
        <w:t>区发改科技局</w:t>
      </w:r>
      <w:r>
        <w:rPr>
          <w:rFonts w:ascii="Times New Roman" w:hAnsi="Times New Roman"/>
        </w:rPr>
        <w:t>、</w:t>
      </w:r>
      <w:r>
        <w:rPr>
          <w:rFonts w:hint="eastAsia" w:ascii="Times New Roman" w:hAnsi="Times New Roman"/>
        </w:rPr>
        <w:t>区</w:t>
      </w:r>
      <w:r>
        <w:rPr>
          <w:rFonts w:ascii="Times New Roman" w:hAnsi="Times New Roman"/>
        </w:rPr>
        <w:t>工信局、</w:t>
      </w:r>
      <w:bookmarkStart w:id="18" w:name="OLE_LINK76"/>
      <w:bookmarkStart w:id="19" w:name="OLE_LINK77"/>
      <w:r>
        <w:rPr>
          <w:rFonts w:hint="eastAsia" w:ascii="Times New Roman" w:hAnsi="Times New Roman"/>
        </w:rPr>
        <w:t>市</w:t>
      </w:r>
      <w:r>
        <w:rPr>
          <w:rFonts w:ascii="Times New Roman" w:hAnsi="Times New Roman"/>
        </w:rPr>
        <w:t>公安局</w:t>
      </w:r>
      <w:r>
        <w:rPr>
          <w:rFonts w:hint="eastAsia" w:ascii="Times New Roman" w:hAnsi="Times New Roman"/>
        </w:rPr>
        <w:t>云冈分局</w:t>
      </w:r>
      <w:bookmarkEnd w:id="18"/>
      <w:bookmarkEnd w:id="19"/>
      <w:r>
        <w:rPr>
          <w:rFonts w:ascii="Times New Roman" w:hAnsi="Times New Roman"/>
        </w:rPr>
        <w:t>、</w:t>
      </w:r>
      <w:bookmarkStart w:id="20" w:name="OLE_LINK79"/>
      <w:bookmarkStart w:id="21" w:name="OLE_LINK78"/>
      <w:r>
        <w:rPr>
          <w:rFonts w:hint="eastAsia" w:ascii="Times New Roman" w:hAnsi="Times New Roman"/>
        </w:rPr>
        <w:t>区</w:t>
      </w:r>
      <w:r>
        <w:rPr>
          <w:rFonts w:ascii="Times New Roman" w:hAnsi="Times New Roman"/>
        </w:rPr>
        <w:t>财政局</w:t>
      </w:r>
      <w:bookmarkEnd w:id="20"/>
      <w:bookmarkEnd w:id="21"/>
      <w:r>
        <w:rPr>
          <w:rFonts w:ascii="Times New Roman" w:hAnsi="Times New Roman"/>
        </w:rPr>
        <w:t>、</w:t>
      </w:r>
      <w:bookmarkStart w:id="22" w:name="OLE_LINK81"/>
      <w:bookmarkStart w:id="23" w:name="OLE_LINK80"/>
      <w:r>
        <w:rPr>
          <w:rFonts w:hint="eastAsia" w:ascii="Times New Roman" w:hAnsi="Times New Roman"/>
        </w:rPr>
        <w:t>区水务局</w:t>
      </w:r>
      <w:bookmarkEnd w:id="22"/>
      <w:bookmarkEnd w:id="23"/>
      <w:r>
        <w:rPr>
          <w:rFonts w:hint="eastAsia" w:ascii="Times New Roman" w:hAnsi="Times New Roman"/>
        </w:rPr>
        <w:t>、</w:t>
      </w:r>
      <w:bookmarkStart w:id="24" w:name="OLE_LINK82"/>
      <w:bookmarkStart w:id="25" w:name="OLE_LINK83"/>
      <w:r>
        <w:rPr>
          <w:rFonts w:hint="eastAsia" w:ascii="Times New Roman" w:hAnsi="Times New Roman"/>
        </w:rPr>
        <w:t>区农业农村局</w:t>
      </w:r>
      <w:bookmarkEnd w:id="24"/>
      <w:bookmarkEnd w:id="25"/>
      <w:r>
        <w:rPr>
          <w:rFonts w:hint="eastAsia" w:ascii="Times New Roman" w:hAnsi="Times New Roman"/>
        </w:rPr>
        <w:t>、</w:t>
      </w:r>
      <w:bookmarkStart w:id="26" w:name="OLE_LINK85"/>
      <w:bookmarkStart w:id="27" w:name="OLE_LINK84"/>
      <w:r>
        <w:rPr>
          <w:rFonts w:ascii="Times New Roman" w:hAnsi="Times New Roman"/>
        </w:rPr>
        <w:t>区自然资源局</w:t>
      </w:r>
      <w:bookmarkEnd w:id="26"/>
      <w:bookmarkEnd w:id="27"/>
      <w:r>
        <w:rPr>
          <w:rFonts w:ascii="Times New Roman" w:hAnsi="Times New Roman"/>
        </w:rPr>
        <w:t>、</w:t>
      </w:r>
      <w:bookmarkStart w:id="28" w:name="OLE_LINK75"/>
      <w:bookmarkStart w:id="29" w:name="OLE_LINK74"/>
      <w:r>
        <w:rPr>
          <w:rFonts w:hint="eastAsia" w:ascii="Times New Roman" w:hAnsi="Times New Roman"/>
        </w:rPr>
        <w:t>市生态环境局云冈分局</w:t>
      </w:r>
      <w:bookmarkEnd w:id="28"/>
      <w:bookmarkEnd w:id="29"/>
      <w:r>
        <w:rPr>
          <w:rFonts w:ascii="Times New Roman" w:hAnsi="Times New Roman"/>
        </w:rPr>
        <w:t>、</w:t>
      </w:r>
      <w:bookmarkStart w:id="30" w:name="OLE_LINK86"/>
      <w:bookmarkStart w:id="31" w:name="OLE_LINK87"/>
      <w:r>
        <w:rPr>
          <w:rFonts w:ascii="Times New Roman" w:hAnsi="Times New Roman"/>
        </w:rPr>
        <w:t>区住建局</w:t>
      </w:r>
      <w:bookmarkEnd w:id="30"/>
      <w:bookmarkEnd w:id="31"/>
      <w:r>
        <w:rPr>
          <w:rFonts w:ascii="Times New Roman" w:hAnsi="Times New Roman"/>
        </w:rPr>
        <w:t>、</w:t>
      </w:r>
      <w:bookmarkStart w:id="32" w:name="OLE_LINK89"/>
      <w:bookmarkStart w:id="33" w:name="OLE_LINK88"/>
      <w:r>
        <w:rPr>
          <w:rFonts w:ascii="Times New Roman" w:hAnsi="Times New Roman"/>
        </w:rPr>
        <w:t>区交通</w:t>
      </w:r>
      <w:r>
        <w:rPr>
          <w:rFonts w:hint="eastAsia" w:ascii="Times New Roman" w:hAnsi="Times New Roman"/>
        </w:rPr>
        <w:t>运输</w:t>
      </w:r>
      <w:r>
        <w:rPr>
          <w:rFonts w:ascii="Times New Roman" w:hAnsi="Times New Roman"/>
        </w:rPr>
        <w:t>局</w:t>
      </w:r>
      <w:bookmarkEnd w:id="32"/>
      <w:bookmarkEnd w:id="33"/>
      <w:r>
        <w:rPr>
          <w:rFonts w:ascii="Times New Roman" w:hAnsi="Times New Roman"/>
        </w:rPr>
        <w:t>、</w:t>
      </w:r>
      <w:bookmarkStart w:id="34" w:name="OLE_LINK90"/>
      <w:bookmarkStart w:id="35" w:name="OLE_LINK91"/>
      <w:r>
        <w:rPr>
          <w:rFonts w:ascii="Times New Roman" w:hAnsi="Times New Roman"/>
        </w:rPr>
        <w:t>区卫</w:t>
      </w:r>
      <w:r>
        <w:rPr>
          <w:rFonts w:hint="eastAsia" w:ascii="Times New Roman" w:hAnsi="Times New Roman"/>
        </w:rPr>
        <w:t>体</w:t>
      </w:r>
      <w:r>
        <w:rPr>
          <w:rFonts w:ascii="Times New Roman" w:hAnsi="Times New Roman"/>
        </w:rPr>
        <w:t>局</w:t>
      </w:r>
      <w:bookmarkEnd w:id="34"/>
      <w:bookmarkEnd w:id="35"/>
      <w:r>
        <w:rPr>
          <w:rFonts w:ascii="Times New Roman" w:hAnsi="Times New Roman"/>
        </w:rPr>
        <w:t>、区能源局、</w:t>
      </w:r>
      <w:bookmarkStart w:id="36" w:name="OLE_LINK92"/>
      <w:bookmarkStart w:id="37" w:name="OLE_LINK93"/>
      <w:r>
        <w:rPr>
          <w:rFonts w:hint="eastAsia" w:ascii="Times New Roman" w:hAnsi="Times New Roman"/>
        </w:rPr>
        <w:t>区教育局</w:t>
      </w:r>
      <w:bookmarkEnd w:id="36"/>
      <w:bookmarkEnd w:id="37"/>
      <w:r>
        <w:rPr>
          <w:rFonts w:hint="eastAsia" w:ascii="Times New Roman" w:hAnsi="Times New Roman"/>
        </w:rPr>
        <w:t>、</w:t>
      </w:r>
      <w:bookmarkStart w:id="38" w:name="OLE_LINK95"/>
      <w:bookmarkStart w:id="39" w:name="OLE_LINK94"/>
      <w:r>
        <w:rPr>
          <w:rFonts w:hint="eastAsia" w:ascii="Times New Roman" w:hAnsi="Times New Roman"/>
        </w:rPr>
        <w:t>区市场监督管理局</w:t>
      </w:r>
      <w:bookmarkEnd w:id="38"/>
      <w:bookmarkEnd w:id="39"/>
      <w:r>
        <w:rPr>
          <w:rFonts w:hint="eastAsia" w:ascii="Times New Roman" w:hAnsi="Times New Roman"/>
        </w:rPr>
        <w:t>、</w:t>
      </w:r>
      <w:bookmarkStart w:id="40" w:name="OLE_LINK97"/>
      <w:bookmarkStart w:id="41" w:name="OLE_LINK96"/>
      <w:r>
        <w:rPr>
          <w:rFonts w:hint="eastAsia" w:ascii="Times New Roman" w:hAnsi="Times New Roman"/>
        </w:rPr>
        <w:t>区消防大队</w:t>
      </w:r>
      <w:bookmarkEnd w:id="16"/>
      <w:bookmarkEnd w:id="17"/>
      <w:bookmarkEnd w:id="40"/>
      <w:bookmarkEnd w:id="41"/>
      <w:r>
        <w:rPr>
          <w:rFonts w:ascii="Times New Roman" w:hAnsi="Times New Roman"/>
        </w:rPr>
        <w:t>等单位有关负责人。</w:t>
      </w:r>
    </w:p>
    <w:p w14:paraId="3C65DF29">
      <w:pPr>
        <w:pStyle w:val="25"/>
        <w:rPr>
          <w:rFonts w:ascii="Times New Roman" w:hAnsi="Times New Roman"/>
        </w:rPr>
      </w:pPr>
      <w:r>
        <w:rPr>
          <w:rFonts w:hint="eastAsia" w:ascii="Times New Roman" w:hAnsi="Times New Roman"/>
        </w:rPr>
        <w:t>区及其他有关部门和单位必须服从区突发环境事件应急指挥部的指挥，根据应急处置工作需要，开展相应工作。</w:t>
      </w:r>
    </w:p>
    <w:p w14:paraId="5653EAB2">
      <w:pPr>
        <w:pStyle w:val="25"/>
        <w:rPr>
          <w:rFonts w:ascii="Times New Roman" w:hAnsi="Times New Roman"/>
        </w:rPr>
      </w:pPr>
      <w:r>
        <w:rPr>
          <w:rFonts w:hint="eastAsia" w:ascii="Times New Roman" w:hAnsi="Times New Roman"/>
        </w:rPr>
        <w:t>区指挥部及其办公室、成员单位职责见附件</w:t>
      </w:r>
      <w:r>
        <w:rPr>
          <w:rFonts w:ascii="Times New Roman" w:hAnsi="Times New Roman"/>
        </w:rPr>
        <w:t>1。</w:t>
      </w:r>
    </w:p>
    <w:p w14:paraId="44BBC772">
      <w:pPr>
        <w:pStyle w:val="22"/>
      </w:pPr>
      <w:bookmarkStart w:id="42" w:name="_Toc199265579"/>
      <w:bookmarkStart w:id="43" w:name="_Toc205835910"/>
      <w:r>
        <w:rPr>
          <w:rFonts w:hint="eastAsia"/>
        </w:rPr>
        <w:t>2</w:t>
      </w:r>
      <w:r>
        <w:t>.2</w:t>
      </w:r>
      <w:bookmarkEnd w:id="42"/>
      <w:r>
        <w:rPr>
          <w:rFonts w:hint="eastAsia"/>
        </w:rPr>
        <w:t>应急指挥部工作组</w:t>
      </w:r>
      <w:bookmarkEnd w:id="43"/>
    </w:p>
    <w:p w14:paraId="20455226">
      <w:pPr>
        <w:pStyle w:val="25"/>
        <w:rPr>
          <w:rFonts w:ascii="Times New Roman" w:hAnsi="Times New Roman"/>
        </w:rPr>
      </w:pPr>
      <w:r>
        <w:rPr>
          <w:rFonts w:hint="eastAsia" w:ascii="Times New Roman" w:hAnsi="Times New Roman"/>
        </w:rPr>
        <w:t>为便于指挥，协调应对，确保我区处置突发环境事件工作顺利推进，区应急指挥部设立综合组、污染处置组、应急监测组、医疗救援组、应急保障组、新闻宣传组、社会稳定组、调查评估组、专家组等9个工作组。各工作组组成及职责见附件</w:t>
      </w:r>
      <w:r>
        <w:rPr>
          <w:rFonts w:ascii="Times New Roman" w:hAnsi="Times New Roman"/>
        </w:rPr>
        <w:t>2</w:t>
      </w:r>
      <w:r>
        <w:rPr>
          <w:rFonts w:hint="eastAsia" w:ascii="Times New Roman" w:hAnsi="Times New Roman"/>
        </w:rPr>
        <w:t>。</w:t>
      </w:r>
    </w:p>
    <w:p w14:paraId="5F0E411F">
      <w:pPr>
        <w:pStyle w:val="25"/>
        <w:rPr>
          <w:rFonts w:ascii="Times New Roman" w:hAnsi="Times New Roman"/>
        </w:rPr>
        <w:sectPr>
          <w:pgSz w:w="11906" w:h="16838"/>
          <w:pgMar w:top="1440" w:right="1701" w:bottom="1440" w:left="1701" w:header="851" w:footer="567" w:gutter="0"/>
          <w:cols w:space="425" w:num="1"/>
          <w:docGrid w:type="lines" w:linePitch="312" w:charSpace="0"/>
        </w:sectPr>
      </w:pPr>
    </w:p>
    <w:p w14:paraId="63D0FF84">
      <w:pPr>
        <w:pStyle w:val="21"/>
        <w:spacing w:before="156" w:after="156"/>
        <w:rPr>
          <w:rFonts w:ascii="Times New Roman" w:hAnsi="Times New Roman"/>
          <w:color w:val="auto"/>
        </w:rPr>
      </w:pPr>
      <w:bookmarkStart w:id="44" w:name="_Toc205835911"/>
      <w:r>
        <w:rPr>
          <w:rFonts w:hint="eastAsia" w:ascii="Times New Roman" w:hAnsi="Times New Roman"/>
          <w:color w:val="auto"/>
        </w:rPr>
        <w:t>3区域概况及风险评估</w:t>
      </w:r>
      <w:bookmarkEnd w:id="44"/>
    </w:p>
    <w:p w14:paraId="2BEFEEEA">
      <w:pPr>
        <w:pStyle w:val="22"/>
      </w:pPr>
      <w:bookmarkStart w:id="45" w:name="_Toc205835912"/>
      <w:r>
        <w:rPr>
          <w:rFonts w:hint="eastAsia"/>
        </w:rPr>
        <w:t>3</w:t>
      </w:r>
      <w:r>
        <w:t>.1</w:t>
      </w:r>
      <w:r>
        <w:rPr>
          <w:rFonts w:hint="eastAsia"/>
        </w:rPr>
        <w:t>区域概况</w:t>
      </w:r>
      <w:bookmarkEnd w:id="45"/>
    </w:p>
    <w:p w14:paraId="1C2C1A95">
      <w:pPr>
        <w:pStyle w:val="25"/>
        <w:rPr>
          <w:rFonts w:ascii="Times New Roman" w:hAnsi="Times New Roman"/>
        </w:rPr>
      </w:pPr>
      <w:bookmarkStart w:id="46" w:name="_Toc205822948"/>
      <w:bookmarkStart w:id="47" w:name="_Toc205835913"/>
      <w:r>
        <w:rPr>
          <w:rFonts w:ascii="Times New Roman" w:hAnsi="Times New Roman"/>
        </w:rPr>
        <w:t>1</w:t>
      </w:r>
      <w:r>
        <w:rPr>
          <w:rFonts w:hint="eastAsia" w:ascii="Times New Roman" w:hAnsi="Times New Roman"/>
        </w:rPr>
        <w:t>、地理位置</w:t>
      </w:r>
      <w:bookmarkEnd w:id="46"/>
      <w:bookmarkEnd w:id="47"/>
    </w:p>
    <w:p w14:paraId="7CED6490">
      <w:pPr>
        <w:pStyle w:val="25"/>
        <w:rPr>
          <w:rFonts w:ascii="Times New Roman" w:hAnsi="Times New Roman"/>
        </w:rPr>
      </w:pPr>
      <w:r>
        <w:rPr>
          <w:rFonts w:hint="eastAsia" w:ascii="Times New Roman" w:hAnsi="Times New Roman"/>
        </w:rPr>
        <w:t>大同市云冈区位于山西省北部，大同市西南部，东邻平城区、云州区，西接左云县，南连怀仁市</w:t>
      </w:r>
      <w:r>
        <w:rPr>
          <w:rFonts w:ascii="Times New Roman" w:hAnsi="Times New Roman"/>
        </w:rPr>
        <w:t>，北依新荣区，总面积737.81km</w:t>
      </w:r>
      <w:r>
        <w:rPr>
          <w:rFonts w:ascii="Times New Roman" w:hAnsi="Times New Roman"/>
          <w:vertAlign w:val="superscript"/>
        </w:rPr>
        <w:t>2</w:t>
      </w:r>
      <w:r>
        <w:rPr>
          <w:rFonts w:ascii="Times New Roman" w:hAnsi="Times New Roman"/>
        </w:rPr>
        <w:t>。地理坐标为北纬39°55</w:t>
      </w:r>
      <w:r>
        <w:rPr>
          <w:rFonts w:hint="eastAsia" w:ascii="Times New Roman" w:hAnsi="Times New Roman"/>
        </w:rPr>
        <w:t>′～</w:t>
      </w:r>
      <w:r>
        <w:rPr>
          <w:rFonts w:ascii="Times New Roman" w:hAnsi="Times New Roman"/>
        </w:rPr>
        <w:t>40°08</w:t>
      </w:r>
      <w:r>
        <w:rPr>
          <w:rFonts w:hint="eastAsia" w:ascii="Times New Roman" w:hAnsi="Times New Roman"/>
        </w:rPr>
        <w:t>′</w:t>
      </w:r>
      <w:r>
        <w:rPr>
          <w:rFonts w:ascii="Times New Roman" w:hAnsi="Times New Roman"/>
        </w:rPr>
        <w:t>，东经112°53</w:t>
      </w:r>
      <w:r>
        <w:rPr>
          <w:rFonts w:hint="eastAsia" w:ascii="Times New Roman" w:hAnsi="Times New Roman"/>
        </w:rPr>
        <w:t>′～</w:t>
      </w:r>
      <w:r>
        <w:rPr>
          <w:rFonts w:ascii="Times New Roman" w:hAnsi="Times New Roman"/>
        </w:rPr>
        <w:t>113°12</w:t>
      </w:r>
      <w:r>
        <w:rPr>
          <w:rFonts w:hint="eastAsia" w:ascii="Times New Roman" w:hAnsi="Times New Roman"/>
        </w:rPr>
        <w:t>′</w:t>
      </w:r>
      <w:r>
        <w:rPr>
          <w:rFonts w:ascii="Times New Roman" w:hAnsi="Times New Roman"/>
        </w:rPr>
        <w:t>，距大同市中心约12.5km。</w:t>
      </w:r>
    </w:p>
    <w:p w14:paraId="209EDAB8">
      <w:pPr>
        <w:pStyle w:val="25"/>
        <w:rPr>
          <w:rFonts w:ascii="Times New Roman" w:hAnsi="Times New Roman"/>
        </w:rPr>
      </w:pPr>
      <w:bookmarkStart w:id="48" w:name="_Toc205822949"/>
      <w:bookmarkStart w:id="49" w:name="_Toc205835914"/>
      <w:r>
        <w:rPr>
          <w:rFonts w:ascii="Times New Roman" w:hAnsi="Times New Roman"/>
        </w:rPr>
        <w:t>2</w:t>
      </w:r>
      <w:r>
        <w:rPr>
          <w:rFonts w:hint="eastAsia" w:ascii="Times New Roman" w:hAnsi="Times New Roman"/>
        </w:rPr>
        <w:t>、地形地貌</w:t>
      </w:r>
      <w:bookmarkEnd w:id="48"/>
      <w:bookmarkEnd w:id="49"/>
    </w:p>
    <w:p w14:paraId="303EA6DB">
      <w:pPr>
        <w:pStyle w:val="25"/>
        <w:rPr>
          <w:rFonts w:ascii="Times New Roman" w:hAnsi="Times New Roman"/>
        </w:rPr>
      </w:pPr>
      <w:r>
        <w:rPr>
          <w:rFonts w:hint="eastAsia" w:ascii="Times New Roman" w:hAnsi="Times New Roman"/>
        </w:rPr>
        <w:t>云冈区位于大同市西南部，东邻平城区、云州区，西接左云县</w:t>
      </w:r>
      <w:r>
        <w:rPr>
          <w:rFonts w:ascii="Times New Roman" w:hAnsi="Times New Roman"/>
        </w:rPr>
        <w:t>，南连怀仁市，北依新荣区。区域地处黄土高原东缘，总体地势西北高、东南低，属中小起伏丘陵山区，区内被口泉断裂分成西北部和东南部，西北部为起伏较大的山区，约占总面积的64%；东南部为略有起伏的平原区，属大同盆地，约占总面积的36%。区内主要山脉有塔儿山、七峰山、武周山、红桃山，诸山相连，属阴山山脉，最高海拔1714.1m。</w:t>
      </w:r>
    </w:p>
    <w:p w14:paraId="00A0A0D1">
      <w:pPr>
        <w:pStyle w:val="25"/>
        <w:rPr>
          <w:rFonts w:ascii="Times New Roman" w:hAnsi="Times New Roman"/>
        </w:rPr>
      </w:pPr>
      <w:bookmarkStart w:id="50" w:name="_Toc205835915"/>
      <w:bookmarkStart w:id="51" w:name="_Toc205822950"/>
      <w:r>
        <w:rPr>
          <w:rFonts w:ascii="Times New Roman" w:hAnsi="Times New Roman"/>
        </w:rPr>
        <w:t>3</w:t>
      </w:r>
      <w:r>
        <w:rPr>
          <w:rFonts w:hint="eastAsia" w:ascii="Times New Roman" w:hAnsi="Times New Roman"/>
        </w:rPr>
        <w:t>、</w:t>
      </w:r>
      <w:r>
        <w:rPr>
          <w:rFonts w:ascii="Times New Roman" w:hAnsi="Times New Roman"/>
        </w:rPr>
        <w:t>气候气象</w:t>
      </w:r>
      <w:bookmarkEnd w:id="50"/>
      <w:bookmarkEnd w:id="51"/>
    </w:p>
    <w:p w14:paraId="442B9C28">
      <w:pPr>
        <w:pStyle w:val="25"/>
        <w:rPr>
          <w:rFonts w:ascii="Times New Roman" w:hAnsi="Times New Roman"/>
        </w:rPr>
      </w:pPr>
      <w:r>
        <w:rPr>
          <w:rStyle w:val="28"/>
          <w:rFonts w:hint="eastAsia" w:ascii="Times New Roman" w:hAnsi="Times New Roman"/>
        </w:rPr>
        <w:t>本区域属于半干旱大陆性气候，冬季严寒，夏季炎热，气候干燥，风沙严重。根据大同气象台</w:t>
      </w:r>
      <w:r>
        <w:rPr>
          <w:rStyle w:val="28"/>
          <w:rFonts w:ascii="Times New Roman" w:hAnsi="Times New Roman"/>
        </w:rPr>
        <w:t>2000</w:t>
      </w:r>
      <w:r>
        <w:rPr>
          <w:rStyle w:val="28"/>
          <w:rFonts w:hint="eastAsia" w:ascii="Times New Roman" w:hAnsi="Times New Roman"/>
        </w:rPr>
        <w:t>～</w:t>
      </w:r>
      <w:r>
        <w:rPr>
          <w:rStyle w:val="28"/>
          <w:rFonts w:ascii="Times New Roman" w:hAnsi="Times New Roman"/>
        </w:rPr>
        <w:t>2019年的资料：本区年平均气温7.6℃，极端最低气温-28.1℃，极端最高气温39.0℃。年平均降水量为372.9mm，降水量集中在6、7、8、9 四个月，占全年降雨量的74.8%</w:t>
      </w:r>
      <w:r>
        <w:rPr>
          <w:rStyle w:val="28"/>
          <w:rFonts w:hint="eastAsia" w:ascii="Times New Roman" w:hAnsi="Times New Roman"/>
        </w:rPr>
        <w:t>，</w:t>
      </w:r>
      <w:r>
        <w:rPr>
          <w:rStyle w:val="28"/>
          <w:rFonts w:ascii="Times New Roman" w:hAnsi="Times New Roman"/>
        </w:rPr>
        <w:t>最大日降水65.4mm；多年平均蒸发量为2059.1mm，是降雨量的5.52倍；日照时数</w:t>
      </w:r>
      <w:r>
        <w:rPr>
          <w:rFonts w:ascii="Times New Roman" w:hAnsi="Times New Roman"/>
        </w:rPr>
        <w:t>2667.7小时/年；一年中</w:t>
      </w:r>
      <w:r>
        <w:rPr>
          <w:rFonts w:hint="eastAsia" w:ascii="Times New Roman" w:hAnsi="Times New Roman"/>
        </w:rPr>
        <w:t>北</w:t>
      </w:r>
      <w:r>
        <w:rPr>
          <w:rFonts w:ascii="Times New Roman" w:hAnsi="Times New Roman"/>
        </w:rPr>
        <w:t>风频率最高，为16.57%，其次</w:t>
      </w:r>
      <w:r>
        <w:rPr>
          <w:rFonts w:hint="eastAsia" w:ascii="Times New Roman" w:hAnsi="Times New Roman"/>
        </w:rPr>
        <w:t>是西北偏北风</w:t>
      </w:r>
      <w:r>
        <w:rPr>
          <w:rFonts w:ascii="Times New Roman" w:hAnsi="Times New Roman"/>
        </w:rPr>
        <w:t>，频率为14.31%；年平均风速为2.7m</w:t>
      </w:r>
      <w:r>
        <w:rPr>
          <w:rFonts w:hint="eastAsia" w:ascii="Times New Roman" w:hAnsi="Times New Roman"/>
        </w:rPr>
        <w:t>/</w:t>
      </w:r>
      <w:r>
        <w:rPr>
          <w:rFonts w:ascii="Times New Roman" w:hAnsi="Times New Roman"/>
        </w:rPr>
        <w:t>s，4月份平均风速最大，为3.5m/s</w:t>
      </w:r>
      <w:r>
        <w:rPr>
          <w:rFonts w:hint="eastAsia" w:ascii="Times New Roman" w:hAnsi="Times New Roman"/>
        </w:rPr>
        <w:t>，</w:t>
      </w:r>
      <w:r>
        <w:rPr>
          <w:rFonts w:ascii="Times New Roman" w:hAnsi="Times New Roman"/>
        </w:rPr>
        <w:t>8月份平均风速较小，为2.2m</w:t>
      </w:r>
      <w:r>
        <w:rPr>
          <w:rFonts w:hint="eastAsia" w:ascii="Times New Roman" w:hAnsi="Times New Roman"/>
        </w:rPr>
        <w:t>/</w:t>
      </w:r>
      <w:r>
        <w:rPr>
          <w:rFonts w:ascii="Times New Roman" w:hAnsi="Times New Roman"/>
        </w:rPr>
        <w:t>s，最大风速为20m</w:t>
      </w:r>
      <w:r>
        <w:rPr>
          <w:rFonts w:hint="eastAsia" w:ascii="Times New Roman" w:hAnsi="Times New Roman"/>
        </w:rPr>
        <w:t>/</w:t>
      </w:r>
      <w:r>
        <w:rPr>
          <w:rFonts w:ascii="Times New Roman" w:hAnsi="Times New Roman"/>
        </w:rPr>
        <w:t>s。历年平均相对湿度为53%。历年冻土月份为11月至翌年4月，最大冻土深度为1610mm</w:t>
      </w:r>
      <w:r>
        <w:rPr>
          <w:rFonts w:hint="eastAsia" w:ascii="Times New Roman" w:hAnsi="Times New Roman"/>
        </w:rPr>
        <w:t>。</w:t>
      </w:r>
    </w:p>
    <w:p w14:paraId="4293053C">
      <w:pPr>
        <w:pStyle w:val="25"/>
        <w:rPr>
          <w:rFonts w:ascii="Times New Roman" w:hAnsi="Times New Roman"/>
        </w:rPr>
      </w:pPr>
      <w:bookmarkStart w:id="52" w:name="_Toc205822951"/>
      <w:bookmarkStart w:id="53" w:name="_Toc205835916"/>
      <w:r>
        <w:rPr>
          <w:rFonts w:ascii="Times New Roman" w:hAnsi="Times New Roman"/>
        </w:rPr>
        <w:t>4</w:t>
      </w:r>
      <w:r>
        <w:rPr>
          <w:rFonts w:hint="eastAsia" w:ascii="Times New Roman" w:hAnsi="Times New Roman"/>
        </w:rPr>
        <w:t>、地表水系</w:t>
      </w:r>
      <w:bookmarkEnd w:id="52"/>
      <w:bookmarkEnd w:id="53"/>
    </w:p>
    <w:p w14:paraId="6CE5347C">
      <w:pPr>
        <w:pStyle w:val="25"/>
        <w:rPr>
          <w:rFonts w:ascii="Times New Roman" w:hAnsi="Times New Roman"/>
        </w:rPr>
      </w:pPr>
      <w:r>
        <w:rPr>
          <w:rFonts w:hint="eastAsia" w:ascii="Times New Roman" w:hAnsi="Times New Roman"/>
        </w:rPr>
        <w:t>大同市云冈区境内共有河流</w:t>
      </w:r>
      <w:r>
        <w:rPr>
          <w:rFonts w:ascii="Times New Roman" w:hAnsi="Times New Roman"/>
        </w:rPr>
        <w:t>6条，分别为御河、十里河、口泉河、甘河、于家园河和峰子涧支沟。6条河流均属于海河流域永定河水</w:t>
      </w:r>
      <w:r>
        <w:rPr>
          <w:rFonts w:hint="eastAsia" w:ascii="Times New Roman" w:hAnsi="Times New Roman"/>
        </w:rPr>
        <w:t>系。</w:t>
      </w:r>
    </w:p>
    <w:p w14:paraId="4E880C89">
      <w:pPr>
        <w:pStyle w:val="25"/>
        <w:rPr>
          <w:rFonts w:ascii="Times New Roman" w:hAnsi="Times New Roman"/>
        </w:rPr>
      </w:pPr>
      <w:r>
        <w:rPr>
          <w:rFonts w:hint="eastAsia" w:ascii="Times New Roman" w:hAnsi="Times New Roman"/>
        </w:rPr>
        <w:t>（1）</w:t>
      </w:r>
      <w:r>
        <w:rPr>
          <w:rFonts w:ascii="Times New Roman" w:hAnsi="Times New Roman"/>
        </w:rPr>
        <w:t>御河</w:t>
      </w:r>
      <w:r>
        <w:rPr>
          <w:rFonts w:hint="eastAsia" w:ascii="Times New Roman" w:hAnsi="Times New Roman"/>
        </w:rPr>
        <w:t>：</w:t>
      </w:r>
      <w:r>
        <w:rPr>
          <w:rFonts w:ascii="Times New Roman" w:hAnsi="Times New Roman"/>
        </w:rPr>
        <w:t>御河是桑干河一级支流，发源于内蒙古丰镇市西北部三义泉乡宋家沟村，干流全长148km，流域面积5016km</w:t>
      </w:r>
      <w:r>
        <w:rPr>
          <w:rFonts w:ascii="Times New Roman" w:hAnsi="Times New Roman"/>
          <w:vertAlign w:val="superscript"/>
        </w:rPr>
        <w:t>2</w:t>
      </w:r>
      <w:r>
        <w:rPr>
          <w:rFonts w:ascii="Times New Roman" w:hAnsi="Times New Roman"/>
        </w:rPr>
        <w:t>，河道纵坡3</w:t>
      </w:r>
      <w:r>
        <w:rPr>
          <w:rFonts w:hint="eastAsia" w:ascii="Times New Roman" w:hAnsi="Times New Roman"/>
        </w:rPr>
        <w:t>‰</w:t>
      </w:r>
      <w:r>
        <w:rPr>
          <w:rFonts w:ascii="Times New Roman" w:hAnsi="Times New Roman"/>
        </w:rPr>
        <w:t>。流经云冈区境内干流长12.9km（西韩岭乡北村</w:t>
      </w:r>
      <w:r>
        <w:rPr>
          <w:rFonts w:hint="eastAsia" w:ascii="Times New Roman" w:hAnsi="Times New Roman"/>
        </w:rPr>
        <w:t>～</w:t>
      </w:r>
      <w:r>
        <w:rPr>
          <w:rFonts w:ascii="Times New Roman" w:hAnsi="Times New Roman"/>
        </w:rPr>
        <w:t>谢店村），平均河流宽度为300米左右。</w:t>
      </w:r>
    </w:p>
    <w:p w14:paraId="6DCE67F8">
      <w:pPr>
        <w:pStyle w:val="25"/>
        <w:rPr>
          <w:rFonts w:ascii="Times New Roman" w:hAnsi="Times New Roman"/>
        </w:rPr>
      </w:pPr>
      <w:r>
        <w:rPr>
          <w:rFonts w:hint="eastAsia" w:ascii="Times New Roman" w:hAnsi="Times New Roman"/>
        </w:rPr>
        <w:t>（2）</w:t>
      </w:r>
      <w:r>
        <w:rPr>
          <w:rFonts w:ascii="Times New Roman" w:hAnsi="Times New Roman"/>
        </w:rPr>
        <w:t>十里河</w:t>
      </w:r>
      <w:r>
        <w:rPr>
          <w:rFonts w:hint="eastAsia" w:ascii="Times New Roman" w:hAnsi="Times New Roman"/>
        </w:rPr>
        <w:t>：</w:t>
      </w:r>
      <w:r>
        <w:rPr>
          <w:rFonts w:ascii="Times New Roman" w:hAnsi="Times New Roman"/>
        </w:rPr>
        <w:t>十里河是御河一级支流，发源于左云县东南部，干流全长95km，流域面积1277km</w:t>
      </w:r>
      <w:r>
        <w:rPr>
          <w:rFonts w:ascii="Times New Roman" w:hAnsi="Times New Roman"/>
          <w:vertAlign w:val="superscript"/>
        </w:rPr>
        <w:t>2</w:t>
      </w:r>
      <w:r>
        <w:rPr>
          <w:rFonts w:ascii="Times New Roman" w:hAnsi="Times New Roman"/>
        </w:rPr>
        <w:t>，平均纵坡4.4</w:t>
      </w:r>
      <w:r>
        <w:rPr>
          <w:rFonts w:hint="eastAsia" w:ascii="Times New Roman" w:hAnsi="Times New Roman"/>
        </w:rPr>
        <w:t>‰</w:t>
      </w:r>
      <w:r>
        <w:rPr>
          <w:rFonts w:ascii="Times New Roman" w:hAnsi="Times New Roman"/>
        </w:rPr>
        <w:t>。流经云冈区境内干流长38.6km（高山镇燕子山村</w:t>
      </w:r>
      <w:r>
        <w:rPr>
          <w:rFonts w:hint="eastAsia" w:ascii="Times New Roman" w:hAnsi="Times New Roman"/>
        </w:rPr>
        <w:t>～</w:t>
      </w:r>
      <w:r>
        <w:rPr>
          <w:rFonts w:ascii="Times New Roman" w:hAnsi="Times New Roman"/>
        </w:rPr>
        <w:t>西韩岭乡北村村），平均河流宽度为220米左右。</w:t>
      </w:r>
    </w:p>
    <w:p w14:paraId="5DFBEA1F">
      <w:pPr>
        <w:pStyle w:val="25"/>
        <w:rPr>
          <w:rFonts w:ascii="Times New Roman" w:hAnsi="Times New Roman"/>
        </w:rPr>
      </w:pPr>
      <w:r>
        <w:rPr>
          <w:rFonts w:hint="eastAsia" w:ascii="Times New Roman" w:hAnsi="Times New Roman"/>
        </w:rPr>
        <w:t>（3）</w:t>
      </w:r>
      <w:r>
        <w:rPr>
          <w:rFonts w:ascii="Times New Roman" w:hAnsi="Times New Roman"/>
        </w:rPr>
        <w:t>口泉河</w:t>
      </w:r>
      <w:r>
        <w:rPr>
          <w:rFonts w:hint="eastAsia" w:ascii="Times New Roman" w:hAnsi="Times New Roman"/>
        </w:rPr>
        <w:t>：</w:t>
      </w:r>
      <w:r>
        <w:rPr>
          <w:rFonts w:ascii="Times New Roman" w:hAnsi="Times New Roman"/>
        </w:rPr>
        <w:t>口泉河是桑干河一级支流，发源于左云县五峰嘴，干流全长55km，流域面积482km</w:t>
      </w:r>
      <w:r>
        <w:rPr>
          <w:rFonts w:ascii="Times New Roman" w:hAnsi="Times New Roman"/>
          <w:vertAlign w:val="superscript"/>
        </w:rPr>
        <w:t>2</w:t>
      </w:r>
      <w:r>
        <w:rPr>
          <w:rFonts w:ascii="Times New Roman" w:hAnsi="Times New Roman"/>
        </w:rPr>
        <w:t>。流经云冈区境内干流长37.4km（鸦儿崖乡黑流水村</w:t>
      </w:r>
      <w:r>
        <w:rPr>
          <w:rFonts w:hint="eastAsia" w:ascii="Times New Roman" w:hAnsi="Times New Roman"/>
        </w:rPr>
        <w:t>～</w:t>
      </w:r>
      <w:r>
        <w:rPr>
          <w:rFonts w:ascii="Times New Roman" w:hAnsi="Times New Roman"/>
        </w:rPr>
        <w:t>口泉乡堡子店村），流域面积350.4km</w:t>
      </w:r>
      <w:r>
        <w:rPr>
          <w:rFonts w:ascii="Times New Roman" w:hAnsi="Times New Roman"/>
          <w:vertAlign w:val="superscript"/>
        </w:rPr>
        <w:t>2</w:t>
      </w:r>
      <w:r>
        <w:rPr>
          <w:rFonts w:ascii="Times New Roman" w:hAnsi="Times New Roman"/>
        </w:rPr>
        <w:t>，平均河流宽度为80米左右。</w:t>
      </w:r>
    </w:p>
    <w:p w14:paraId="71ABC88F">
      <w:pPr>
        <w:pStyle w:val="25"/>
        <w:rPr>
          <w:rFonts w:ascii="Times New Roman" w:hAnsi="Times New Roman"/>
        </w:rPr>
      </w:pPr>
      <w:r>
        <w:rPr>
          <w:rFonts w:hint="eastAsia" w:ascii="Times New Roman" w:hAnsi="Times New Roman"/>
        </w:rPr>
        <w:t>（4）</w:t>
      </w:r>
      <w:r>
        <w:rPr>
          <w:rFonts w:ascii="Times New Roman" w:hAnsi="Times New Roman"/>
        </w:rPr>
        <w:t>甘河</w:t>
      </w:r>
      <w:r>
        <w:rPr>
          <w:rFonts w:hint="eastAsia" w:ascii="Times New Roman" w:hAnsi="Times New Roman"/>
        </w:rPr>
        <w:t>：</w:t>
      </w:r>
      <w:r>
        <w:rPr>
          <w:rFonts w:ascii="Times New Roman" w:hAnsi="Times New Roman"/>
        </w:rPr>
        <w:t>甘河是口泉河的一级支流，发源于云冈区高山镇南信庄村，干流全长29km，流域总面积181.9km</w:t>
      </w:r>
      <w:r>
        <w:rPr>
          <w:rFonts w:ascii="Times New Roman" w:hAnsi="Times New Roman"/>
          <w:vertAlign w:val="superscript"/>
        </w:rPr>
        <w:t>2</w:t>
      </w:r>
      <w:r>
        <w:rPr>
          <w:rFonts w:ascii="Times New Roman" w:hAnsi="Times New Roman"/>
        </w:rPr>
        <w:t>，河道平均纵坡1.6</w:t>
      </w:r>
      <w:r>
        <w:rPr>
          <w:rFonts w:hint="eastAsia" w:ascii="Times New Roman" w:hAnsi="Times New Roman"/>
        </w:rPr>
        <w:t>‰</w:t>
      </w:r>
      <w:r>
        <w:rPr>
          <w:rFonts w:ascii="Times New Roman" w:hAnsi="Times New Roman"/>
        </w:rPr>
        <w:t>。流经云冈区境内干流长20km（云冈区平旺乡忻州窑村</w:t>
      </w:r>
      <w:bookmarkStart w:id="54" w:name="OLE_LINK9"/>
      <w:bookmarkStart w:id="55" w:name="OLE_LINK10"/>
      <w:r>
        <w:rPr>
          <w:rFonts w:hint="eastAsia" w:ascii="Times New Roman" w:hAnsi="Times New Roman"/>
        </w:rPr>
        <w:t>～</w:t>
      </w:r>
      <w:bookmarkEnd w:id="54"/>
      <w:bookmarkEnd w:id="55"/>
      <w:r>
        <w:rPr>
          <w:rFonts w:ascii="Times New Roman" w:hAnsi="Times New Roman"/>
        </w:rPr>
        <w:t>云冈区口泉乡大路辛庄村），流域面积161.5km</w:t>
      </w:r>
      <w:r>
        <w:rPr>
          <w:rFonts w:ascii="Times New Roman" w:hAnsi="Times New Roman"/>
          <w:vertAlign w:val="superscript"/>
        </w:rPr>
        <w:t>2</w:t>
      </w:r>
      <w:r>
        <w:rPr>
          <w:rFonts w:ascii="Times New Roman" w:hAnsi="Times New Roman"/>
        </w:rPr>
        <w:t>，河流平均宽度为40米左右。</w:t>
      </w:r>
    </w:p>
    <w:p w14:paraId="45B5CCF2">
      <w:pPr>
        <w:pStyle w:val="25"/>
        <w:rPr>
          <w:rFonts w:ascii="Times New Roman" w:hAnsi="Times New Roman"/>
        </w:rPr>
      </w:pPr>
      <w:r>
        <w:rPr>
          <w:rFonts w:hint="eastAsia" w:ascii="Times New Roman" w:hAnsi="Times New Roman"/>
        </w:rPr>
        <w:t>（5）</w:t>
      </w:r>
      <w:r>
        <w:rPr>
          <w:rFonts w:ascii="Times New Roman" w:hAnsi="Times New Roman"/>
        </w:rPr>
        <w:t>于家园河</w:t>
      </w:r>
      <w:r>
        <w:rPr>
          <w:rFonts w:hint="eastAsia" w:ascii="Times New Roman" w:hAnsi="Times New Roman"/>
        </w:rPr>
        <w:t>：</w:t>
      </w:r>
      <w:r>
        <w:rPr>
          <w:rFonts w:ascii="Times New Roman" w:hAnsi="Times New Roman"/>
        </w:rPr>
        <w:t>于家园河是鹅毛河的支流，发源于山西省怀仁县云中镇小磨村，干流全长16km，流域总面积76.6km</w:t>
      </w:r>
      <w:r>
        <w:rPr>
          <w:rFonts w:ascii="Times New Roman" w:hAnsi="Times New Roman"/>
          <w:vertAlign w:val="superscript"/>
        </w:rPr>
        <w:t>2</w:t>
      </w:r>
      <w:r>
        <w:rPr>
          <w:rFonts w:ascii="Times New Roman" w:hAnsi="Times New Roman"/>
        </w:rPr>
        <w:t>。流经云冈区境内干流长9.1km（口泉乡榆林村</w:t>
      </w:r>
      <w:r>
        <w:rPr>
          <w:rFonts w:hint="eastAsia" w:ascii="Times New Roman" w:hAnsi="Times New Roman"/>
        </w:rPr>
        <w:t>～</w:t>
      </w:r>
      <w:r>
        <w:rPr>
          <w:rFonts w:ascii="Times New Roman" w:hAnsi="Times New Roman"/>
        </w:rPr>
        <w:t>张留庄村），流域面积52.2km</w:t>
      </w:r>
      <w:r>
        <w:rPr>
          <w:rFonts w:ascii="Times New Roman" w:hAnsi="Times New Roman"/>
          <w:vertAlign w:val="superscript"/>
        </w:rPr>
        <w:t>2</w:t>
      </w:r>
      <w:r>
        <w:rPr>
          <w:rFonts w:ascii="Times New Roman" w:hAnsi="Times New Roman"/>
        </w:rPr>
        <w:t>。</w:t>
      </w:r>
    </w:p>
    <w:p w14:paraId="1EB1551F">
      <w:pPr>
        <w:pStyle w:val="25"/>
        <w:rPr>
          <w:rFonts w:ascii="Times New Roman" w:hAnsi="Times New Roman"/>
        </w:rPr>
      </w:pPr>
      <w:r>
        <w:rPr>
          <w:rFonts w:hint="eastAsia" w:ascii="Times New Roman" w:hAnsi="Times New Roman"/>
        </w:rPr>
        <w:t>（6）</w:t>
      </w:r>
      <w:r>
        <w:rPr>
          <w:rFonts w:ascii="Times New Roman" w:hAnsi="Times New Roman"/>
        </w:rPr>
        <w:t>峰子涧支沟</w:t>
      </w:r>
      <w:r>
        <w:rPr>
          <w:rFonts w:hint="eastAsia" w:ascii="Times New Roman" w:hAnsi="Times New Roman"/>
        </w:rPr>
        <w:t>：</w:t>
      </w:r>
      <w:r>
        <w:rPr>
          <w:rFonts w:ascii="Times New Roman" w:hAnsi="Times New Roman"/>
        </w:rPr>
        <w:t>峰子涧支沟是十里河的支流，发源于左云县店湾镇台子山村，干流全长18km，流域总面积69.8km</w:t>
      </w:r>
      <w:r>
        <w:rPr>
          <w:rFonts w:ascii="Times New Roman" w:hAnsi="Times New Roman"/>
          <w:vertAlign w:val="superscript"/>
        </w:rPr>
        <w:t>2</w:t>
      </w:r>
      <w:r>
        <w:rPr>
          <w:rFonts w:ascii="Times New Roman" w:hAnsi="Times New Roman"/>
        </w:rPr>
        <w:t>。流经云冈区境内流长12.3km（高山镇窑洞村</w:t>
      </w:r>
      <w:r>
        <w:rPr>
          <w:rFonts w:hint="eastAsia" w:ascii="Times New Roman" w:hAnsi="Times New Roman"/>
          <w:kern w:val="0"/>
        </w:rPr>
        <w:t>～</w:t>
      </w:r>
      <w:r>
        <w:rPr>
          <w:rFonts w:ascii="Times New Roman" w:hAnsi="Times New Roman"/>
        </w:rPr>
        <w:t>东店湾村），流域面积56.1km</w:t>
      </w:r>
      <w:r>
        <w:rPr>
          <w:rFonts w:ascii="Times New Roman" w:hAnsi="Times New Roman"/>
          <w:vertAlign w:val="superscript"/>
        </w:rPr>
        <w:t>2</w:t>
      </w:r>
      <w:r>
        <w:rPr>
          <w:rFonts w:ascii="Times New Roman" w:hAnsi="Times New Roman"/>
        </w:rPr>
        <w:t>。</w:t>
      </w:r>
    </w:p>
    <w:p w14:paraId="492E1095">
      <w:pPr>
        <w:pStyle w:val="25"/>
        <w:rPr>
          <w:rFonts w:ascii="Times New Roman" w:hAnsi="Times New Roman"/>
        </w:rPr>
      </w:pPr>
      <w:bookmarkStart w:id="56" w:name="_Toc205835917"/>
      <w:bookmarkStart w:id="57" w:name="_Toc205822953"/>
      <w:r>
        <w:rPr>
          <w:rFonts w:ascii="Times New Roman" w:hAnsi="Times New Roman"/>
        </w:rPr>
        <w:t>5</w:t>
      </w:r>
      <w:r>
        <w:rPr>
          <w:rFonts w:hint="eastAsia" w:ascii="Times New Roman" w:hAnsi="Times New Roman"/>
        </w:rPr>
        <w:t>、人口及社会经济状况</w:t>
      </w:r>
      <w:bookmarkEnd w:id="56"/>
      <w:bookmarkEnd w:id="57"/>
    </w:p>
    <w:p w14:paraId="7DB3BD87">
      <w:pPr>
        <w:pStyle w:val="25"/>
        <w:rPr>
          <w:rFonts w:ascii="Times New Roman" w:hAnsi="Times New Roman"/>
        </w:rPr>
      </w:pPr>
      <w:r>
        <w:rPr>
          <w:rFonts w:ascii="Times New Roman" w:hAnsi="Times New Roman"/>
        </w:rPr>
        <w:t>2024年年底全区常住人口667746人，其中城镇常住人口588546人，农村常住人口79200人。2024年全年城镇居民人均可支配收入45090元，同比增长4．2％；农村居民人均可支配收入24679元，同比增长5．0％。</w:t>
      </w:r>
    </w:p>
    <w:p w14:paraId="64DF59E6">
      <w:pPr>
        <w:pStyle w:val="22"/>
      </w:pPr>
      <w:bookmarkStart w:id="58" w:name="_Toc205835918"/>
      <w:r>
        <w:rPr>
          <w:rFonts w:hint="eastAsia"/>
        </w:rPr>
        <w:t>3</w:t>
      </w:r>
      <w:r>
        <w:t>.2</w:t>
      </w:r>
      <w:r>
        <w:rPr>
          <w:rFonts w:hint="eastAsia"/>
        </w:rPr>
        <w:t>风险评估</w:t>
      </w:r>
      <w:bookmarkEnd w:id="58"/>
    </w:p>
    <w:p w14:paraId="29E35844">
      <w:pPr>
        <w:pStyle w:val="27"/>
        <w:rPr>
          <w:rFonts w:ascii="Times New Roman" w:hAnsi="Times New Roman"/>
        </w:rPr>
      </w:pPr>
      <w:bookmarkStart w:id="59" w:name="_Toc205835919"/>
      <w:r>
        <w:rPr>
          <w:rFonts w:hint="eastAsia" w:ascii="Times New Roman" w:hAnsi="Times New Roman"/>
        </w:rPr>
        <w:t>3</w:t>
      </w:r>
      <w:r>
        <w:rPr>
          <w:rFonts w:ascii="Times New Roman" w:hAnsi="Times New Roman"/>
        </w:rPr>
        <w:t>.2.1</w:t>
      </w:r>
      <w:r>
        <w:rPr>
          <w:rFonts w:hint="eastAsia" w:ascii="Times New Roman" w:hAnsi="Times New Roman"/>
        </w:rPr>
        <w:t>风险源识别和评估</w:t>
      </w:r>
      <w:bookmarkEnd w:id="59"/>
    </w:p>
    <w:p w14:paraId="58E5E278">
      <w:pPr>
        <w:pStyle w:val="25"/>
        <w:rPr>
          <w:rFonts w:ascii="Times New Roman" w:hAnsi="Times New Roman"/>
        </w:rPr>
      </w:pPr>
      <w:r>
        <w:rPr>
          <w:rFonts w:hint="eastAsia" w:ascii="Times New Roman" w:hAnsi="Times New Roman"/>
        </w:rPr>
        <w:t>云冈区可能造成土壤污染的风险源包括生产、使用、存储或释放涉及突发环境事件风险物质的企业，集中式污水处理厂，危险废物经营单位，集中式垃圾处理设施，加油站等。这些风险源引发的突发环境事件有：</w:t>
      </w:r>
    </w:p>
    <w:p w14:paraId="3A1A939E">
      <w:pPr>
        <w:pStyle w:val="25"/>
        <w:rPr>
          <w:rFonts w:ascii="Times New Roman" w:hAnsi="Times New Roman"/>
        </w:rPr>
      </w:pPr>
      <w:r>
        <w:rPr>
          <w:rFonts w:ascii="Times New Roman" w:hAnsi="Times New Roman"/>
        </w:rPr>
        <w:t>1</w:t>
      </w:r>
      <w:r>
        <w:rPr>
          <w:rFonts w:hint="eastAsia" w:ascii="Times New Roman" w:hAnsi="Times New Roman"/>
        </w:rPr>
        <w:t>、</w:t>
      </w:r>
      <w:r>
        <w:rPr>
          <w:rFonts w:ascii="Times New Roman" w:hAnsi="Times New Roman"/>
        </w:rPr>
        <w:t>危险化学品泄漏</w:t>
      </w:r>
    </w:p>
    <w:p w14:paraId="4DE0ABB8">
      <w:pPr>
        <w:pStyle w:val="25"/>
        <w:rPr>
          <w:rFonts w:ascii="Times New Roman" w:hAnsi="Times New Roman"/>
        </w:rPr>
      </w:pPr>
      <w:r>
        <w:rPr>
          <w:rFonts w:hint="eastAsia" w:ascii="Times New Roman" w:hAnsi="Times New Roman"/>
        </w:rPr>
        <w:t>云冈区辖区内企业在使用、贮存危险化学品时，因操作失误或管理不当导致危险化学品泄漏进入土壤造成污染。重点监管焦化、煤化、危废处置企业生产过程中，焦油、苯系物、重金属废渣因防渗层破裂或暴雨淋溶引发土壤污染；</w:t>
      </w:r>
    </w:p>
    <w:p w14:paraId="2110A946">
      <w:pPr>
        <w:pStyle w:val="25"/>
        <w:rPr>
          <w:rFonts w:ascii="Times New Roman" w:hAnsi="Times New Roman"/>
        </w:rPr>
      </w:pPr>
      <w:r>
        <w:rPr>
          <w:rFonts w:hint="eastAsia" w:ascii="Times New Roman" w:hAnsi="Times New Roman"/>
        </w:rPr>
        <w:t>运输危险化学品的车辆发生交通事故造成危险化学品泄漏进入土壤造成污染；</w:t>
      </w:r>
    </w:p>
    <w:p w14:paraId="4A21F1A2">
      <w:pPr>
        <w:pStyle w:val="25"/>
        <w:rPr>
          <w:rFonts w:ascii="Times New Roman" w:hAnsi="Times New Roman"/>
        </w:rPr>
      </w:pPr>
      <w:r>
        <w:rPr>
          <w:rFonts w:hint="eastAsia" w:ascii="Times New Roman" w:hAnsi="Times New Roman"/>
        </w:rPr>
        <w:t>企业油品储存设备发生破裂或运输途中发生交通事故，导致油类物质泄漏，随地势进入土壤中，造成土壤污染。区内加油站地下储罐老化渗漏造成石油烃污染；</w:t>
      </w:r>
    </w:p>
    <w:p w14:paraId="1F2FB6C1">
      <w:pPr>
        <w:pStyle w:val="25"/>
        <w:rPr>
          <w:rFonts w:ascii="Times New Roman" w:hAnsi="Times New Roman"/>
        </w:rPr>
      </w:pPr>
      <w:r>
        <w:rPr>
          <w:rFonts w:hint="eastAsia" w:ascii="Times New Roman" w:hAnsi="Times New Roman"/>
        </w:rPr>
        <w:t>易燃易爆危险化学品</w:t>
      </w:r>
      <w:r>
        <w:rPr>
          <w:rFonts w:ascii="Times New Roman" w:hAnsi="Times New Roman"/>
        </w:rPr>
        <w:t>（如液化气、油类等）发生火灾爆炸事件时产生大量消防废液</w:t>
      </w:r>
      <w:r>
        <w:rPr>
          <w:rFonts w:hint="eastAsia" w:ascii="Times New Roman" w:hAnsi="Times New Roman"/>
        </w:rPr>
        <w:t>，</w:t>
      </w:r>
      <w:r>
        <w:rPr>
          <w:rFonts w:ascii="Times New Roman" w:hAnsi="Times New Roman"/>
        </w:rPr>
        <w:t>一旦消防废液</w:t>
      </w:r>
      <w:r>
        <w:rPr>
          <w:rFonts w:hint="eastAsia" w:ascii="Times New Roman" w:hAnsi="Times New Roman"/>
        </w:rPr>
        <w:t>处理不当</w:t>
      </w:r>
      <w:r>
        <w:rPr>
          <w:rFonts w:ascii="Times New Roman" w:hAnsi="Times New Roman"/>
        </w:rPr>
        <w:t>进入土壤，废液中的有毒有害或油类物质会对土壤环境造成污染</w:t>
      </w:r>
      <w:r>
        <w:rPr>
          <w:rFonts w:hint="eastAsia" w:ascii="Times New Roman" w:hAnsi="Times New Roman"/>
        </w:rPr>
        <w:t>。</w:t>
      </w:r>
    </w:p>
    <w:p w14:paraId="5CC8A8BD">
      <w:pPr>
        <w:pStyle w:val="25"/>
        <w:rPr>
          <w:rFonts w:ascii="Times New Roman" w:hAnsi="Times New Roman"/>
        </w:rPr>
      </w:pPr>
      <w:r>
        <w:rPr>
          <w:rFonts w:hint="eastAsia" w:ascii="Times New Roman" w:hAnsi="Times New Roman"/>
        </w:rPr>
        <w:t>2、废水事故排放事件</w:t>
      </w:r>
    </w:p>
    <w:p w14:paraId="0E643DDC">
      <w:pPr>
        <w:pStyle w:val="25"/>
        <w:rPr>
          <w:rFonts w:ascii="Times New Roman" w:hAnsi="Times New Roman"/>
        </w:rPr>
      </w:pPr>
      <w:r>
        <w:rPr>
          <w:rFonts w:hint="eastAsia" w:ascii="Times New Roman" w:hAnsi="Times New Roman"/>
        </w:rPr>
        <w:t>工业废水：区内化工、建材、煤炭等企业工业废水发生事故外排进入周边土壤环境，可造成周边区域土壤受到污染。</w:t>
      </w:r>
    </w:p>
    <w:p w14:paraId="0F3FFBE9">
      <w:pPr>
        <w:pStyle w:val="25"/>
        <w:rPr>
          <w:rFonts w:ascii="Times New Roman" w:hAnsi="Times New Roman"/>
        </w:rPr>
      </w:pPr>
      <w:r>
        <w:rPr>
          <w:rFonts w:hint="eastAsia" w:ascii="Times New Roman" w:hAnsi="Times New Roman"/>
        </w:rPr>
        <w:t>生活污水：区内生活污水处理厂污水未经处理直接排入环境，可能造成对土壤环境的污染。</w:t>
      </w:r>
    </w:p>
    <w:p w14:paraId="348FC79B">
      <w:pPr>
        <w:pStyle w:val="25"/>
        <w:rPr>
          <w:rFonts w:ascii="Times New Roman" w:hAnsi="Times New Roman"/>
        </w:rPr>
      </w:pPr>
      <w:r>
        <w:rPr>
          <w:rFonts w:hint="eastAsia" w:ascii="Times New Roman" w:hAnsi="Times New Roman"/>
        </w:rPr>
        <w:t>医疗废水：医疗机构产生的废水中含有病菌、病毒、寄生虫等对人的健康有较大危害，医疗废水事故排放时也会对土壤环境造成较大的危害。</w:t>
      </w:r>
    </w:p>
    <w:p w14:paraId="6C1635CF">
      <w:pPr>
        <w:pStyle w:val="25"/>
        <w:rPr>
          <w:rFonts w:ascii="Times New Roman" w:hAnsi="Times New Roman"/>
        </w:rPr>
      </w:pPr>
      <w:r>
        <w:rPr>
          <w:rFonts w:ascii="Times New Roman" w:hAnsi="Times New Roman"/>
        </w:rPr>
        <w:t>3</w:t>
      </w:r>
      <w:r>
        <w:rPr>
          <w:rFonts w:hint="eastAsia" w:ascii="Times New Roman" w:hAnsi="Times New Roman"/>
        </w:rPr>
        <w:t>、</w:t>
      </w:r>
      <w:r>
        <w:rPr>
          <w:rFonts w:ascii="Times New Roman" w:hAnsi="Times New Roman"/>
        </w:rPr>
        <w:t>固体废物（含危险废物）事故排放事件</w:t>
      </w:r>
    </w:p>
    <w:p w14:paraId="62604B3B">
      <w:pPr>
        <w:pStyle w:val="25"/>
        <w:rPr>
          <w:rFonts w:ascii="Times New Roman" w:hAnsi="Times New Roman"/>
        </w:rPr>
      </w:pPr>
      <w:r>
        <w:rPr>
          <w:rFonts w:hint="eastAsia" w:ascii="Times New Roman" w:hAnsi="Times New Roman"/>
        </w:rPr>
        <w:t>固体废物分为工业固体废物</w:t>
      </w:r>
      <w:r>
        <w:rPr>
          <w:rFonts w:ascii="Times New Roman" w:hAnsi="Times New Roman"/>
        </w:rPr>
        <w:t>（含危险废物）和生活垃圾两类。工业固体废物尤其是危险废物在暂存、管理、转运或处置过</w:t>
      </w:r>
      <w:r>
        <w:rPr>
          <w:rFonts w:hint="eastAsia" w:ascii="Times New Roman" w:hAnsi="Times New Roman"/>
        </w:rPr>
        <w:t>程中，因人为或自然不可抗力等原因发生泄漏，使废物暴露于环境中，在雨水淋溶或水体浸泡下极易溶解出有毒有害污染物质，并随地表径流进入土壤环境中，会对土壤造成污染。</w:t>
      </w:r>
    </w:p>
    <w:p w14:paraId="603B0EC0">
      <w:pPr>
        <w:pStyle w:val="25"/>
        <w:rPr>
          <w:rFonts w:ascii="Times New Roman" w:hAnsi="Times New Roman"/>
        </w:rPr>
      </w:pPr>
      <w:r>
        <w:rPr>
          <w:rFonts w:hint="eastAsia" w:ascii="Times New Roman" w:hAnsi="Times New Roman"/>
        </w:rPr>
        <w:t>生活垃圾渗滤液随地表径流进入土壤环境中，会对土壤环境造成污染。</w:t>
      </w:r>
    </w:p>
    <w:p w14:paraId="41F01E3B">
      <w:pPr>
        <w:pStyle w:val="25"/>
        <w:rPr>
          <w:rFonts w:ascii="Times New Roman" w:hAnsi="Times New Roman"/>
        </w:rPr>
      </w:pPr>
      <w:r>
        <w:rPr>
          <w:rFonts w:hint="eastAsia" w:ascii="Times New Roman" w:hAnsi="Times New Roman"/>
        </w:rPr>
        <w:t>农村非正规垃圾堆放点渗滤液重金属下渗污染周边耕地。</w:t>
      </w:r>
    </w:p>
    <w:p w14:paraId="523057B5">
      <w:pPr>
        <w:pStyle w:val="27"/>
        <w:rPr>
          <w:rFonts w:ascii="Times New Roman" w:hAnsi="Times New Roman"/>
        </w:rPr>
      </w:pPr>
      <w:bookmarkStart w:id="60" w:name="_Toc205835920"/>
      <w:r>
        <w:rPr>
          <w:rFonts w:hint="eastAsia" w:ascii="Times New Roman" w:hAnsi="Times New Roman"/>
        </w:rPr>
        <w:t>3</w:t>
      </w:r>
      <w:r>
        <w:rPr>
          <w:rFonts w:ascii="Times New Roman" w:hAnsi="Times New Roman"/>
        </w:rPr>
        <w:t>.2.2</w:t>
      </w:r>
      <w:r>
        <w:rPr>
          <w:rFonts w:hint="eastAsia" w:ascii="Times New Roman" w:hAnsi="Times New Roman"/>
        </w:rPr>
        <w:t>环境风险能力建设</w:t>
      </w:r>
      <w:bookmarkEnd w:id="60"/>
    </w:p>
    <w:p w14:paraId="17AA715C">
      <w:pPr>
        <w:pStyle w:val="25"/>
        <w:rPr>
          <w:rFonts w:ascii="Times New Roman" w:hAnsi="Times New Roman"/>
        </w:rPr>
      </w:pPr>
      <w:r>
        <w:rPr>
          <w:rFonts w:hint="eastAsia" w:ascii="Times New Roman" w:hAnsi="Times New Roman"/>
        </w:rPr>
        <w:t>各有关部门要加强土壤环境污染隐患排查，着力加强日常巡查、防范，按照“早发现、早报告、早处置”的原则，对可能引发发生土壤环境污染事件的隐患问题要及时报告区应急指挥部办公室。</w:t>
      </w:r>
    </w:p>
    <w:p w14:paraId="7D8EF89E">
      <w:pPr>
        <w:pStyle w:val="25"/>
        <w:rPr>
          <w:rFonts w:ascii="Times New Roman" w:hAnsi="Times New Roman"/>
        </w:rPr>
      </w:pPr>
      <w:r>
        <w:rPr>
          <w:rFonts w:hint="eastAsia" w:ascii="Times New Roman" w:hAnsi="Times New Roman"/>
        </w:rPr>
        <w:t>市生态环境局云冈分局会同相关部门依法对行政区域内土壤环境风险源进行调查、登记、风险评估</w:t>
      </w:r>
      <w:r>
        <w:rPr>
          <w:rFonts w:ascii="Times New Roman" w:hAnsi="Times New Roman"/>
        </w:rPr>
        <w:t>，并对现有的监测预警系统监测到的风险采取风险防范措施，建立环境污染监测预警机制，健全突发环境事件风险防控体系。</w:t>
      </w:r>
    </w:p>
    <w:p w14:paraId="571438E6">
      <w:pPr>
        <w:pStyle w:val="25"/>
        <w:rPr>
          <w:rFonts w:ascii="Times New Roman" w:hAnsi="Times New Roman"/>
        </w:rPr>
      </w:pPr>
      <w:r>
        <w:rPr>
          <w:rFonts w:hint="eastAsia" w:ascii="Times New Roman" w:hAnsi="Times New Roman"/>
        </w:rPr>
        <w:t>（</w:t>
      </w:r>
      <w:r>
        <w:rPr>
          <w:rFonts w:ascii="Times New Roman" w:hAnsi="Times New Roman"/>
        </w:rPr>
        <w:t>1）建立突发事件风险调查和评估制度，依法对各类风险点、危险源进行调查、辨识、评估、分级、登记，建立台账，定期进行检查、监控，责令有关单位采取安全防范措施，并建立信息共享机制，按照国家规定及时向社会公布。</w:t>
      </w:r>
    </w:p>
    <w:p w14:paraId="13A8F3E6">
      <w:pPr>
        <w:pStyle w:val="25"/>
        <w:rPr>
          <w:rFonts w:ascii="Times New Roman" w:hAnsi="Times New Roman"/>
        </w:rPr>
      </w:pPr>
      <w:r>
        <w:rPr>
          <w:rFonts w:hint="eastAsia" w:ascii="Times New Roman" w:hAnsi="Times New Roman"/>
        </w:rPr>
        <w:t>（</w:t>
      </w:r>
      <w:r>
        <w:rPr>
          <w:rFonts w:ascii="Times New Roman" w:hAnsi="Times New Roman"/>
        </w:rPr>
        <w:t>2）有关部门要按照职责分工对可能发生的突发事件进行综合性评估和趋势分析，制定风险分级分类标准、管理办法、具体防范措施。</w:t>
      </w:r>
    </w:p>
    <w:p w14:paraId="560E4B3D">
      <w:pPr>
        <w:pStyle w:val="25"/>
        <w:rPr>
          <w:rFonts w:ascii="Times New Roman" w:hAnsi="Times New Roman"/>
        </w:rPr>
      </w:pPr>
      <w:r>
        <w:rPr>
          <w:rFonts w:hint="eastAsia" w:ascii="Times New Roman" w:hAnsi="Times New Roman"/>
        </w:rPr>
        <w:t>（</w:t>
      </w:r>
      <w:r>
        <w:rPr>
          <w:rFonts w:ascii="Times New Roman" w:hAnsi="Times New Roman"/>
        </w:rPr>
        <w:t>3）建立完善各</w:t>
      </w:r>
      <w:r>
        <w:rPr>
          <w:rFonts w:hint="eastAsia" w:ascii="Times New Roman" w:hAnsi="Times New Roman"/>
        </w:rPr>
        <w:t>乡镇</w:t>
      </w:r>
      <w:r>
        <w:rPr>
          <w:rFonts w:ascii="Times New Roman" w:hAnsi="Times New Roman"/>
        </w:rPr>
        <w:t>街道、各部门、村、社区、重点单位等构成的网格化风险防控体系，落实风险管控措施，及时发现和处置各类风险和隐患。</w:t>
      </w:r>
    </w:p>
    <w:p w14:paraId="24831355">
      <w:pPr>
        <w:pStyle w:val="25"/>
        <w:rPr>
          <w:rFonts w:ascii="Times New Roman" w:hAnsi="Times New Roman"/>
        </w:rPr>
      </w:pPr>
      <w:r>
        <w:rPr>
          <w:rFonts w:hint="eastAsia" w:ascii="Times New Roman" w:hAnsi="Times New Roman"/>
        </w:rPr>
        <w:t>（</w:t>
      </w:r>
      <w:r>
        <w:rPr>
          <w:rFonts w:ascii="Times New Roman" w:hAnsi="Times New Roman"/>
        </w:rPr>
        <w:t>4）对重大风险点和危险源，要制定防控措施、整改方案和应急预案，同时做好监控和应急准备工作。</w:t>
      </w:r>
    </w:p>
    <w:p w14:paraId="239A202A">
      <w:pPr>
        <w:pStyle w:val="25"/>
        <w:rPr>
          <w:rFonts w:ascii="Times New Roman" w:hAnsi="Times New Roman"/>
        </w:rPr>
      </w:pPr>
      <w:r>
        <w:rPr>
          <w:rFonts w:hint="eastAsia" w:ascii="Times New Roman" w:hAnsi="Times New Roman"/>
        </w:rPr>
        <w:t>（</w:t>
      </w:r>
      <w:r>
        <w:rPr>
          <w:rFonts w:ascii="Times New Roman" w:hAnsi="Times New Roman"/>
        </w:rPr>
        <w:t>5）对一些影响大，群众反映强烈的普遍性和倾向性社会问题，要研究采取政策、法律等治本措施，力求从根本上解决；必要时，要立即向大同市政府报告，并向大同市政府有关部门、当地驻军和可能受到危害的毗邻或相关地区的政府通报。</w:t>
      </w:r>
    </w:p>
    <w:p w14:paraId="524DD01C">
      <w:pPr>
        <w:pStyle w:val="25"/>
        <w:rPr>
          <w:rFonts w:ascii="Times New Roman" w:hAnsi="Times New Roman"/>
        </w:rPr>
      </w:pPr>
      <w:r>
        <w:rPr>
          <w:rFonts w:hint="eastAsia" w:ascii="Times New Roman" w:hAnsi="Times New Roman"/>
        </w:rPr>
        <w:t>（</w:t>
      </w:r>
      <w:r>
        <w:rPr>
          <w:rFonts w:ascii="Times New Roman" w:hAnsi="Times New Roman"/>
        </w:rPr>
        <w:t>6）制定城乡规划时应当充分考虑公共安全风险因素，符合预防和处置突发事件工作的需要，统筹安排应对突发事件所必需的的设备和基础设施建设。</w:t>
      </w:r>
    </w:p>
    <w:p w14:paraId="11E5CD76">
      <w:pPr>
        <w:pStyle w:val="25"/>
        <w:rPr>
          <w:rFonts w:ascii="Times New Roman" w:hAnsi="Times New Roman"/>
        </w:rPr>
      </w:pPr>
      <w:r>
        <w:rPr>
          <w:rFonts w:hint="eastAsia" w:ascii="Times New Roman" w:hAnsi="Times New Roman"/>
        </w:rPr>
        <w:t>（</w:t>
      </w:r>
      <w:r>
        <w:rPr>
          <w:rFonts w:ascii="Times New Roman" w:hAnsi="Times New Roman"/>
        </w:rPr>
        <w:t>7）加强城乡防灾减灾能力建设，抓好源头治理为重点的安全生产基础能力建设，完善城乡医疗救治体系和疾病预防控制为重点的公共卫生保障体系，健全利益协调机制、诉求表达机制、矛盾调处机制为重点的社会安全基础能力建设。</w:t>
      </w:r>
    </w:p>
    <w:p w14:paraId="37D01DAA">
      <w:pPr>
        <w:pStyle w:val="25"/>
        <w:rPr>
          <w:rFonts w:ascii="Times New Roman" w:hAnsi="Times New Roman"/>
        </w:rPr>
        <w:sectPr>
          <w:pgSz w:w="11906" w:h="16838"/>
          <w:pgMar w:top="1440" w:right="1701" w:bottom="1440" w:left="1701" w:header="851" w:footer="425" w:gutter="0"/>
          <w:cols w:space="425" w:num="1"/>
          <w:docGrid w:type="lines" w:linePitch="312" w:charSpace="0"/>
        </w:sectPr>
      </w:pPr>
      <w:r>
        <w:rPr>
          <w:rFonts w:hint="eastAsia" w:ascii="Times New Roman" w:hAnsi="Times New Roman"/>
        </w:rPr>
        <w:t>（</w:t>
      </w:r>
      <w:r>
        <w:rPr>
          <w:rFonts w:ascii="Times New Roman" w:hAnsi="Times New Roman"/>
        </w:rPr>
        <w:t>8）在制定政策或处理问题时综合考虑群众</w:t>
      </w:r>
      <w:r>
        <w:rPr>
          <w:rFonts w:hint="eastAsia" w:ascii="Times New Roman" w:hAnsi="Times New Roman"/>
        </w:rPr>
        <w:t>诉求</w:t>
      </w:r>
      <w:r>
        <w:rPr>
          <w:rFonts w:ascii="Times New Roman" w:hAnsi="Times New Roman"/>
        </w:rPr>
        <w:t>，执行工作时要坚持严肃认真、规范管理、依法行政的作风，提高政府预防和应对突发性群体事件的能力。</w:t>
      </w:r>
    </w:p>
    <w:p w14:paraId="2445C653">
      <w:pPr>
        <w:pStyle w:val="21"/>
        <w:spacing w:before="156" w:after="156"/>
        <w:rPr>
          <w:rFonts w:ascii="Times New Roman" w:hAnsi="Times New Roman"/>
          <w:color w:val="auto"/>
        </w:rPr>
      </w:pPr>
      <w:bookmarkStart w:id="61" w:name="_Toc205835921"/>
      <w:r>
        <w:rPr>
          <w:rFonts w:hint="eastAsia" w:ascii="Times New Roman" w:hAnsi="Times New Roman"/>
          <w:color w:val="auto"/>
        </w:rPr>
        <w:t>4监测和预警</w:t>
      </w:r>
      <w:bookmarkEnd w:id="61"/>
    </w:p>
    <w:p w14:paraId="38691534">
      <w:pPr>
        <w:pStyle w:val="22"/>
      </w:pPr>
      <w:bookmarkStart w:id="62" w:name="_Toc205835922"/>
      <w:r>
        <w:t>4.1监测</w:t>
      </w:r>
      <w:bookmarkEnd w:id="62"/>
    </w:p>
    <w:p w14:paraId="35CEECEF">
      <w:pPr>
        <w:pStyle w:val="25"/>
        <w:rPr>
          <w:rFonts w:ascii="Times New Roman" w:hAnsi="Times New Roman"/>
        </w:rPr>
      </w:pPr>
      <w:r>
        <w:rPr>
          <w:rFonts w:hint="eastAsia" w:ascii="Times New Roman" w:hAnsi="Times New Roman"/>
        </w:rPr>
        <w:t>生态环境部门对土壤环境质量进行常规监测，农业、林业、国土等部门根据各自部门的监测和报告情况进行监测，涉及土壤污染的企业事业单位应对周边土壤定期开展监测，开展土壤环境污染隐患排查，判定土壤环境污染事件，并报区土壤环境污染事件应急指挥部。</w:t>
      </w:r>
    </w:p>
    <w:p w14:paraId="7BCA5E8C">
      <w:pPr>
        <w:pStyle w:val="22"/>
      </w:pPr>
      <w:bookmarkStart w:id="63" w:name="_Toc205835923"/>
      <w:r>
        <w:rPr>
          <w:rFonts w:hint="eastAsia"/>
        </w:rPr>
        <w:t>4</w:t>
      </w:r>
      <w:r>
        <w:t>.2</w:t>
      </w:r>
      <w:r>
        <w:rPr>
          <w:rFonts w:hint="eastAsia"/>
        </w:rPr>
        <w:t>预警</w:t>
      </w:r>
      <w:bookmarkEnd w:id="63"/>
    </w:p>
    <w:p w14:paraId="1889CB3A">
      <w:pPr>
        <w:pStyle w:val="27"/>
        <w:rPr>
          <w:rFonts w:ascii="Times New Roman" w:hAnsi="Times New Roman"/>
        </w:rPr>
      </w:pPr>
      <w:bookmarkStart w:id="64" w:name="_Toc205835924"/>
      <w:r>
        <w:rPr>
          <w:rFonts w:ascii="Times New Roman" w:hAnsi="Times New Roman"/>
        </w:rPr>
        <w:t>4.2.1预警分级</w:t>
      </w:r>
      <w:bookmarkEnd w:id="64"/>
    </w:p>
    <w:p w14:paraId="32DA4BB8">
      <w:pPr>
        <w:pStyle w:val="25"/>
        <w:rPr>
          <w:rFonts w:ascii="Times New Roman" w:hAnsi="Times New Roman"/>
        </w:rPr>
      </w:pPr>
      <w:r>
        <w:rPr>
          <w:rFonts w:hint="eastAsia" w:ascii="Times New Roman" w:hAnsi="Times New Roman"/>
        </w:rPr>
        <w:t>根据《山西省突发环境事件应急预案》按照突发环境事件的可能性大小、紧急程度和可能造成的危害程度，将预警分为四级，由高到低分别为Ⅰ级（特别严重）、Ⅱ级（严重）、Ⅲ级（较重）和Ⅳ级（一般），依次用红色、橙色、黄色和蓝色表示。同时参照《突发环境事件应急管理办法》（生态环境部令第</w:t>
      </w:r>
      <w:r>
        <w:rPr>
          <w:rFonts w:ascii="Times New Roman" w:hAnsi="Times New Roman"/>
        </w:rPr>
        <w:t>34号）中关于“社会影响和敏感程度”的评估要求，对涉及学校、医院、饮用水源地等敏感区域的土壤污染事件上调一级预警。</w:t>
      </w:r>
    </w:p>
    <w:p w14:paraId="31C6B17B">
      <w:pPr>
        <w:pStyle w:val="25"/>
        <w:rPr>
          <w:rFonts w:ascii="Times New Roman" w:hAnsi="Times New Roman"/>
        </w:rPr>
      </w:pPr>
      <w:r>
        <w:rPr>
          <w:rFonts w:hint="eastAsia" w:ascii="Times New Roman" w:hAnsi="Times New Roman"/>
        </w:rPr>
        <w:t>1、特别重大突发环境事件</w:t>
      </w:r>
    </w:p>
    <w:p w14:paraId="6DB3573D">
      <w:pPr>
        <w:pStyle w:val="25"/>
        <w:rPr>
          <w:rFonts w:ascii="Times New Roman" w:hAnsi="Times New Roman"/>
        </w:rPr>
      </w:pPr>
      <w:r>
        <w:rPr>
          <w:rFonts w:hint="eastAsia" w:ascii="Times New Roman" w:hAnsi="Times New Roman"/>
        </w:rPr>
        <w:t>（1）因环境污染直接导致</w:t>
      </w:r>
      <w:r>
        <w:rPr>
          <w:rFonts w:ascii="Times New Roman" w:hAnsi="Times New Roman"/>
        </w:rPr>
        <w:t>30人以上死亡或100人以上中毒或重伤的；</w:t>
      </w:r>
    </w:p>
    <w:p w14:paraId="3DB32DDC">
      <w:pPr>
        <w:pStyle w:val="25"/>
        <w:rPr>
          <w:rFonts w:ascii="Times New Roman" w:hAnsi="Times New Roman"/>
        </w:rPr>
      </w:pPr>
      <w:r>
        <w:rPr>
          <w:rFonts w:hint="eastAsia" w:ascii="Times New Roman" w:hAnsi="Times New Roman"/>
        </w:rPr>
        <w:t>（2）因环境污染</w:t>
      </w:r>
      <w:r>
        <w:rPr>
          <w:rFonts w:ascii="Times New Roman" w:hAnsi="Times New Roman"/>
        </w:rPr>
        <w:t>疏散、转移人员5万人以上的；</w:t>
      </w:r>
    </w:p>
    <w:p w14:paraId="1FA054BE">
      <w:pPr>
        <w:pStyle w:val="25"/>
        <w:rPr>
          <w:rFonts w:ascii="Times New Roman" w:hAnsi="Times New Roman"/>
        </w:rPr>
      </w:pPr>
      <w:r>
        <w:rPr>
          <w:rFonts w:hint="eastAsia" w:ascii="Times New Roman" w:hAnsi="Times New Roman"/>
        </w:rPr>
        <w:t>（3）因环境污染</w:t>
      </w:r>
      <w:r>
        <w:rPr>
          <w:rFonts w:ascii="Times New Roman" w:hAnsi="Times New Roman"/>
        </w:rPr>
        <w:t>造成直接经济损失1亿元以上的；</w:t>
      </w:r>
    </w:p>
    <w:p w14:paraId="01578BF9">
      <w:pPr>
        <w:pStyle w:val="25"/>
        <w:rPr>
          <w:rFonts w:ascii="Times New Roman" w:hAnsi="Times New Roman"/>
        </w:rPr>
      </w:pPr>
      <w:r>
        <w:rPr>
          <w:rFonts w:hint="eastAsia" w:ascii="Times New Roman" w:hAnsi="Times New Roman"/>
        </w:rPr>
        <w:t>（</w:t>
      </w:r>
      <w:r>
        <w:rPr>
          <w:rFonts w:ascii="Times New Roman" w:hAnsi="Times New Roman"/>
        </w:rPr>
        <w:t>4</w:t>
      </w:r>
      <w:r>
        <w:rPr>
          <w:rFonts w:hint="eastAsia" w:ascii="Times New Roman" w:hAnsi="Times New Roman"/>
        </w:rPr>
        <w:t>）因环境污染</w:t>
      </w:r>
      <w:r>
        <w:rPr>
          <w:rFonts w:ascii="Times New Roman" w:hAnsi="Times New Roman"/>
        </w:rPr>
        <w:t>造成区域生态功能丧失或该区域国家重点保护物种灭绝的；</w:t>
      </w:r>
    </w:p>
    <w:p w14:paraId="7D5B70FD">
      <w:pPr>
        <w:pStyle w:val="25"/>
        <w:rPr>
          <w:rFonts w:ascii="Times New Roman" w:hAnsi="Times New Roman"/>
        </w:rPr>
      </w:pPr>
      <w:r>
        <w:rPr>
          <w:rFonts w:hint="eastAsia" w:ascii="Times New Roman" w:hAnsi="Times New Roman"/>
        </w:rPr>
        <w:t>（</w:t>
      </w:r>
      <w:r>
        <w:rPr>
          <w:rFonts w:ascii="Times New Roman" w:hAnsi="Times New Roman"/>
        </w:rPr>
        <w:t>5</w:t>
      </w:r>
      <w:r>
        <w:rPr>
          <w:rFonts w:hint="eastAsia" w:ascii="Times New Roman" w:hAnsi="Times New Roman"/>
        </w:rPr>
        <w:t>）因环境污染</w:t>
      </w:r>
      <w:r>
        <w:rPr>
          <w:rFonts w:ascii="Times New Roman" w:hAnsi="Times New Roman"/>
        </w:rPr>
        <w:t>造成设区的市级以上城市集中式饮用水水源地取水中断的突发环境事件。</w:t>
      </w:r>
    </w:p>
    <w:p w14:paraId="7C5E391F">
      <w:pPr>
        <w:pStyle w:val="25"/>
        <w:rPr>
          <w:rFonts w:ascii="Times New Roman" w:hAnsi="Times New Roman"/>
        </w:rPr>
      </w:pPr>
      <w:r>
        <w:rPr>
          <w:rFonts w:ascii="Times New Roman" w:hAnsi="Times New Roman"/>
        </w:rPr>
        <w:t>2</w:t>
      </w:r>
      <w:r>
        <w:rPr>
          <w:rFonts w:hint="eastAsia" w:ascii="Times New Roman" w:hAnsi="Times New Roman"/>
        </w:rPr>
        <w:t>、重大突发环境事件</w:t>
      </w:r>
    </w:p>
    <w:p w14:paraId="0312AD8A">
      <w:pPr>
        <w:pStyle w:val="25"/>
        <w:rPr>
          <w:rFonts w:ascii="Times New Roman" w:hAnsi="Times New Roman"/>
        </w:rPr>
      </w:pPr>
      <w:bookmarkStart w:id="65" w:name="OLE_LINK50"/>
      <w:bookmarkStart w:id="66" w:name="OLE_LINK51"/>
      <w:r>
        <w:rPr>
          <w:rFonts w:hint="eastAsia" w:ascii="Times New Roman" w:hAnsi="Times New Roman"/>
        </w:rPr>
        <w:t>（1）因环境污染直接导致</w:t>
      </w:r>
      <w:r>
        <w:rPr>
          <w:rFonts w:ascii="Times New Roman" w:hAnsi="Times New Roman"/>
        </w:rPr>
        <w:t>10人以上30人以下死亡或50人以上100人以下中毒或重伤的；</w:t>
      </w:r>
    </w:p>
    <w:p w14:paraId="0E388E20">
      <w:pPr>
        <w:pStyle w:val="25"/>
        <w:rPr>
          <w:rFonts w:ascii="Times New Roman" w:hAnsi="Times New Roman"/>
        </w:rPr>
      </w:pPr>
      <w:r>
        <w:rPr>
          <w:rFonts w:hint="eastAsia" w:ascii="Times New Roman" w:hAnsi="Times New Roman"/>
        </w:rPr>
        <w:t>（</w:t>
      </w:r>
      <w:r>
        <w:rPr>
          <w:rFonts w:ascii="Times New Roman" w:hAnsi="Times New Roman"/>
        </w:rPr>
        <w:t>2</w:t>
      </w:r>
      <w:r>
        <w:rPr>
          <w:rFonts w:hint="eastAsia" w:ascii="Times New Roman" w:hAnsi="Times New Roman"/>
        </w:rPr>
        <w:t>）因环境污染</w:t>
      </w:r>
      <w:r>
        <w:rPr>
          <w:rFonts w:ascii="Times New Roman" w:hAnsi="Times New Roman"/>
        </w:rPr>
        <w:t>疏散、转移人员1万人以上5万人以下的；</w:t>
      </w:r>
    </w:p>
    <w:p w14:paraId="5514D2AC">
      <w:pPr>
        <w:pStyle w:val="25"/>
        <w:rPr>
          <w:rFonts w:ascii="Times New Roman" w:hAnsi="Times New Roman"/>
        </w:rPr>
      </w:pPr>
      <w:r>
        <w:rPr>
          <w:rFonts w:hint="eastAsia" w:ascii="Times New Roman" w:hAnsi="Times New Roman"/>
        </w:rPr>
        <w:t>（3）因环境污染</w:t>
      </w:r>
      <w:r>
        <w:rPr>
          <w:rFonts w:ascii="Times New Roman" w:hAnsi="Times New Roman"/>
        </w:rPr>
        <w:t>造成直接经济损失2000万元以上1亿元以下的；</w:t>
      </w:r>
    </w:p>
    <w:p w14:paraId="4E18713E">
      <w:pPr>
        <w:pStyle w:val="25"/>
        <w:rPr>
          <w:rFonts w:ascii="Times New Roman" w:hAnsi="Times New Roman"/>
        </w:rPr>
      </w:pPr>
      <w:r>
        <w:rPr>
          <w:rFonts w:hint="eastAsia" w:ascii="Times New Roman" w:hAnsi="Times New Roman"/>
        </w:rPr>
        <w:t>（4）因环境污染</w:t>
      </w:r>
      <w:r>
        <w:rPr>
          <w:rFonts w:ascii="Times New Roman" w:hAnsi="Times New Roman"/>
        </w:rPr>
        <w:t>造成区域生态功能部分丧失或该区域国家重点保护野生动植物种群大批死亡的；</w:t>
      </w:r>
    </w:p>
    <w:p w14:paraId="7E066901">
      <w:pPr>
        <w:pStyle w:val="25"/>
        <w:rPr>
          <w:rFonts w:ascii="Times New Roman" w:hAnsi="Times New Roman"/>
        </w:rPr>
      </w:pPr>
      <w:r>
        <w:rPr>
          <w:rFonts w:hint="eastAsia" w:ascii="Times New Roman" w:hAnsi="Times New Roman"/>
        </w:rPr>
        <w:t>（</w:t>
      </w:r>
      <w:r>
        <w:rPr>
          <w:rFonts w:ascii="Times New Roman" w:hAnsi="Times New Roman"/>
        </w:rPr>
        <w:t>5</w:t>
      </w:r>
      <w:r>
        <w:rPr>
          <w:rFonts w:hint="eastAsia" w:ascii="Times New Roman" w:hAnsi="Times New Roman"/>
        </w:rPr>
        <w:t>）因环境污染</w:t>
      </w:r>
      <w:r>
        <w:rPr>
          <w:rFonts w:ascii="Times New Roman" w:hAnsi="Times New Roman"/>
        </w:rPr>
        <w:t>造成县级城市集中式饮用水水源地取水中断的；</w:t>
      </w:r>
    </w:p>
    <w:p w14:paraId="131514F8">
      <w:pPr>
        <w:pStyle w:val="25"/>
        <w:rPr>
          <w:rFonts w:ascii="Times New Roman" w:hAnsi="Times New Roman"/>
        </w:rPr>
      </w:pPr>
      <w:r>
        <w:rPr>
          <w:rFonts w:hint="eastAsia" w:ascii="Times New Roman" w:hAnsi="Times New Roman"/>
        </w:rPr>
        <w:t>（</w:t>
      </w:r>
      <w:r>
        <w:rPr>
          <w:rFonts w:ascii="Times New Roman" w:hAnsi="Times New Roman"/>
        </w:rPr>
        <w:t>6</w:t>
      </w:r>
      <w:r>
        <w:rPr>
          <w:rFonts w:hint="eastAsia" w:ascii="Times New Roman" w:hAnsi="Times New Roman"/>
        </w:rPr>
        <w:t>）因环境污染</w:t>
      </w:r>
      <w:r>
        <w:rPr>
          <w:rFonts w:ascii="Times New Roman" w:hAnsi="Times New Roman"/>
        </w:rPr>
        <w:t>造成跨省级行政区域影响的突发环境事件。</w:t>
      </w:r>
    </w:p>
    <w:bookmarkEnd w:id="65"/>
    <w:bookmarkEnd w:id="66"/>
    <w:p w14:paraId="55177C54">
      <w:pPr>
        <w:pStyle w:val="25"/>
        <w:rPr>
          <w:rFonts w:ascii="Times New Roman" w:hAnsi="Times New Roman"/>
        </w:rPr>
      </w:pPr>
      <w:r>
        <w:rPr>
          <w:rFonts w:ascii="Times New Roman" w:hAnsi="Times New Roman"/>
        </w:rPr>
        <w:t>3</w:t>
      </w:r>
      <w:r>
        <w:rPr>
          <w:rFonts w:hint="eastAsia" w:ascii="Times New Roman" w:hAnsi="Times New Roman"/>
        </w:rPr>
        <w:t>、较大突发环境事件</w:t>
      </w:r>
    </w:p>
    <w:p w14:paraId="6240133E">
      <w:pPr>
        <w:pStyle w:val="25"/>
        <w:rPr>
          <w:rFonts w:ascii="Times New Roman" w:hAnsi="Times New Roman"/>
        </w:rPr>
      </w:pPr>
      <w:bookmarkStart w:id="67" w:name="OLE_LINK53"/>
      <w:bookmarkStart w:id="68" w:name="OLE_LINK52"/>
      <w:r>
        <w:rPr>
          <w:rFonts w:hint="eastAsia" w:ascii="Times New Roman" w:hAnsi="Times New Roman"/>
        </w:rPr>
        <w:t>（</w:t>
      </w:r>
      <w:r>
        <w:rPr>
          <w:rFonts w:ascii="Times New Roman" w:hAnsi="Times New Roman"/>
        </w:rPr>
        <w:t>1）因环境污染直接导致3人以上10人以下死亡或10人以上50人以下中毒或重伤的；</w:t>
      </w:r>
    </w:p>
    <w:p w14:paraId="69740691">
      <w:pPr>
        <w:pStyle w:val="25"/>
        <w:rPr>
          <w:rFonts w:ascii="Times New Roman" w:hAnsi="Times New Roman"/>
        </w:rPr>
      </w:pPr>
      <w:r>
        <w:rPr>
          <w:rFonts w:hint="eastAsia" w:ascii="Times New Roman" w:hAnsi="Times New Roman"/>
        </w:rPr>
        <w:t>（</w:t>
      </w:r>
      <w:r>
        <w:rPr>
          <w:rFonts w:ascii="Times New Roman" w:hAnsi="Times New Roman"/>
        </w:rPr>
        <w:t>2）因环境污染疏散、转移人员5000人以上1万人以下的；</w:t>
      </w:r>
    </w:p>
    <w:p w14:paraId="77405FFE">
      <w:pPr>
        <w:pStyle w:val="25"/>
        <w:rPr>
          <w:rFonts w:ascii="Times New Roman" w:hAnsi="Times New Roman"/>
        </w:rPr>
      </w:pPr>
      <w:r>
        <w:rPr>
          <w:rFonts w:hint="eastAsia" w:ascii="Times New Roman" w:hAnsi="Times New Roman"/>
        </w:rPr>
        <w:t>（</w:t>
      </w:r>
      <w:r>
        <w:rPr>
          <w:rFonts w:ascii="Times New Roman" w:hAnsi="Times New Roman"/>
        </w:rPr>
        <w:t>3）因环境污染造成直接经济损失500万元以上2000</w:t>
      </w:r>
      <w:r>
        <w:rPr>
          <w:rFonts w:hint="eastAsia" w:ascii="Times New Roman" w:hAnsi="Times New Roman"/>
        </w:rPr>
        <w:t>万</w:t>
      </w:r>
      <w:r>
        <w:rPr>
          <w:rFonts w:ascii="Times New Roman" w:hAnsi="Times New Roman"/>
        </w:rPr>
        <w:t>元以下的；</w:t>
      </w:r>
    </w:p>
    <w:p w14:paraId="19BCEE39">
      <w:pPr>
        <w:pStyle w:val="25"/>
        <w:rPr>
          <w:rFonts w:ascii="Times New Roman" w:hAnsi="Times New Roman"/>
        </w:rPr>
      </w:pPr>
      <w:r>
        <w:rPr>
          <w:rFonts w:hint="eastAsia" w:ascii="Times New Roman" w:hAnsi="Times New Roman"/>
        </w:rPr>
        <w:t>（</w:t>
      </w:r>
      <w:r>
        <w:rPr>
          <w:rFonts w:ascii="Times New Roman" w:hAnsi="Times New Roman"/>
        </w:rPr>
        <w:t>4）因环境污染造成国家重点保护</w:t>
      </w:r>
      <w:r>
        <w:rPr>
          <w:rFonts w:hint="eastAsia" w:ascii="Times New Roman" w:hAnsi="Times New Roman"/>
        </w:rPr>
        <w:t>的</w:t>
      </w:r>
      <w:r>
        <w:rPr>
          <w:rFonts w:ascii="Times New Roman" w:hAnsi="Times New Roman"/>
        </w:rPr>
        <w:t>动植</w:t>
      </w:r>
      <w:r>
        <w:rPr>
          <w:rFonts w:hint="eastAsia" w:ascii="Times New Roman" w:hAnsi="Times New Roman"/>
        </w:rPr>
        <w:t>物</w:t>
      </w:r>
      <w:r>
        <w:rPr>
          <w:rFonts w:ascii="Times New Roman" w:hAnsi="Times New Roman"/>
        </w:rPr>
        <w:t>物种</w:t>
      </w:r>
      <w:r>
        <w:rPr>
          <w:rFonts w:hint="eastAsia" w:ascii="Times New Roman" w:hAnsi="Times New Roman"/>
        </w:rPr>
        <w:t>受到破坏的</w:t>
      </w:r>
      <w:r>
        <w:rPr>
          <w:rFonts w:ascii="Times New Roman" w:hAnsi="Times New Roman"/>
        </w:rPr>
        <w:t>；</w:t>
      </w:r>
    </w:p>
    <w:p w14:paraId="7037EDDC">
      <w:pPr>
        <w:pStyle w:val="25"/>
        <w:rPr>
          <w:rFonts w:ascii="Times New Roman" w:hAnsi="Times New Roman"/>
        </w:rPr>
      </w:pPr>
      <w:r>
        <w:rPr>
          <w:rFonts w:hint="eastAsia" w:ascii="Times New Roman" w:hAnsi="Times New Roman"/>
        </w:rPr>
        <w:t>（</w:t>
      </w:r>
      <w:r>
        <w:rPr>
          <w:rFonts w:ascii="Times New Roman" w:hAnsi="Times New Roman"/>
        </w:rPr>
        <w:t>5）因环境污染造成</w:t>
      </w:r>
      <w:r>
        <w:rPr>
          <w:rFonts w:hint="eastAsia" w:ascii="Times New Roman" w:hAnsi="Times New Roman"/>
        </w:rPr>
        <w:t>乡镇</w:t>
      </w:r>
      <w:r>
        <w:rPr>
          <w:rFonts w:ascii="Times New Roman" w:hAnsi="Times New Roman"/>
        </w:rPr>
        <w:t>集中式饮用水水源地取水中断的；</w:t>
      </w:r>
    </w:p>
    <w:p w14:paraId="1C0FBCF3">
      <w:pPr>
        <w:pStyle w:val="25"/>
        <w:rPr>
          <w:rFonts w:ascii="Times New Roman" w:hAnsi="Times New Roman"/>
        </w:rPr>
      </w:pPr>
      <w:r>
        <w:rPr>
          <w:rFonts w:hint="eastAsia" w:ascii="Times New Roman" w:hAnsi="Times New Roman"/>
        </w:rPr>
        <w:t>（</w:t>
      </w:r>
      <w:r>
        <w:rPr>
          <w:rFonts w:ascii="Times New Roman" w:hAnsi="Times New Roman"/>
        </w:rPr>
        <w:t>6）因环境污染造成跨</w:t>
      </w:r>
      <w:r>
        <w:rPr>
          <w:rFonts w:hint="eastAsia" w:ascii="Times New Roman" w:hAnsi="Times New Roman"/>
        </w:rPr>
        <w:t>设区的市</w:t>
      </w:r>
      <w:r>
        <w:rPr>
          <w:rFonts w:ascii="Times New Roman" w:hAnsi="Times New Roman"/>
        </w:rPr>
        <w:t>级行政区域影响的突发环境事件。</w:t>
      </w:r>
    </w:p>
    <w:bookmarkEnd w:id="67"/>
    <w:bookmarkEnd w:id="68"/>
    <w:p w14:paraId="45EA1023">
      <w:pPr>
        <w:pStyle w:val="25"/>
        <w:rPr>
          <w:rFonts w:ascii="Times New Roman" w:hAnsi="Times New Roman"/>
        </w:rPr>
      </w:pPr>
      <w:r>
        <w:rPr>
          <w:rFonts w:hint="eastAsia" w:ascii="Times New Roman" w:hAnsi="Times New Roman"/>
        </w:rPr>
        <w:t>4、一般突发环境事件</w:t>
      </w:r>
    </w:p>
    <w:p w14:paraId="5703A4B6">
      <w:pPr>
        <w:pStyle w:val="25"/>
        <w:rPr>
          <w:rFonts w:ascii="Times New Roman" w:hAnsi="Times New Roman"/>
        </w:rPr>
      </w:pPr>
      <w:r>
        <w:rPr>
          <w:rFonts w:hint="eastAsia" w:ascii="Times New Roman" w:hAnsi="Times New Roman"/>
        </w:rPr>
        <w:t>（</w:t>
      </w:r>
      <w:r>
        <w:rPr>
          <w:rFonts w:ascii="Times New Roman" w:hAnsi="Times New Roman"/>
        </w:rPr>
        <w:t>1）因环境污染直接导致3人以下死亡或10人以下中毒或重伤的；</w:t>
      </w:r>
    </w:p>
    <w:p w14:paraId="5B2A1120">
      <w:pPr>
        <w:pStyle w:val="25"/>
        <w:rPr>
          <w:rFonts w:ascii="Times New Roman" w:hAnsi="Times New Roman"/>
        </w:rPr>
      </w:pPr>
      <w:r>
        <w:rPr>
          <w:rFonts w:hint="eastAsia" w:ascii="Times New Roman" w:hAnsi="Times New Roman"/>
        </w:rPr>
        <w:t>（</w:t>
      </w:r>
      <w:r>
        <w:rPr>
          <w:rFonts w:ascii="Times New Roman" w:hAnsi="Times New Roman"/>
        </w:rPr>
        <w:t>2）因环境污染疏散、转移人员5000人以下的；</w:t>
      </w:r>
    </w:p>
    <w:p w14:paraId="0F2DCFB1">
      <w:pPr>
        <w:pStyle w:val="25"/>
        <w:rPr>
          <w:rFonts w:ascii="Times New Roman" w:hAnsi="Times New Roman"/>
        </w:rPr>
      </w:pPr>
      <w:r>
        <w:rPr>
          <w:rFonts w:hint="eastAsia" w:ascii="Times New Roman" w:hAnsi="Times New Roman"/>
        </w:rPr>
        <w:t>（</w:t>
      </w:r>
      <w:r>
        <w:rPr>
          <w:rFonts w:ascii="Times New Roman" w:hAnsi="Times New Roman"/>
        </w:rPr>
        <w:t>3）因环境污染造成直接经济损失500万元以下的；</w:t>
      </w:r>
    </w:p>
    <w:p w14:paraId="79882E51">
      <w:pPr>
        <w:pStyle w:val="25"/>
        <w:rPr>
          <w:rFonts w:ascii="Times New Roman" w:hAnsi="Times New Roman"/>
        </w:rPr>
      </w:pPr>
      <w:r>
        <w:rPr>
          <w:rFonts w:hint="eastAsia" w:ascii="Times New Roman" w:hAnsi="Times New Roman"/>
        </w:rPr>
        <w:t>（</w:t>
      </w:r>
      <w:r>
        <w:rPr>
          <w:rFonts w:ascii="Times New Roman" w:hAnsi="Times New Roman"/>
        </w:rPr>
        <w:t>4）</w:t>
      </w:r>
      <w:r>
        <w:rPr>
          <w:rFonts w:hint="eastAsia" w:ascii="Times New Roman" w:hAnsi="Times New Roman"/>
        </w:rPr>
        <w:t>造成跨县级行政区域纠纷，引起一般性群体事件的</w:t>
      </w:r>
      <w:r>
        <w:rPr>
          <w:rFonts w:ascii="Times New Roman" w:hAnsi="Times New Roman"/>
        </w:rPr>
        <w:t>；</w:t>
      </w:r>
    </w:p>
    <w:p w14:paraId="27374C4A">
      <w:pPr>
        <w:pStyle w:val="25"/>
        <w:rPr>
          <w:rFonts w:ascii="Times New Roman" w:hAnsi="Times New Roman"/>
        </w:rPr>
      </w:pPr>
      <w:r>
        <w:rPr>
          <w:rFonts w:hint="eastAsia" w:ascii="Times New Roman" w:hAnsi="Times New Roman"/>
        </w:rPr>
        <w:t>（</w:t>
      </w:r>
      <w:r>
        <w:rPr>
          <w:rFonts w:ascii="Times New Roman" w:hAnsi="Times New Roman"/>
        </w:rPr>
        <w:t>5）</w:t>
      </w:r>
      <w:r>
        <w:rPr>
          <w:rFonts w:hint="eastAsia" w:ascii="Times New Roman" w:hAnsi="Times New Roman"/>
        </w:rPr>
        <w:t>对环境造成一定影响，尚未达到较大突发环境事件级别的突发环境事件。</w:t>
      </w:r>
    </w:p>
    <w:p w14:paraId="2D099245">
      <w:pPr>
        <w:pStyle w:val="25"/>
        <w:rPr>
          <w:rFonts w:ascii="Times New Roman" w:hAnsi="Times New Roman"/>
        </w:rPr>
      </w:pPr>
      <w:r>
        <w:rPr>
          <w:rFonts w:hint="eastAsia" w:ascii="Times New Roman" w:hAnsi="Times New Roman"/>
        </w:rPr>
        <w:t>上述分级标准有关数量的表述中，“以上”含本数，“以下”不含本数。</w:t>
      </w:r>
    </w:p>
    <w:p w14:paraId="2D64775D">
      <w:pPr>
        <w:pStyle w:val="27"/>
        <w:rPr>
          <w:rFonts w:ascii="Times New Roman" w:hAnsi="Times New Roman"/>
        </w:rPr>
      </w:pPr>
      <w:bookmarkStart w:id="69" w:name="_Toc205835925"/>
      <w:r>
        <w:rPr>
          <w:rFonts w:hint="eastAsia" w:ascii="Times New Roman" w:hAnsi="Times New Roman"/>
        </w:rPr>
        <w:t>4</w:t>
      </w:r>
      <w:r>
        <w:rPr>
          <w:rFonts w:ascii="Times New Roman" w:hAnsi="Times New Roman"/>
        </w:rPr>
        <w:t>.2.2</w:t>
      </w:r>
      <w:r>
        <w:rPr>
          <w:rFonts w:hint="eastAsia" w:ascii="Times New Roman" w:hAnsi="Times New Roman"/>
        </w:rPr>
        <w:t>预警信息发布</w:t>
      </w:r>
      <w:bookmarkEnd w:id="69"/>
    </w:p>
    <w:p w14:paraId="6AE598C7">
      <w:pPr>
        <w:pStyle w:val="25"/>
        <w:rPr>
          <w:rFonts w:ascii="Times New Roman" w:hAnsi="Times New Roman"/>
        </w:rPr>
      </w:pPr>
      <w:r>
        <w:rPr>
          <w:rFonts w:hint="eastAsia" w:ascii="Times New Roman" w:hAnsi="Times New Roman"/>
        </w:rPr>
        <w:t>应急指挥部办公室根据环境监测信息或相关部门、单位的信息报告、通报，研判可能发生特、重、较大突发环境事件时，应及时向区应急指挥部汇报，由区应急指挥部向市指挥部报告相关情况，同时通报区指挥部相关成员单位。</w:t>
      </w:r>
    </w:p>
    <w:p w14:paraId="04E602F0">
      <w:pPr>
        <w:pStyle w:val="25"/>
        <w:rPr>
          <w:rFonts w:ascii="Times New Roman" w:hAnsi="Times New Roman"/>
        </w:rPr>
      </w:pPr>
      <w:r>
        <w:rPr>
          <w:rFonts w:hint="eastAsia" w:ascii="Times New Roman" w:hAnsi="Times New Roman"/>
        </w:rPr>
        <w:t>应急指挥部办公室根据环境监测信息或相关部门、单位的信息报告、通报</w:t>
      </w:r>
      <w:r>
        <w:rPr>
          <w:rFonts w:ascii="Times New Roman" w:hAnsi="Times New Roman"/>
        </w:rPr>
        <w:t>，研判可能发生一般突发环境事件时，及时向应急指挥部提出预警信息发布建议，同时通报指挥部相关成员单位；指挥部或其授权的相关部门，及时通过电视、广播、报纸、互联网、手机短信、当面告知等方式向本行政区域公众发布预警信息，并通报可能影响到的相关地区。</w:t>
      </w:r>
    </w:p>
    <w:p w14:paraId="212B2597">
      <w:pPr>
        <w:pStyle w:val="27"/>
        <w:rPr>
          <w:rFonts w:ascii="Times New Roman" w:hAnsi="Times New Roman"/>
        </w:rPr>
      </w:pPr>
      <w:bookmarkStart w:id="70" w:name="_Toc205835926"/>
      <w:r>
        <w:rPr>
          <w:rFonts w:ascii="Times New Roman" w:hAnsi="Times New Roman"/>
        </w:rPr>
        <w:t>4.2.3预警行动</w:t>
      </w:r>
      <w:bookmarkEnd w:id="70"/>
    </w:p>
    <w:p w14:paraId="1BE9F138">
      <w:pPr>
        <w:pStyle w:val="25"/>
        <w:rPr>
          <w:rFonts w:ascii="Times New Roman" w:hAnsi="Times New Roman"/>
        </w:rPr>
      </w:pPr>
      <w:r>
        <w:rPr>
          <w:rFonts w:hint="eastAsia" w:ascii="Times New Roman" w:hAnsi="Times New Roman"/>
        </w:rPr>
        <w:t>预警信息发布后，云冈区人民政府及其有关部门视情采取以下措施：</w:t>
      </w:r>
    </w:p>
    <w:p w14:paraId="5818F3A1">
      <w:pPr>
        <w:pStyle w:val="25"/>
        <w:rPr>
          <w:rFonts w:ascii="Times New Roman" w:hAnsi="Times New Roman"/>
        </w:rPr>
      </w:pPr>
      <w:r>
        <w:rPr>
          <w:rFonts w:hint="eastAsia" w:ascii="Times New Roman" w:hAnsi="Times New Roman"/>
        </w:rPr>
        <w:t>（</w:t>
      </w:r>
      <w:r>
        <w:rPr>
          <w:rFonts w:ascii="Times New Roman" w:hAnsi="Times New Roman"/>
        </w:rPr>
        <w:t>1）分析研判。组织有关部门和机构、专业技术人员及专家，及时对预警信息进行分析研判，预估可能的影响范围和危害程度。</w:t>
      </w:r>
    </w:p>
    <w:p w14:paraId="1D903208">
      <w:pPr>
        <w:pStyle w:val="25"/>
        <w:rPr>
          <w:rFonts w:ascii="Times New Roman" w:hAnsi="Times New Roman"/>
        </w:rPr>
      </w:pPr>
      <w:r>
        <w:rPr>
          <w:rFonts w:hint="eastAsia" w:ascii="Times New Roman" w:hAnsi="Times New Roman"/>
        </w:rPr>
        <w:t>（</w:t>
      </w:r>
      <w:r>
        <w:rPr>
          <w:rFonts w:ascii="Times New Roman" w:hAnsi="Times New Roman"/>
        </w:rPr>
        <w:t>2）防范处置。迅速采取有效处置措施，控制事件苗头。在涉险区域设置注意事项提示或事件危害警告标志，利用各种渠道增加宣传频次，告知公众避险和减轻危害的常识、需采取的必要的健康防护措施。</w:t>
      </w:r>
    </w:p>
    <w:p w14:paraId="6B551955">
      <w:pPr>
        <w:pStyle w:val="25"/>
        <w:rPr>
          <w:rFonts w:ascii="Times New Roman" w:hAnsi="Times New Roman"/>
        </w:rPr>
      </w:pPr>
      <w:r>
        <w:rPr>
          <w:rFonts w:hint="eastAsia" w:ascii="Times New Roman" w:hAnsi="Times New Roman"/>
        </w:rPr>
        <w:t>（</w:t>
      </w:r>
      <w:r>
        <w:rPr>
          <w:rFonts w:ascii="Times New Roman" w:hAnsi="Times New Roman"/>
        </w:rPr>
        <w:t>3）应急准备。提前疏散、转移可能受到危害的人员，并进行妥善安置。指令应急救援队伍、负有应急监测等特定职责的人员进入待命状态，动员后备人员做好参加应急救援和处置工作的准备，调集应急所需物资和设备，做好应急保障工作。对可能导致突发环境事件发生的相关企业事业单位和其他生产经营者加强环境监管。</w:t>
      </w:r>
    </w:p>
    <w:p w14:paraId="69A7B3B0">
      <w:pPr>
        <w:pStyle w:val="25"/>
        <w:rPr>
          <w:rFonts w:ascii="Times New Roman" w:hAnsi="Times New Roman"/>
        </w:rPr>
      </w:pPr>
      <w:r>
        <w:rPr>
          <w:rFonts w:hint="eastAsia" w:ascii="Times New Roman" w:hAnsi="Times New Roman"/>
        </w:rPr>
        <w:t>（</w:t>
      </w:r>
      <w:r>
        <w:rPr>
          <w:rFonts w:ascii="Times New Roman" w:hAnsi="Times New Roman"/>
        </w:rPr>
        <w:t>4）舆论引导。及时准确发布事态最新情况，公布咨询电话，组织专家解读。加强相关舆情监测，做好舆论引导工作。</w:t>
      </w:r>
    </w:p>
    <w:p w14:paraId="09D46A36">
      <w:pPr>
        <w:pStyle w:val="27"/>
        <w:rPr>
          <w:rFonts w:ascii="Times New Roman" w:hAnsi="Times New Roman"/>
        </w:rPr>
      </w:pPr>
      <w:bookmarkStart w:id="71" w:name="_Toc205835927"/>
      <w:r>
        <w:rPr>
          <w:rFonts w:ascii="Times New Roman" w:hAnsi="Times New Roman"/>
        </w:rPr>
        <w:t>4.2.4预警级别调整和解除</w:t>
      </w:r>
      <w:bookmarkEnd w:id="71"/>
    </w:p>
    <w:p w14:paraId="7574930E">
      <w:pPr>
        <w:pStyle w:val="25"/>
        <w:rPr>
          <w:rFonts w:ascii="Times New Roman" w:hAnsi="Times New Roman"/>
        </w:rPr>
        <w:sectPr>
          <w:pgSz w:w="11906" w:h="16838"/>
          <w:pgMar w:top="1440" w:right="1701" w:bottom="1440" w:left="1701" w:header="851" w:footer="850" w:gutter="0"/>
          <w:cols w:space="425" w:num="1"/>
          <w:docGrid w:type="lines" w:linePitch="312" w:charSpace="0"/>
        </w:sectPr>
      </w:pPr>
      <w:r>
        <w:rPr>
          <w:rFonts w:hint="eastAsia" w:ascii="Times New Roman" w:hAnsi="Times New Roman"/>
        </w:rPr>
        <w:t>发布突发环境事件预警信息的人民政府或有关部门，应当根据事态发展情况和采取措施的效果适时调整预警级别；当判定突发环境事件危险已经消除时，宣布预警解除。</w:t>
      </w:r>
    </w:p>
    <w:p w14:paraId="310DED08">
      <w:pPr>
        <w:pStyle w:val="21"/>
        <w:spacing w:before="156" w:after="156"/>
        <w:rPr>
          <w:rFonts w:ascii="Times New Roman" w:hAnsi="Times New Roman"/>
          <w:color w:val="auto"/>
        </w:rPr>
      </w:pPr>
      <w:bookmarkStart w:id="72" w:name="_Toc205835928"/>
      <w:r>
        <w:rPr>
          <w:rFonts w:hint="eastAsia" w:ascii="Times New Roman" w:hAnsi="Times New Roman"/>
          <w:color w:val="auto"/>
        </w:rPr>
        <w:t>5应急处置与救援</w:t>
      </w:r>
      <w:bookmarkEnd w:id="72"/>
    </w:p>
    <w:p w14:paraId="22D8CB24">
      <w:pPr>
        <w:pStyle w:val="22"/>
      </w:pPr>
      <w:bookmarkStart w:id="73" w:name="_Toc205835929"/>
      <w:r>
        <w:rPr>
          <w:rFonts w:hint="eastAsia"/>
        </w:rPr>
        <w:t>5</w:t>
      </w:r>
      <w:r>
        <w:t>.1</w:t>
      </w:r>
      <w:r>
        <w:rPr>
          <w:rFonts w:hint="eastAsia"/>
        </w:rPr>
        <w:t>信息报告与通报</w:t>
      </w:r>
      <w:bookmarkEnd w:id="73"/>
    </w:p>
    <w:p w14:paraId="67B375E3">
      <w:pPr>
        <w:pStyle w:val="27"/>
        <w:rPr>
          <w:rFonts w:ascii="Times New Roman" w:hAnsi="Times New Roman"/>
        </w:rPr>
      </w:pPr>
      <w:bookmarkStart w:id="74" w:name="_Toc205835930"/>
      <w:r>
        <w:rPr>
          <w:rFonts w:hint="eastAsia" w:ascii="Times New Roman" w:hAnsi="Times New Roman"/>
        </w:rPr>
        <w:t>5</w:t>
      </w:r>
      <w:r>
        <w:rPr>
          <w:rFonts w:ascii="Times New Roman" w:hAnsi="Times New Roman"/>
        </w:rPr>
        <w:t>.1.1</w:t>
      </w:r>
      <w:r>
        <w:rPr>
          <w:rFonts w:hint="eastAsia" w:ascii="Times New Roman" w:hAnsi="Times New Roman"/>
        </w:rPr>
        <w:t>信息报告</w:t>
      </w:r>
      <w:bookmarkEnd w:id="74"/>
    </w:p>
    <w:p w14:paraId="7977000F">
      <w:pPr>
        <w:pStyle w:val="25"/>
        <w:rPr>
          <w:rFonts w:ascii="Times New Roman" w:hAnsi="Times New Roman"/>
        </w:rPr>
      </w:pPr>
      <w:r>
        <w:rPr>
          <w:rFonts w:hint="eastAsia" w:ascii="Times New Roman" w:hAnsi="Times New Roman"/>
        </w:rPr>
        <w:t>（</w:t>
      </w:r>
      <w:r>
        <w:rPr>
          <w:rFonts w:ascii="Times New Roman" w:hAnsi="Times New Roman"/>
        </w:rPr>
        <w:t>1）突发环境事件发生后，涉事企事业单位或其他生产经营者采取应对措施，并立即向市生态环境局云冈分局和相关部门报告，同时通报可能受到污染危害的单位和居民。</w:t>
      </w:r>
    </w:p>
    <w:p w14:paraId="574D37BA">
      <w:pPr>
        <w:pStyle w:val="25"/>
        <w:rPr>
          <w:rFonts w:ascii="Times New Roman" w:hAnsi="Times New Roman"/>
        </w:rPr>
      </w:pPr>
      <w:r>
        <w:rPr>
          <w:rFonts w:hint="eastAsia" w:ascii="Times New Roman" w:hAnsi="Times New Roman"/>
        </w:rPr>
        <w:t>（</w:t>
      </w:r>
      <w:r>
        <w:rPr>
          <w:rFonts w:ascii="Times New Roman" w:hAnsi="Times New Roman"/>
        </w:rPr>
        <w:t>2）市生态环境局云冈分局接到突发环境事件信息报告通报或监测到相关信息后，立即进行核实，对突发环境事件的性质和类别作出初步认定，并按以下要求进行报告：</w:t>
      </w:r>
    </w:p>
    <w:p w14:paraId="0B9DB71F">
      <w:pPr>
        <w:pStyle w:val="25"/>
        <w:rPr>
          <w:rFonts w:ascii="Times New Roman" w:hAnsi="Times New Roman"/>
        </w:rPr>
      </w:pPr>
      <w:r>
        <w:rPr>
          <w:rFonts w:hint="eastAsia" w:ascii="Times New Roman" w:hAnsi="Times New Roman"/>
        </w:rPr>
        <w:t>①对初步认定为一般突发环境事件的，事发单位</w:t>
      </w:r>
      <w:r>
        <w:rPr>
          <w:rFonts w:ascii="Times New Roman" w:hAnsi="Times New Roman"/>
        </w:rPr>
        <w:t xml:space="preserve">30分钟内向生态环境分局口头报告，分局1小时内书面报区政府； </w:t>
      </w:r>
    </w:p>
    <w:p w14:paraId="7982593C">
      <w:pPr>
        <w:pStyle w:val="25"/>
        <w:rPr>
          <w:rFonts w:ascii="Times New Roman" w:hAnsi="Times New Roman"/>
        </w:rPr>
      </w:pPr>
      <w:r>
        <w:rPr>
          <w:rFonts w:hint="eastAsia" w:ascii="Times New Roman" w:hAnsi="Times New Roman"/>
        </w:rPr>
        <w:t>②初步认定为较大及以上事件：分局</w:t>
      </w:r>
      <w:r>
        <w:rPr>
          <w:rFonts w:ascii="Times New Roman" w:hAnsi="Times New Roman"/>
        </w:rPr>
        <w:t>30分钟内直报省生态环境厅，同时通报区应急管理局。</w:t>
      </w:r>
    </w:p>
    <w:p w14:paraId="73D56AB1">
      <w:pPr>
        <w:pStyle w:val="25"/>
        <w:rPr>
          <w:rFonts w:ascii="Times New Roman" w:hAnsi="Times New Roman"/>
        </w:rPr>
      </w:pPr>
      <w:r>
        <w:rPr>
          <w:rFonts w:hint="eastAsia" w:ascii="Times New Roman" w:hAnsi="Times New Roman"/>
        </w:rPr>
        <w:t>（</w:t>
      </w:r>
      <w:r>
        <w:rPr>
          <w:rFonts w:ascii="Times New Roman" w:hAnsi="Times New Roman"/>
        </w:rPr>
        <w:t>3）发生下列情形之一时，对无法判明等级的突发环境事件，市生态环境局云冈分局应当按照III级（较大）突发环境事件的报告程序上报：</w:t>
      </w:r>
    </w:p>
    <w:p w14:paraId="348919CC">
      <w:pPr>
        <w:pStyle w:val="25"/>
        <w:rPr>
          <w:rFonts w:ascii="Times New Roman" w:hAnsi="Times New Roman"/>
        </w:rPr>
      </w:pPr>
      <w:r>
        <w:rPr>
          <w:rFonts w:hint="eastAsia" w:ascii="Times New Roman" w:hAnsi="Times New Roman"/>
        </w:rPr>
        <w:t>①对饮用水水源保护区造成或者可能造成影响的；</w:t>
      </w:r>
    </w:p>
    <w:p w14:paraId="3640779D">
      <w:pPr>
        <w:pStyle w:val="25"/>
        <w:rPr>
          <w:rFonts w:ascii="Times New Roman" w:hAnsi="Times New Roman"/>
        </w:rPr>
      </w:pPr>
      <w:r>
        <w:rPr>
          <w:rFonts w:hint="eastAsia" w:ascii="Times New Roman" w:hAnsi="Times New Roman"/>
        </w:rPr>
        <w:t>②涉及居民聚居区、学校、医院等敏感区域和敏感人群的；</w:t>
      </w:r>
    </w:p>
    <w:p w14:paraId="29851E97">
      <w:pPr>
        <w:pStyle w:val="25"/>
        <w:rPr>
          <w:rFonts w:ascii="Times New Roman" w:hAnsi="Times New Roman"/>
        </w:rPr>
      </w:pPr>
      <w:r>
        <w:rPr>
          <w:rFonts w:hint="eastAsia" w:ascii="Times New Roman" w:hAnsi="Times New Roman"/>
        </w:rPr>
        <w:t>③涉及重金属或类金属污染的；</w:t>
      </w:r>
    </w:p>
    <w:p w14:paraId="350441DE">
      <w:pPr>
        <w:pStyle w:val="25"/>
        <w:rPr>
          <w:rFonts w:ascii="Times New Roman" w:hAnsi="Times New Roman"/>
        </w:rPr>
      </w:pPr>
      <w:r>
        <w:rPr>
          <w:rFonts w:hint="eastAsia" w:ascii="Times New Roman" w:hAnsi="Times New Roman"/>
        </w:rPr>
        <w:t>④因环境污染引发群体性事件，或者社会影响较大的；</w:t>
      </w:r>
    </w:p>
    <w:p w14:paraId="42F094E2">
      <w:pPr>
        <w:pStyle w:val="25"/>
        <w:rPr>
          <w:rFonts w:ascii="Times New Roman" w:hAnsi="Times New Roman"/>
        </w:rPr>
      </w:pPr>
      <w:r>
        <w:rPr>
          <w:rFonts w:hint="eastAsia" w:ascii="Times New Roman" w:hAnsi="Times New Roman"/>
        </w:rPr>
        <w:t>⑤市生态环境局云冈分局认为有必要报告的其他突发环境事件</w:t>
      </w:r>
    </w:p>
    <w:p w14:paraId="2A17BD90">
      <w:pPr>
        <w:pStyle w:val="25"/>
        <w:rPr>
          <w:rFonts w:ascii="Times New Roman" w:hAnsi="Times New Roman"/>
        </w:rPr>
      </w:pPr>
      <w:r>
        <w:rPr>
          <w:rFonts w:hint="eastAsia" w:ascii="Times New Roman" w:hAnsi="Times New Roman"/>
        </w:rPr>
        <w:t>（</w:t>
      </w:r>
      <w:r>
        <w:rPr>
          <w:rFonts w:ascii="Times New Roman" w:hAnsi="Times New Roman"/>
        </w:rPr>
        <w:t>4）特别重大、重大、较大和暂时无法判明等级的突发环境事件发生后，云冈区人民政府应当及时逐级上报，必要时可越级上报；大同市人民政府、省人民政府有关部门和单位应当在2小时内报告省人民政府。紧急情况下，大同市人民政府、省人民政府有关部门和单位可以先通过电话口头报告省人民政府，并在30分钟内报送书面信息。</w:t>
      </w:r>
    </w:p>
    <w:p w14:paraId="29CCC5C6">
      <w:pPr>
        <w:pStyle w:val="25"/>
        <w:rPr>
          <w:rFonts w:ascii="Times New Roman" w:hAnsi="Times New Roman"/>
        </w:rPr>
      </w:pPr>
      <w:r>
        <w:rPr>
          <w:rFonts w:hint="eastAsia" w:ascii="Times New Roman" w:hAnsi="Times New Roman"/>
        </w:rPr>
        <w:t>（</w:t>
      </w:r>
      <w:r>
        <w:rPr>
          <w:rFonts w:ascii="Times New Roman" w:hAnsi="Times New Roman"/>
        </w:rPr>
        <w:t>5）突发环境事件处置过程中事件级别发生变化的，应当按照变化后的级别报告信息。</w:t>
      </w:r>
    </w:p>
    <w:p w14:paraId="23FF1347">
      <w:pPr>
        <w:pStyle w:val="25"/>
        <w:rPr>
          <w:rFonts w:ascii="Times New Roman" w:hAnsi="Times New Roman"/>
        </w:rPr>
      </w:pPr>
      <w:r>
        <w:rPr>
          <w:rFonts w:hint="eastAsia" w:ascii="Times New Roman" w:hAnsi="Times New Roman"/>
        </w:rPr>
        <w:t>报告内容包括事件发生时间、地点、单位名称、信息来源、事件类别、主要污染物种类和数量、伤亡或者经济损失的初步评估，环境敏感点受影响情况、影响范围，事件发展态势及处置情况等。</w:t>
      </w:r>
    </w:p>
    <w:p w14:paraId="6E3B7FA5">
      <w:pPr>
        <w:pStyle w:val="27"/>
        <w:rPr>
          <w:rFonts w:ascii="Times New Roman" w:hAnsi="Times New Roman"/>
        </w:rPr>
      </w:pPr>
      <w:bookmarkStart w:id="75" w:name="_Toc205835931"/>
      <w:r>
        <w:rPr>
          <w:rFonts w:ascii="Times New Roman" w:hAnsi="Times New Roman"/>
        </w:rPr>
        <w:t>5.1.2</w:t>
      </w:r>
      <w:r>
        <w:rPr>
          <w:rFonts w:hint="eastAsia" w:ascii="Times New Roman" w:hAnsi="Times New Roman"/>
        </w:rPr>
        <w:t>信息报告分类</w:t>
      </w:r>
      <w:bookmarkEnd w:id="75"/>
    </w:p>
    <w:p w14:paraId="1E23C0B6">
      <w:pPr>
        <w:pStyle w:val="25"/>
        <w:rPr>
          <w:rFonts w:ascii="Times New Roman" w:hAnsi="Times New Roman"/>
        </w:rPr>
      </w:pPr>
      <w:r>
        <w:rPr>
          <w:rFonts w:hint="eastAsia" w:ascii="Times New Roman" w:hAnsi="Times New Roman"/>
        </w:rPr>
        <w:t>突发土壤污染环境事件的报告分为初报、续报和处理结果报告三类。初报在发现或得知突发土壤污染环境事件后首次上报；</w:t>
      </w:r>
      <w:r>
        <w:rPr>
          <w:rFonts w:ascii="Times New Roman" w:hAnsi="Times New Roman"/>
        </w:rPr>
        <w:t>续报在查清有关基本情况、事件发展情况后随时上报；</w:t>
      </w:r>
      <w:r>
        <w:rPr>
          <w:rFonts w:hint="eastAsia" w:ascii="Times New Roman" w:hAnsi="Times New Roman"/>
        </w:rPr>
        <w:t>处理结果报告</w:t>
      </w:r>
      <w:r>
        <w:rPr>
          <w:rFonts w:ascii="Times New Roman" w:hAnsi="Times New Roman"/>
        </w:rPr>
        <w:t>在突发土壤污染环境事件</w:t>
      </w:r>
      <w:r>
        <w:rPr>
          <w:rFonts w:hint="eastAsia" w:ascii="Times New Roman" w:hAnsi="Times New Roman"/>
        </w:rPr>
        <w:t>处理完毕</w:t>
      </w:r>
      <w:r>
        <w:rPr>
          <w:rFonts w:ascii="Times New Roman" w:hAnsi="Times New Roman"/>
        </w:rPr>
        <w:t>后上报。</w:t>
      </w:r>
    </w:p>
    <w:p w14:paraId="5B5E2853">
      <w:pPr>
        <w:pStyle w:val="25"/>
        <w:rPr>
          <w:rFonts w:ascii="Times New Roman" w:hAnsi="Times New Roman"/>
        </w:rPr>
      </w:pPr>
      <w:r>
        <w:rPr>
          <w:rFonts w:ascii="Times New Roman" w:hAnsi="Times New Roman"/>
        </w:rPr>
        <w:t>报告应采用电话报告和书面报告相结合的方式</w:t>
      </w:r>
      <w:r>
        <w:rPr>
          <w:rFonts w:hint="eastAsia" w:ascii="Times New Roman" w:hAnsi="Times New Roman"/>
        </w:rPr>
        <w:t>。</w:t>
      </w:r>
    </w:p>
    <w:p w14:paraId="4F0D10B5">
      <w:pPr>
        <w:pStyle w:val="25"/>
        <w:rPr>
          <w:rFonts w:ascii="Times New Roman" w:hAnsi="Times New Roman"/>
        </w:rPr>
      </w:pPr>
      <w:r>
        <w:rPr>
          <w:rFonts w:ascii="Times New Roman" w:hAnsi="Times New Roman"/>
        </w:rPr>
        <w:t>初报主要内容包括</w:t>
      </w:r>
      <w:r>
        <w:rPr>
          <w:rFonts w:hint="eastAsia" w:ascii="Times New Roman" w:hAnsi="Times New Roman"/>
        </w:rPr>
        <w:t>：</w:t>
      </w:r>
      <w:r>
        <w:rPr>
          <w:rFonts w:ascii="Times New Roman" w:hAnsi="Times New Roman"/>
        </w:rPr>
        <w:t>突发土壤污染环境事件的类型、发生时间、地点、污染源、主要污染物质、人员受害情况、土壤污染面积及程度、事件潜在的危害程度、转化方式趋向等情况。</w:t>
      </w:r>
    </w:p>
    <w:p w14:paraId="39B5DD1B">
      <w:pPr>
        <w:pStyle w:val="25"/>
        <w:rPr>
          <w:rFonts w:ascii="Times New Roman" w:hAnsi="Times New Roman"/>
        </w:rPr>
      </w:pPr>
      <w:r>
        <w:rPr>
          <w:rFonts w:hint="eastAsia" w:ascii="Times New Roman" w:hAnsi="Times New Roman"/>
        </w:rPr>
        <w:t>续报主要内容包括：</w:t>
      </w:r>
      <w:r>
        <w:rPr>
          <w:rFonts w:ascii="Times New Roman" w:hAnsi="Times New Roman"/>
        </w:rPr>
        <w:t>在初报的基础上报告有关确切数据和进展情况及采取的应急措施等情况。</w:t>
      </w:r>
    </w:p>
    <w:p w14:paraId="52E64D8A">
      <w:pPr>
        <w:pStyle w:val="25"/>
        <w:rPr>
          <w:rFonts w:ascii="Times New Roman" w:hAnsi="Times New Roman"/>
        </w:rPr>
      </w:pPr>
      <w:r>
        <w:rPr>
          <w:rFonts w:hint="eastAsia" w:ascii="Times New Roman" w:hAnsi="Times New Roman"/>
        </w:rPr>
        <w:t>处理报告</w:t>
      </w:r>
      <w:r>
        <w:rPr>
          <w:rFonts w:ascii="Times New Roman" w:hAnsi="Times New Roman"/>
        </w:rPr>
        <w:t>主要内容包括</w:t>
      </w:r>
      <w:r>
        <w:rPr>
          <w:rFonts w:hint="eastAsia" w:ascii="Times New Roman" w:hAnsi="Times New Roman"/>
        </w:rPr>
        <w:t>：</w:t>
      </w:r>
      <w:r>
        <w:rPr>
          <w:rFonts w:ascii="Times New Roman" w:hAnsi="Times New Roman"/>
        </w:rPr>
        <w:t>在初报和续报的基础上，报告处理事件的措施、过程和结果，事件潜在或间接的危害、社会影响、处理后的遗留问题，</w:t>
      </w:r>
      <w:r>
        <w:rPr>
          <w:rFonts w:hint="eastAsia" w:ascii="Times New Roman" w:hAnsi="Times New Roman"/>
        </w:rPr>
        <w:t>责任追究等详细情况</w:t>
      </w:r>
      <w:r>
        <w:rPr>
          <w:rFonts w:ascii="Times New Roman" w:hAnsi="Times New Roman"/>
        </w:rPr>
        <w:t>。</w:t>
      </w:r>
    </w:p>
    <w:p w14:paraId="1285A989">
      <w:pPr>
        <w:pStyle w:val="27"/>
        <w:rPr>
          <w:rFonts w:ascii="Times New Roman" w:hAnsi="Times New Roman"/>
        </w:rPr>
      </w:pPr>
      <w:bookmarkStart w:id="76" w:name="_Toc205835932"/>
      <w:r>
        <w:rPr>
          <w:rFonts w:hint="eastAsia" w:ascii="Times New Roman" w:hAnsi="Times New Roman"/>
        </w:rPr>
        <w:t>5</w:t>
      </w:r>
      <w:r>
        <w:rPr>
          <w:rFonts w:ascii="Times New Roman" w:hAnsi="Times New Roman"/>
        </w:rPr>
        <w:t>.1.3</w:t>
      </w:r>
      <w:r>
        <w:rPr>
          <w:rFonts w:hint="eastAsia" w:ascii="Times New Roman" w:hAnsi="Times New Roman"/>
        </w:rPr>
        <w:t>信息共享</w:t>
      </w:r>
      <w:bookmarkEnd w:id="76"/>
    </w:p>
    <w:p w14:paraId="55512778">
      <w:pPr>
        <w:pStyle w:val="25"/>
        <w:rPr>
          <w:rFonts w:ascii="Times New Roman" w:hAnsi="Times New Roman"/>
        </w:rPr>
      </w:pPr>
      <w:r>
        <w:rPr>
          <w:rFonts w:hint="eastAsia" w:ascii="Times New Roman" w:hAnsi="Times New Roman"/>
        </w:rPr>
        <w:t>大同市生态环境局云冈分局通过互联网信息监测、环境污染举报热线等多种渠道</w:t>
      </w:r>
      <w:r>
        <w:rPr>
          <w:rFonts w:ascii="Times New Roman" w:hAnsi="Times New Roman"/>
        </w:rPr>
        <w:t>，加强对突发环境事件的信息收集，及时掌握突发环境事件发生情况，并通报同级相关部门。有关部门或其他负有安全监管职责的部门接报后，应当及时通报同级生态环境部门。应急指挥部其他成员单位在土壤监测过程中获得环境污染事件信息的，应当及时向同级生态环境部门通报。</w:t>
      </w:r>
    </w:p>
    <w:p w14:paraId="3A9CB08C">
      <w:pPr>
        <w:pStyle w:val="22"/>
      </w:pPr>
      <w:bookmarkStart w:id="77" w:name="_Toc205835933"/>
      <w:r>
        <w:rPr>
          <w:rFonts w:hint="eastAsia"/>
        </w:rPr>
        <w:t>5</w:t>
      </w:r>
      <w:r>
        <w:t>.2</w:t>
      </w:r>
      <w:r>
        <w:rPr>
          <w:rFonts w:hint="eastAsia"/>
        </w:rPr>
        <w:t>先期处置</w:t>
      </w:r>
      <w:bookmarkEnd w:id="77"/>
    </w:p>
    <w:p w14:paraId="362AAE5C">
      <w:pPr>
        <w:pStyle w:val="25"/>
        <w:rPr>
          <w:rFonts w:ascii="Times New Roman" w:hAnsi="Times New Roman"/>
        </w:rPr>
      </w:pPr>
      <w:r>
        <w:rPr>
          <w:rFonts w:hint="eastAsia" w:ascii="Times New Roman" w:hAnsi="Times New Roman"/>
        </w:rPr>
        <w:t>突发环境事件发生后，云冈区人民政府及其有关部门和事发单位要立即采取措施，组织处置，防止事件扩大。当事件态势超出处理能力时，报请大同市人民政府及相关部门。</w:t>
      </w:r>
    </w:p>
    <w:p w14:paraId="1B1390AD">
      <w:pPr>
        <w:pStyle w:val="22"/>
      </w:pPr>
      <w:bookmarkStart w:id="78" w:name="_Toc205835934"/>
      <w:r>
        <w:rPr>
          <w:rFonts w:hint="eastAsia"/>
        </w:rPr>
        <w:t>5</w:t>
      </w:r>
      <w:r>
        <w:t>.3</w:t>
      </w:r>
      <w:r>
        <w:rPr>
          <w:rFonts w:hint="eastAsia"/>
        </w:rPr>
        <w:t>应急响应</w:t>
      </w:r>
      <w:bookmarkEnd w:id="78"/>
    </w:p>
    <w:p w14:paraId="01620F63">
      <w:pPr>
        <w:pStyle w:val="27"/>
        <w:rPr>
          <w:rFonts w:ascii="Times New Roman" w:hAnsi="Times New Roman"/>
        </w:rPr>
      </w:pPr>
      <w:bookmarkStart w:id="79" w:name="_Toc205835935"/>
      <w:r>
        <w:rPr>
          <w:rFonts w:ascii="Times New Roman" w:hAnsi="Times New Roman"/>
        </w:rPr>
        <w:t>5.3.1分级响应</w:t>
      </w:r>
      <w:bookmarkEnd w:id="79"/>
    </w:p>
    <w:p w14:paraId="6AB9E6E7">
      <w:pPr>
        <w:pStyle w:val="25"/>
        <w:rPr>
          <w:rFonts w:ascii="Times New Roman" w:hAnsi="Times New Roman"/>
        </w:rPr>
      </w:pPr>
      <w:r>
        <w:rPr>
          <w:rFonts w:hint="eastAsia" w:ascii="Times New Roman" w:hAnsi="Times New Roman"/>
        </w:rPr>
        <w:t>根据突发环境事件的严重程度和发展态势，应急响应由低到高设定为四级、三级、二级和一级四个等级。突发环境事件发生后，按照职责权限，启动相应等级的应急响应。</w:t>
      </w:r>
    </w:p>
    <w:p w14:paraId="47CA9618">
      <w:pPr>
        <w:pStyle w:val="31"/>
        <w:rPr>
          <w:rFonts w:ascii="Times New Roman" w:hAnsi="Times New Roman"/>
          <w:color w:val="auto"/>
        </w:rPr>
      </w:pPr>
      <w:r>
        <w:rPr>
          <w:rFonts w:ascii="Times New Roman" w:hAnsi="Times New Roman"/>
          <w:color w:val="auto"/>
        </w:rPr>
        <w:t>5.3.1.1四级（一般）响应</w:t>
      </w:r>
    </w:p>
    <w:p w14:paraId="742F5D30">
      <w:pPr>
        <w:pStyle w:val="25"/>
        <w:rPr>
          <w:rFonts w:ascii="Times New Roman" w:hAnsi="Times New Roman"/>
        </w:rPr>
      </w:pPr>
      <w:r>
        <w:rPr>
          <w:rFonts w:hint="eastAsia" w:ascii="Times New Roman" w:hAnsi="Times New Roman"/>
        </w:rPr>
        <w:t>初判发生一般土壤突发环境事件后，由区应急指挥部启动四级应急响应。区指挥部应立即开展以下工作：</w:t>
      </w:r>
    </w:p>
    <w:p w14:paraId="39F1100D">
      <w:pPr>
        <w:pStyle w:val="25"/>
        <w:rPr>
          <w:rFonts w:ascii="Times New Roman" w:hAnsi="Times New Roman"/>
        </w:rPr>
      </w:pPr>
      <w:r>
        <w:rPr>
          <w:rFonts w:hint="eastAsia" w:ascii="Times New Roman" w:hAnsi="Times New Roman"/>
        </w:rPr>
        <w:t>（</w:t>
      </w:r>
      <w:r>
        <w:rPr>
          <w:rFonts w:ascii="Times New Roman" w:hAnsi="Times New Roman"/>
        </w:rPr>
        <w:t>1）立即赶赴事发现场，成立现场指挥部，组织开展应对工作；</w:t>
      </w:r>
    </w:p>
    <w:p w14:paraId="1C2DCD45">
      <w:pPr>
        <w:pStyle w:val="25"/>
        <w:rPr>
          <w:rFonts w:ascii="Times New Roman" w:hAnsi="Times New Roman"/>
        </w:rPr>
      </w:pPr>
      <w:r>
        <w:rPr>
          <w:rFonts w:hint="eastAsia" w:ascii="Times New Roman" w:hAnsi="Times New Roman"/>
        </w:rPr>
        <w:t>（</w:t>
      </w:r>
      <w:r>
        <w:rPr>
          <w:rFonts w:ascii="Times New Roman" w:hAnsi="Times New Roman"/>
        </w:rPr>
        <w:t>2）指挥部成员单位、专家组会商，分析研究事态、</w:t>
      </w:r>
      <w:r>
        <w:rPr>
          <w:rFonts w:hint="eastAsia" w:ascii="Times New Roman" w:hAnsi="Times New Roman"/>
        </w:rPr>
        <w:t>制订</w:t>
      </w:r>
      <w:r>
        <w:rPr>
          <w:rFonts w:ascii="Times New Roman" w:hAnsi="Times New Roman"/>
        </w:rPr>
        <w:t>应急处置方案，部署应急处置工作；</w:t>
      </w:r>
    </w:p>
    <w:p w14:paraId="3854CC47">
      <w:pPr>
        <w:pStyle w:val="25"/>
        <w:rPr>
          <w:rFonts w:ascii="Times New Roman" w:hAnsi="Times New Roman"/>
        </w:rPr>
      </w:pPr>
      <w:r>
        <w:rPr>
          <w:rFonts w:hint="eastAsia" w:ascii="Times New Roman" w:hAnsi="Times New Roman"/>
        </w:rPr>
        <w:t>（</w:t>
      </w:r>
      <w:r>
        <w:rPr>
          <w:rFonts w:ascii="Times New Roman" w:hAnsi="Times New Roman"/>
        </w:rPr>
        <w:t>3）上报大同市环境应急指挥部；</w:t>
      </w:r>
    </w:p>
    <w:p w14:paraId="2F23F4AA">
      <w:pPr>
        <w:pStyle w:val="25"/>
        <w:rPr>
          <w:rFonts w:ascii="Times New Roman" w:hAnsi="Times New Roman"/>
        </w:rPr>
      </w:pPr>
      <w:r>
        <w:rPr>
          <w:rFonts w:hint="eastAsia" w:ascii="Times New Roman" w:hAnsi="Times New Roman"/>
        </w:rPr>
        <w:t>（</w:t>
      </w:r>
      <w:r>
        <w:rPr>
          <w:rFonts w:ascii="Times New Roman" w:hAnsi="Times New Roman"/>
        </w:rPr>
        <w:t>4）市生态环境局云冈分局主要负责人立即赶赴事发现场指导督促开展污染源调查、应急监测、应急处置等工作；</w:t>
      </w:r>
    </w:p>
    <w:p w14:paraId="57BF713A">
      <w:pPr>
        <w:pStyle w:val="25"/>
        <w:rPr>
          <w:rFonts w:ascii="Times New Roman" w:hAnsi="Times New Roman"/>
        </w:rPr>
      </w:pPr>
      <w:r>
        <w:rPr>
          <w:rFonts w:hint="eastAsia" w:ascii="Times New Roman" w:hAnsi="Times New Roman"/>
        </w:rPr>
        <w:t>（</w:t>
      </w:r>
      <w:r>
        <w:rPr>
          <w:rFonts w:ascii="Times New Roman" w:hAnsi="Times New Roman"/>
        </w:rPr>
        <w:t>5）必要时，区环境应急指挥部负责</w:t>
      </w:r>
      <w:r>
        <w:rPr>
          <w:rFonts w:hint="eastAsia" w:ascii="Times New Roman" w:hAnsi="Times New Roman"/>
        </w:rPr>
        <w:t>向</w:t>
      </w:r>
      <w:r>
        <w:rPr>
          <w:rFonts w:ascii="Times New Roman" w:hAnsi="Times New Roman"/>
        </w:rPr>
        <w:t>市生态环境局及时人民政府提出物资、技术、设备等支援请求。</w:t>
      </w:r>
    </w:p>
    <w:p w14:paraId="7196B66C">
      <w:pPr>
        <w:pStyle w:val="31"/>
        <w:rPr>
          <w:rFonts w:ascii="Times New Roman" w:hAnsi="Times New Roman"/>
          <w:color w:val="auto"/>
        </w:rPr>
      </w:pPr>
      <w:r>
        <w:rPr>
          <w:rFonts w:ascii="Times New Roman" w:hAnsi="Times New Roman"/>
          <w:color w:val="auto"/>
        </w:rPr>
        <w:t>5.3.1.2三级（较大）</w:t>
      </w:r>
      <w:r>
        <w:rPr>
          <w:rFonts w:hint="eastAsia" w:ascii="Times New Roman" w:hAnsi="Times New Roman"/>
          <w:color w:val="auto"/>
        </w:rPr>
        <w:t>及以上</w:t>
      </w:r>
      <w:r>
        <w:rPr>
          <w:rFonts w:ascii="Times New Roman" w:hAnsi="Times New Roman"/>
          <w:color w:val="auto"/>
        </w:rPr>
        <w:t>响应</w:t>
      </w:r>
    </w:p>
    <w:p w14:paraId="5036AA41">
      <w:pPr>
        <w:pStyle w:val="25"/>
        <w:rPr>
          <w:rFonts w:ascii="Times New Roman" w:hAnsi="Times New Roman"/>
        </w:rPr>
      </w:pPr>
      <w:r>
        <w:rPr>
          <w:rFonts w:hint="eastAsia" w:ascii="Times New Roman" w:hAnsi="Times New Roman"/>
        </w:rPr>
        <w:t>发生三级</w:t>
      </w:r>
      <w:r>
        <w:rPr>
          <w:rFonts w:ascii="Times New Roman" w:hAnsi="Times New Roman"/>
        </w:rPr>
        <w:t>（较大）及以上</w:t>
      </w:r>
      <w:r>
        <w:rPr>
          <w:rFonts w:hint="eastAsia" w:ascii="Times New Roman" w:hAnsi="Times New Roman"/>
        </w:rPr>
        <w:t>土壤</w:t>
      </w:r>
      <w:r>
        <w:rPr>
          <w:rFonts w:ascii="Times New Roman" w:hAnsi="Times New Roman"/>
        </w:rPr>
        <w:t>突发环境事件，区应急指挥部及其办公室在了解事件情况的基础上，立即指令相关单位赶赴现场，展开先期应急处置。</w:t>
      </w:r>
    </w:p>
    <w:p w14:paraId="2F57D3C9">
      <w:pPr>
        <w:pStyle w:val="25"/>
        <w:rPr>
          <w:rFonts w:ascii="Times New Roman" w:hAnsi="Times New Roman"/>
        </w:rPr>
      </w:pPr>
      <w:r>
        <w:rPr>
          <w:rFonts w:hint="eastAsia" w:ascii="Times New Roman" w:hAnsi="Times New Roman"/>
        </w:rPr>
        <w:t>区应急指挥部迅速汇集信息，向上级政府报告情况，包括事件等级、相应的应急响应建议，请求上级支援事项等，服从上级部门的指挥。</w:t>
      </w:r>
    </w:p>
    <w:p w14:paraId="7FDABD4D">
      <w:pPr>
        <w:pStyle w:val="22"/>
      </w:pPr>
      <w:bookmarkStart w:id="80" w:name="_Toc205835936"/>
      <w:r>
        <w:rPr>
          <w:rFonts w:hint="eastAsia"/>
        </w:rPr>
        <w:t>5</w:t>
      </w:r>
      <w:r>
        <w:t>.4</w:t>
      </w:r>
      <w:r>
        <w:rPr>
          <w:rFonts w:hint="eastAsia"/>
        </w:rPr>
        <w:t>应急措施</w:t>
      </w:r>
      <w:bookmarkEnd w:id="80"/>
    </w:p>
    <w:p w14:paraId="10978DCA">
      <w:pPr>
        <w:pStyle w:val="25"/>
        <w:rPr>
          <w:rFonts w:ascii="Times New Roman" w:hAnsi="Times New Roman"/>
        </w:rPr>
      </w:pPr>
      <w:r>
        <w:rPr>
          <w:rFonts w:hint="eastAsia" w:ascii="Times New Roman" w:hAnsi="Times New Roman"/>
        </w:rPr>
        <w:t>大同市生态环境局云冈分局和相关部门要对污染物进行有效处理，防止污染范围进一步扩大，造成二次污染及衍生污染。</w:t>
      </w:r>
    </w:p>
    <w:p w14:paraId="1518DD51">
      <w:pPr>
        <w:pStyle w:val="27"/>
        <w:rPr>
          <w:rFonts w:ascii="Times New Roman" w:hAnsi="Times New Roman"/>
        </w:rPr>
      </w:pPr>
      <w:bookmarkStart w:id="81" w:name="_Toc205835937"/>
      <w:r>
        <w:rPr>
          <w:rFonts w:hint="eastAsia" w:ascii="Times New Roman" w:hAnsi="Times New Roman"/>
        </w:rPr>
        <w:t>5</w:t>
      </w:r>
      <w:r>
        <w:rPr>
          <w:rFonts w:ascii="Times New Roman" w:hAnsi="Times New Roman"/>
        </w:rPr>
        <w:t>.4.1</w:t>
      </w:r>
      <w:r>
        <w:rPr>
          <w:rFonts w:hint="eastAsia" w:ascii="Times New Roman" w:hAnsi="Times New Roman"/>
        </w:rPr>
        <w:t>现场污染处置</w:t>
      </w:r>
      <w:bookmarkEnd w:id="81"/>
    </w:p>
    <w:p w14:paraId="5EB7D033">
      <w:pPr>
        <w:pStyle w:val="25"/>
        <w:rPr>
          <w:rFonts w:ascii="Times New Roman" w:hAnsi="Times New Roman"/>
        </w:rPr>
      </w:pPr>
      <w:r>
        <w:rPr>
          <w:rFonts w:hint="eastAsia" w:ascii="Times New Roman" w:hAnsi="Times New Roman"/>
        </w:rPr>
        <w:t>（</w:t>
      </w:r>
      <w:r>
        <w:rPr>
          <w:rFonts w:ascii="Times New Roman" w:hAnsi="Times New Roman"/>
        </w:rPr>
        <w:t>1）针对土壤环境污染事件可能造成的危害，对可能因排放</w:t>
      </w:r>
      <w:r>
        <w:rPr>
          <w:rFonts w:hint="eastAsia" w:ascii="Times New Roman" w:hAnsi="Times New Roman"/>
        </w:rPr>
        <w:t>污染物导致土壤环境污染事件发生的有关企事业单位实行停运、限产、停产等措施，封闭、隔离有关场所，中止可能导致危害扩大的行为和活动。</w:t>
      </w:r>
    </w:p>
    <w:p w14:paraId="3AC8D82E">
      <w:pPr>
        <w:pStyle w:val="25"/>
        <w:rPr>
          <w:rFonts w:ascii="Times New Roman" w:hAnsi="Times New Roman"/>
        </w:rPr>
      </w:pPr>
      <w:r>
        <w:rPr>
          <w:rFonts w:hint="eastAsia" w:ascii="Times New Roman" w:hAnsi="Times New Roman"/>
        </w:rPr>
        <w:t>（2）有毒有害物质泄漏或排放引发的突发土壤污染事件，事发单位应当立即启动本单位土壤环境污染事件应急响应，采取必要措施，第一时间采取堵漏、倒罐、关闭闸阀等措施减少或停止有毒有害物质泄漏或排放。</w:t>
      </w:r>
    </w:p>
    <w:p w14:paraId="6197DC5E">
      <w:pPr>
        <w:pStyle w:val="25"/>
        <w:rPr>
          <w:rFonts w:ascii="Times New Roman" w:hAnsi="Times New Roman"/>
        </w:rPr>
      </w:pPr>
      <w:r>
        <w:rPr>
          <w:rFonts w:hint="eastAsia" w:ascii="Times New Roman" w:hAnsi="Times New Roman"/>
        </w:rPr>
        <w:t>（</w:t>
      </w:r>
      <w:r>
        <w:rPr>
          <w:rFonts w:ascii="Times New Roman" w:hAnsi="Times New Roman"/>
        </w:rPr>
        <w:t>3</w:t>
      </w:r>
      <w:r>
        <w:rPr>
          <w:rFonts w:hint="eastAsia" w:ascii="Times New Roman" w:hAnsi="Times New Roman"/>
        </w:rPr>
        <w:t>）清除土壤表面污染物：对于倾倒或泄露至土壤表面的污染物，采用吸附、铲除等方式收集去除，同时去除表层污染土壤。</w:t>
      </w:r>
    </w:p>
    <w:p w14:paraId="527703DA">
      <w:pPr>
        <w:pStyle w:val="25"/>
        <w:rPr>
          <w:rFonts w:ascii="Times New Roman" w:hAnsi="Times New Roman"/>
        </w:rPr>
      </w:pPr>
      <w:r>
        <w:rPr>
          <w:rFonts w:hint="eastAsia" w:ascii="Times New Roman" w:hAnsi="Times New Roman"/>
        </w:rPr>
        <w:t>（</w:t>
      </w:r>
      <w:r>
        <w:rPr>
          <w:rFonts w:ascii="Times New Roman" w:hAnsi="Times New Roman"/>
        </w:rPr>
        <w:t>4）应急办公室指挥和派遣相关人员赶赴现场，按照本预案和处置规程，相互协同，密切配合，共同实施应对和紧急处置行动。同时，组织有关专家迅速对事</w:t>
      </w:r>
      <w:r>
        <w:rPr>
          <w:rFonts w:hint="eastAsia" w:ascii="Times New Roman" w:hAnsi="Times New Roman"/>
        </w:rPr>
        <w:t>件</w:t>
      </w:r>
      <w:r>
        <w:rPr>
          <w:rFonts w:ascii="Times New Roman" w:hAnsi="Times New Roman"/>
        </w:rPr>
        <w:t>信息进行分析、评估，提出应急处置方案和建议。根据事</w:t>
      </w:r>
      <w:r>
        <w:rPr>
          <w:rFonts w:hint="eastAsia" w:ascii="Times New Roman" w:hAnsi="Times New Roman"/>
        </w:rPr>
        <w:t>件</w:t>
      </w:r>
      <w:r>
        <w:rPr>
          <w:rFonts w:ascii="Times New Roman" w:hAnsi="Times New Roman"/>
        </w:rPr>
        <w:t>进展情</w:t>
      </w:r>
      <w:r>
        <w:rPr>
          <w:rFonts w:hint="eastAsia" w:ascii="Times New Roman" w:hAnsi="Times New Roman"/>
        </w:rPr>
        <w:t>况和形势做出科学预测。全力控制事件态势，严防二次污染和次生、衍生事件发生。</w:t>
      </w:r>
    </w:p>
    <w:p w14:paraId="2CDBCA45">
      <w:pPr>
        <w:pStyle w:val="25"/>
        <w:rPr>
          <w:rFonts w:ascii="Times New Roman" w:hAnsi="Times New Roman"/>
        </w:rPr>
      </w:pPr>
      <w:r>
        <w:rPr>
          <w:rFonts w:hint="eastAsia" w:ascii="Times New Roman" w:hAnsi="Times New Roman"/>
        </w:rPr>
        <w:t>（5）四级（一般）事件：污染面积＜</w:t>
      </w:r>
      <w:r>
        <w:rPr>
          <w:rFonts w:ascii="Times New Roman" w:hAnsi="Times New Roman"/>
        </w:rPr>
        <w:t>1000</w:t>
      </w:r>
      <w:r>
        <w:rPr>
          <w:rFonts w:hint="eastAsia" w:ascii="Times New Roman" w:hAnsi="Times New Roman" w:eastAsia="Segoe UI Symbol" w:cs="Segoe UI Symbol"/>
        </w:rPr>
        <w:t>㎡</w:t>
      </w:r>
      <w:r>
        <w:rPr>
          <w:rFonts w:hint="eastAsia" w:ascii="Times New Roman" w:hAnsi="Times New Roman" w:cs="仿宋_GB2312"/>
        </w:rPr>
        <w:t>且为低风险物质（如石油烃），由区生态环境分局指导企业采用原位化学氧化（过硫酸钠投加量</w:t>
      </w:r>
      <w:r>
        <w:rPr>
          <w:rFonts w:ascii="Times New Roman" w:hAnsi="Times New Roman"/>
        </w:rPr>
        <w:t>≥2%土重）</w:t>
      </w:r>
      <w:r>
        <w:rPr>
          <w:rFonts w:hint="eastAsia" w:ascii="Times New Roman" w:hAnsi="Times New Roman"/>
        </w:rPr>
        <w:t>。</w:t>
      </w:r>
    </w:p>
    <w:p w14:paraId="598FD704">
      <w:pPr>
        <w:pStyle w:val="27"/>
        <w:rPr>
          <w:rFonts w:ascii="Times New Roman" w:hAnsi="Times New Roman"/>
        </w:rPr>
      </w:pPr>
      <w:bookmarkStart w:id="82" w:name="_Toc205835938"/>
      <w:r>
        <w:rPr>
          <w:rFonts w:hint="eastAsia" w:ascii="Times New Roman" w:hAnsi="Times New Roman"/>
        </w:rPr>
        <w:t>5</w:t>
      </w:r>
      <w:r>
        <w:rPr>
          <w:rFonts w:ascii="Times New Roman" w:hAnsi="Times New Roman"/>
        </w:rPr>
        <w:t>.4.2</w:t>
      </w:r>
      <w:r>
        <w:rPr>
          <w:rFonts w:hint="eastAsia" w:ascii="Times New Roman" w:hAnsi="Times New Roman"/>
        </w:rPr>
        <w:t>转移安置人员</w:t>
      </w:r>
      <w:bookmarkEnd w:id="82"/>
    </w:p>
    <w:p w14:paraId="3DCEE567">
      <w:pPr>
        <w:pStyle w:val="25"/>
        <w:rPr>
          <w:rFonts w:ascii="Times New Roman" w:hAnsi="Times New Roman"/>
        </w:rPr>
      </w:pPr>
      <w:r>
        <w:rPr>
          <w:rFonts w:hint="eastAsia" w:ascii="Times New Roman" w:hAnsi="Times New Roman"/>
        </w:rPr>
        <w:t>（</w:t>
      </w:r>
      <w:r>
        <w:rPr>
          <w:rFonts w:ascii="Times New Roman" w:hAnsi="Times New Roman"/>
        </w:rPr>
        <w:t>1）事发地人民政府及相关部门根据突发环境事件影响及事发当地的气象、地理环境、人员密集度等，划定现场警戒、交通管制和重点防护区域，确定受威胁人员疏散的方式和途径，有组织、有秩序地及时疏散转移受威胁人员和可能受影响地区居民，确保生命安全。</w:t>
      </w:r>
    </w:p>
    <w:p w14:paraId="6B6D9284">
      <w:pPr>
        <w:pStyle w:val="25"/>
        <w:rPr>
          <w:rFonts w:ascii="Times New Roman" w:hAnsi="Times New Roman"/>
        </w:rPr>
      </w:pPr>
      <w:r>
        <w:rPr>
          <w:rFonts w:hint="eastAsia" w:ascii="Times New Roman" w:hAnsi="Times New Roman"/>
        </w:rPr>
        <w:t>（</w:t>
      </w:r>
      <w:r>
        <w:rPr>
          <w:rFonts w:ascii="Times New Roman" w:hAnsi="Times New Roman"/>
        </w:rPr>
        <w:t>2）妥善做好转移人员安置工作，保障受事件影响人员的基本生活需求与必要医疗条件。</w:t>
      </w:r>
    </w:p>
    <w:p w14:paraId="2CF48A7F">
      <w:pPr>
        <w:pStyle w:val="27"/>
        <w:rPr>
          <w:rFonts w:ascii="Times New Roman" w:hAnsi="Times New Roman"/>
        </w:rPr>
      </w:pPr>
      <w:bookmarkStart w:id="83" w:name="_Toc205835939"/>
      <w:r>
        <w:rPr>
          <w:rFonts w:hint="eastAsia" w:ascii="Times New Roman" w:hAnsi="Times New Roman"/>
        </w:rPr>
        <w:t>5</w:t>
      </w:r>
      <w:r>
        <w:rPr>
          <w:rFonts w:ascii="Times New Roman" w:hAnsi="Times New Roman"/>
        </w:rPr>
        <w:t>.4.3</w:t>
      </w:r>
      <w:r>
        <w:rPr>
          <w:rFonts w:hint="eastAsia" w:ascii="Times New Roman" w:hAnsi="Times New Roman"/>
        </w:rPr>
        <w:t>应急监测</w:t>
      </w:r>
      <w:bookmarkEnd w:id="83"/>
    </w:p>
    <w:p w14:paraId="353F9EDA">
      <w:pPr>
        <w:pStyle w:val="25"/>
        <w:rPr>
          <w:rFonts w:ascii="Times New Roman" w:hAnsi="Times New Roman"/>
        </w:rPr>
      </w:pPr>
      <w:r>
        <w:rPr>
          <w:rFonts w:hint="eastAsia" w:ascii="Times New Roman" w:hAnsi="Times New Roman"/>
        </w:rPr>
        <w:t>土壤环境污染事件应急监测工作由大同市生态环境局云冈区分局委托有资质单位负责，如果监测任务和难度超出其工作能力，可以报请市生态环境监测中心支持。加强对土壤环境重点监管单位的监测。</w:t>
      </w:r>
    </w:p>
    <w:p w14:paraId="1F5FEF39">
      <w:pPr>
        <w:pStyle w:val="25"/>
        <w:rPr>
          <w:rFonts w:ascii="Times New Roman" w:hAnsi="Times New Roman"/>
        </w:rPr>
      </w:pPr>
      <w:r>
        <w:rPr>
          <w:rFonts w:hint="eastAsia" w:ascii="Times New Roman" w:hAnsi="Times New Roman"/>
        </w:rPr>
        <w:t>土壤环境污染事件发生时，根据土壤环境污染事件污染物种类、性质以及自然、社会环境状况、地质和水文地质情况等，明确相应的应急监测方案及监测方法，确定监测的布点和频次，调配应急监测设备、车辆，及时准确监测，为土壤环境污染事件应急决策提供依据。</w:t>
      </w:r>
    </w:p>
    <w:p w14:paraId="368C1F28">
      <w:pPr>
        <w:pStyle w:val="25"/>
        <w:rPr>
          <w:rFonts w:ascii="Times New Roman" w:hAnsi="Times New Roman"/>
        </w:rPr>
      </w:pPr>
      <w:r>
        <w:rPr>
          <w:rFonts w:hint="eastAsia" w:ascii="Times New Roman" w:hAnsi="Times New Roman"/>
        </w:rPr>
        <w:t>现场应急救援指挥部负责组织协调土壤环境污染事件现场及周边环境的应急监测工作。环境监测队伍迅速赶赴事件现场，进行现场的信息采集和污染监测，确定事件污染程度和原因，提出应急措施。</w:t>
      </w:r>
    </w:p>
    <w:p w14:paraId="33D9BF32">
      <w:pPr>
        <w:pStyle w:val="27"/>
        <w:rPr>
          <w:rFonts w:ascii="Times New Roman" w:hAnsi="Times New Roman"/>
        </w:rPr>
      </w:pPr>
      <w:bookmarkStart w:id="84" w:name="_Toc205835940"/>
      <w:r>
        <w:rPr>
          <w:rFonts w:ascii="Times New Roman" w:hAnsi="Times New Roman"/>
        </w:rPr>
        <w:t>5.4.4</w:t>
      </w:r>
      <w:r>
        <w:rPr>
          <w:rFonts w:hint="eastAsia" w:ascii="Times New Roman" w:hAnsi="Times New Roman"/>
        </w:rPr>
        <w:t>信息发布和舆论引导</w:t>
      </w:r>
      <w:bookmarkEnd w:id="84"/>
    </w:p>
    <w:p w14:paraId="6C88CA4B">
      <w:pPr>
        <w:pStyle w:val="25"/>
        <w:rPr>
          <w:rFonts w:ascii="Times New Roman" w:hAnsi="Times New Roman"/>
        </w:rPr>
      </w:pPr>
      <w:r>
        <w:rPr>
          <w:rFonts w:hint="eastAsia" w:ascii="Times New Roman" w:hAnsi="Times New Roman"/>
        </w:rPr>
        <w:t>云冈区人民政府组织有关部门通过发新闻稿、接受记者采访、举行新闻发布会、组织专家解读等方式，借助电视、广播、报纸、互联网、移动网络等多种途径，主动、及时、客观向社会发布突发环境事件和应对工作信息，回应社会关切，澄清不实信息，正确引导社会舆论。</w:t>
      </w:r>
    </w:p>
    <w:p w14:paraId="771B2194">
      <w:pPr>
        <w:pStyle w:val="25"/>
        <w:rPr>
          <w:rFonts w:ascii="Times New Roman" w:hAnsi="Times New Roman"/>
        </w:rPr>
      </w:pPr>
      <w:r>
        <w:rPr>
          <w:rFonts w:hint="eastAsia" w:ascii="Times New Roman" w:hAnsi="Times New Roman"/>
        </w:rPr>
        <w:t>信息发布内容包括事件原因、污染程度、影响范围、应对措施、需要公众配合采取的措施、公众防范常识和事件调查处理进展情况等。</w:t>
      </w:r>
    </w:p>
    <w:p w14:paraId="378625BB">
      <w:pPr>
        <w:pStyle w:val="27"/>
        <w:rPr>
          <w:rFonts w:ascii="Times New Roman" w:hAnsi="Times New Roman"/>
        </w:rPr>
      </w:pPr>
      <w:bookmarkStart w:id="85" w:name="_Toc205835941"/>
      <w:r>
        <w:rPr>
          <w:rFonts w:hint="eastAsia" w:ascii="Times New Roman" w:hAnsi="Times New Roman"/>
        </w:rPr>
        <w:t>5</w:t>
      </w:r>
      <w:r>
        <w:rPr>
          <w:rFonts w:ascii="Times New Roman" w:hAnsi="Times New Roman"/>
        </w:rPr>
        <w:t>.4.5</w:t>
      </w:r>
      <w:r>
        <w:rPr>
          <w:rFonts w:hint="eastAsia" w:ascii="Times New Roman" w:hAnsi="Times New Roman"/>
        </w:rPr>
        <w:t>维护社会稳定</w:t>
      </w:r>
      <w:bookmarkEnd w:id="85"/>
    </w:p>
    <w:p w14:paraId="2AE6A9B2">
      <w:pPr>
        <w:pStyle w:val="25"/>
        <w:rPr>
          <w:rFonts w:ascii="Times New Roman" w:hAnsi="Times New Roman"/>
        </w:rPr>
      </w:pPr>
      <w:r>
        <w:rPr>
          <w:rFonts w:hint="eastAsia" w:ascii="Times New Roman" w:hAnsi="Times New Roman"/>
        </w:rPr>
        <w:t>云冈区人民政府及相关部门要加强受影响地区社会治安管理，严厉打击借机传播谣言制造社会恐慌、哄抢救灾物资等违法犯罪行为；加强转移人员安置点、救灾物资存放点等重点地区治安管控；做好受影响人员与涉事单位，与大同市、云冈区人民政府及有关部门矛盾纠纷化解和法律服务工作，防止出现群体性事件，维护社会稳定。</w:t>
      </w:r>
    </w:p>
    <w:p w14:paraId="5A5237EF">
      <w:pPr>
        <w:pStyle w:val="22"/>
      </w:pPr>
      <w:bookmarkStart w:id="86" w:name="_Toc205835942"/>
      <w:r>
        <w:rPr>
          <w:rFonts w:hint="eastAsia"/>
        </w:rPr>
        <w:t>5</w:t>
      </w:r>
      <w:r>
        <w:t>.5</w:t>
      </w:r>
      <w:r>
        <w:rPr>
          <w:rFonts w:hint="eastAsia"/>
        </w:rPr>
        <w:t>响应终止</w:t>
      </w:r>
      <w:bookmarkEnd w:id="86"/>
    </w:p>
    <w:p w14:paraId="5B7E602B">
      <w:pPr>
        <w:pStyle w:val="25"/>
        <w:rPr>
          <w:rFonts w:ascii="Times New Roman" w:hAnsi="Times New Roman"/>
        </w:rPr>
      </w:pPr>
      <w:r>
        <w:rPr>
          <w:rFonts w:hint="eastAsia" w:ascii="Times New Roman" w:hAnsi="Times New Roman"/>
        </w:rPr>
        <w:t>当事件条件已经排除、特征污染物质已降至事件前环境本底水平、所造成的危害基本消除时，经分析研判，符合终止条件时，由启动应急响应的人民政府终止应急响应。企业先期处置完成的，经区生态环境分局评估达标后，可申请终止响应。</w:t>
      </w:r>
    </w:p>
    <w:p w14:paraId="29A3EB5C">
      <w:pPr>
        <w:pStyle w:val="25"/>
        <w:rPr>
          <w:rFonts w:ascii="Times New Roman" w:hAnsi="Times New Roman"/>
        </w:rPr>
        <w:sectPr>
          <w:pgSz w:w="11906" w:h="16838"/>
          <w:pgMar w:top="1440" w:right="1701" w:bottom="1440" w:left="1701" w:header="851" w:footer="850" w:gutter="0"/>
          <w:cols w:space="425" w:num="1"/>
          <w:docGrid w:type="lines" w:linePitch="312" w:charSpace="0"/>
        </w:sectPr>
      </w:pPr>
    </w:p>
    <w:p w14:paraId="4DDFDF64">
      <w:pPr>
        <w:pStyle w:val="21"/>
        <w:spacing w:before="156" w:after="156"/>
        <w:rPr>
          <w:rFonts w:ascii="Times New Roman" w:hAnsi="Times New Roman"/>
          <w:color w:val="auto"/>
        </w:rPr>
      </w:pPr>
      <w:bookmarkStart w:id="87" w:name="_Toc205835943"/>
      <w:r>
        <w:rPr>
          <w:rFonts w:hint="eastAsia" w:ascii="Times New Roman" w:hAnsi="Times New Roman"/>
          <w:color w:val="auto"/>
        </w:rPr>
        <w:t>6后期处置</w:t>
      </w:r>
      <w:bookmarkEnd w:id="87"/>
    </w:p>
    <w:p w14:paraId="68B1778C">
      <w:pPr>
        <w:pStyle w:val="22"/>
      </w:pPr>
      <w:bookmarkStart w:id="88" w:name="_Toc196328896"/>
      <w:bookmarkStart w:id="89" w:name="_Toc205835944"/>
      <w:r>
        <w:rPr>
          <w:rFonts w:hint="eastAsia"/>
        </w:rPr>
        <w:t>6</w:t>
      </w:r>
      <w:r>
        <w:t xml:space="preserve">.1 </w:t>
      </w:r>
      <w:r>
        <w:rPr>
          <w:rFonts w:hint="eastAsia"/>
        </w:rPr>
        <w:t>损害评估</w:t>
      </w:r>
      <w:bookmarkEnd w:id="88"/>
      <w:bookmarkEnd w:id="89"/>
    </w:p>
    <w:p w14:paraId="1A9AD75F">
      <w:pPr>
        <w:pStyle w:val="25"/>
        <w:rPr>
          <w:rFonts w:ascii="Times New Roman" w:hAnsi="Times New Roman"/>
        </w:rPr>
      </w:pPr>
      <w:bookmarkStart w:id="90" w:name="5后期处置"/>
      <w:bookmarkEnd w:id="90"/>
      <w:bookmarkStart w:id="91" w:name="5.2善后处置"/>
      <w:bookmarkEnd w:id="91"/>
      <w:bookmarkStart w:id="92" w:name="5.3总结评估"/>
      <w:bookmarkEnd w:id="92"/>
      <w:bookmarkStart w:id="93" w:name="5.1调查和评估"/>
      <w:bookmarkEnd w:id="93"/>
      <w:r>
        <w:rPr>
          <w:rFonts w:hint="eastAsia" w:ascii="Times New Roman" w:hAnsi="Times New Roman"/>
        </w:rPr>
        <w:t>突发土壤污染环境事件应急响应终止后，突发土壤污染环境事件调查应按《突发环境事件调查处理办法》成立调查组，对突发土壤污染环境事件的原因、性质、责任调查处理。同时，启动响应的政府要开展突发土壤污染环境事件污染损害评估。</w:t>
      </w:r>
    </w:p>
    <w:p w14:paraId="531EEA47">
      <w:pPr>
        <w:pStyle w:val="25"/>
        <w:rPr>
          <w:rFonts w:ascii="Times New Roman" w:hAnsi="Times New Roman"/>
        </w:rPr>
      </w:pPr>
      <w:r>
        <w:rPr>
          <w:rFonts w:hint="eastAsia" w:ascii="Times New Roman" w:hAnsi="Times New Roman"/>
        </w:rPr>
        <w:t>损害评估按照原环境保护部《突发环境事件应急处置阶段污染损害评估工作程序规定》《突发环境事件应急处置阶段环境损害评估推荐方法》《环境损害鉴定评估推荐方法（第</w:t>
      </w:r>
      <w:r>
        <w:rPr>
          <w:rFonts w:ascii="Times New Roman" w:hAnsi="Times New Roman"/>
        </w:rPr>
        <w:t>II版）》等相关规定执行。</w:t>
      </w:r>
    </w:p>
    <w:p w14:paraId="4946CA96">
      <w:pPr>
        <w:pStyle w:val="25"/>
        <w:rPr>
          <w:rFonts w:ascii="Times New Roman" w:hAnsi="Times New Roman"/>
          <w:spacing w:val="-2"/>
        </w:rPr>
      </w:pPr>
      <w:r>
        <w:rPr>
          <w:rFonts w:hint="eastAsia" w:ascii="Times New Roman" w:hAnsi="Times New Roman"/>
        </w:rPr>
        <w:t>市生态环境局云冈分局应当依法向社会公开突发环境事件的调查结论、环境影响和损失的评估结果</w:t>
      </w:r>
      <w:r>
        <w:rPr>
          <w:rFonts w:hint="eastAsia" w:ascii="Times New Roman" w:hAnsi="Times New Roman"/>
          <w:spacing w:val="-2"/>
        </w:rPr>
        <w:t>等信息。涉密信息管理严格按照国家相应管理要求执行。</w:t>
      </w:r>
    </w:p>
    <w:p w14:paraId="1D741CBF">
      <w:pPr>
        <w:pStyle w:val="25"/>
        <w:rPr>
          <w:rFonts w:ascii="Times New Roman" w:hAnsi="Times New Roman"/>
        </w:rPr>
      </w:pPr>
      <w:r>
        <w:rPr>
          <w:rFonts w:hint="eastAsia" w:ascii="Times New Roman" w:hAnsi="Times New Roman"/>
        </w:rPr>
        <w:t>评估结论作为事件调查处理、损害赔偿、环境修复和生态恢复重建的依据。</w:t>
      </w:r>
    </w:p>
    <w:p w14:paraId="463742FB">
      <w:pPr>
        <w:pStyle w:val="22"/>
      </w:pPr>
      <w:bookmarkStart w:id="94" w:name="_Toc196328897"/>
      <w:bookmarkStart w:id="95" w:name="_Toc205835945"/>
      <w:r>
        <w:rPr>
          <w:rFonts w:hint="eastAsia"/>
        </w:rPr>
        <w:t>6</w:t>
      </w:r>
      <w:r>
        <w:t>.2</w:t>
      </w:r>
      <w:r>
        <w:rPr>
          <w:rFonts w:hint="eastAsia"/>
        </w:rPr>
        <w:t>事件调查</w:t>
      </w:r>
      <w:bookmarkEnd w:id="94"/>
      <w:bookmarkEnd w:id="95"/>
    </w:p>
    <w:p w14:paraId="7017E8FD">
      <w:pPr>
        <w:pStyle w:val="25"/>
        <w:rPr>
          <w:rFonts w:ascii="Times New Roman" w:hAnsi="Times New Roman"/>
        </w:rPr>
      </w:pPr>
      <w:r>
        <w:rPr>
          <w:rFonts w:hint="eastAsia" w:ascii="Times New Roman" w:hAnsi="Times New Roman"/>
        </w:rPr>
        <w:t>突发环境事件应急处置工作结束后，根据《突发环境事件调查处理办法》等有关规定，由生态环境主管部门牵头，可会会同公安、交通运输、水务、农业、卫生、安全监管、林业、地震等有关部门，同时邀请应急管理、环境监测、环境影响评价管理、环境监察等相关机构的有关人员，组织开展事件调查，查明事件原因和性质，提出整改防范措施和处理建议。</w:t>
      </w:r>
    </w:p>
    <w:p w14:paraId="1C2FD76E">
      <w:pPr>
        <w:pStyle w:val="25"/>
        <w:rPr>
          <w:rFonts w:ascii="Times New Roman" w:hAnsi="Times New Roman"/>
        </w:rPr>
      </w:pPr>
      <w:r>
        <w:rPr>
          <w:rFonts w:hint="eastAsia" w:ascii="Times New Roman" w:hAnsi="Times New Roman"/>
        </w:rPr>
        <w:t>生态环境部负责组织重大和特别重大突发环境事件的调查处理；省级环境保护主管部门负责组织较大突发环境事件的调查处理；事发地设区的市级环境保护主管部门视情况组织一般突发环境事件的调查处理。市生态环境局云冈区分局对上级的调查处理予以配合。</w:t>
      </w:r>
    </w:p>
    <w:p w14:paraId="54B911B2">
      <w:pPr>
        <w:pStyle w:val="22"/>
      </w:pPr>
      <w:bookmarkStart w:id="96" w:name="_Toc205835946"/>
      <w:bookmarkStart w:id="97" w:name="_Toc196328898"/>
      <w:r>
        <w:rPr>
          <w:rFonts w:hint="eastAsia"/>
        </w:rPr>
        <w:t>6</w:t>
      </w:r>
      <w:r>
        <w:t>.3</w:t>
      </w:r>
      <w:r>
        <w:rPr>
          <w:rFonts w:hint="eastAsia"/>
        </w:rPr>
        <w:t>善后处置</w:t>
      </w:r>
      <w:bookmarkEnd w:id="96"/>
      <w:bookmarkEnd w:id="97"/>
    </w:p>
    <w:p w14:paraId="2046735B">
      <w:pPr>
        <w:pStyle w:val="25"/>
        <w:rPr>
          <w:rFonts w:ascii="Times New Roman" w:hAnsi="Times New Roman"/>
        </w:rPr>
      </w:pPr>
      <w:r>
        <w:rPr>
          <w:rFonts w:hint="eastAsia" w:ascii="Times New Roman" w:hAnsi="Times New Roman"/>
        </w:rPr>
        <w:t>突发土壤污染环境事件紧急处置后，及时开展现场清理工作，根据突发土壤污染环境事件的特征采取适当的方法清除和收集现场残留物，防止二次污染。制定受污染土壤的生态修复措施，及时、持续地进行土壤修复，确保土壤各物质指标达到标准值。</w:t>
      </w:r>
      <w:r>
        <w:rPr>
          <w:rFonts w:ascii="Times New Roman" w:hAnsi="Times New Roman"/>
        </w:rPr>
        <w:t>按照“谁污染，谁治理”原则，造成土壤污染的单位或者个人应当承担治理与修复的主体</w:t>
      </w:r>
      <w:r>
        <w:rPr>
          <w:rFonts w:hint="eastAsia" w:ascii="Times New Roman" w:hAnsi="Times New Roman"/>
        </w:rPr>
        <w:t>责任。责任主体灭失或者责任主体不明确的，由区人民政府依法承担相关责任。土地使用权依法转让的，由土地使用权受让人或者双方约定的责任人承担相关责任。土地使用权终止的，由原土地使用权人对其使用该地块期间所造成的土壤污染承担相关责任。土壤污染治理与修复实行终身责任制。</w:t>
      </w:r>
    </w:p>
    <w:p w14:paraId="66B3B99E">
      <w:pPr>
        <w:pStyle w:val="25"/>
        <w:rPr>
          <w:rFonts w:ascii="Times New Roman" w:hAnsi="Times New Roman"/>
        </w:rPr>
        <w:sectPr>
          <w:pgSz w:w="11906" w:h="16838"/>
          <w:pgMar w:top="1440" w:right="1701" w:bottom="1440" w:left="1701" w:header="851" w:footer="850" w:gutter="0"/>
          <w:cols w:space="425" w:num="1"/>
          <w:docGrid w:type="lines" w:linePitch="312" w:charSpace="0"/>
        </w:sectPr>
      </w:pPr>
    </w:p>
    <w:p w14:paraId="28E911FA">
      <w:pPr>
        <w:pStyle w:val="21"/>
        <w:spacing w:before="156" w:after="156"/>
        <w:rPr>
          <w:rFonts w:ascii="Times New Roman" w:hAnsi="Times New Roman"/>
          <w:color w:val="auto"/>
        </w:rPr>
      </w:pPr>
      <w:bookmarkStart w:id="98" w:name="_Toc205835947"/>
      <w:bookmarkStart w:id="99" w:name="_Toc196328899"/>
      <w:r>
        <w:rPr>
          <w:rFonts w:hint="eastAsia" w:ascii="Times New Roman" w:hAnsi="Times New Roman"/>
          <w:color w:val="auto"/>
        </w:rPr>
        <w:t>7应急保障</w:t>
      </w:r>
      <w:bookmarkEnd w:id="98"/>
      <w:bookmarkEnd w:id="99"/>
    </w:p>
    <w:p w14:paraId="4478FA8C">
      <w:pPr>
        <w:pStyle w:val="22"/>
      </w:pPr>
      <w:bookmarkStart w:id="100" w:name="_Toc196328900"/>
      <w:bookmarkStart w:id="101" w:name="_Toc205835948"/>
      <w:r>
        <w:rPr>
          <w:rFonts w:hint="eastAsia"/>
        </w:rPr>
        <w:t>7</w:t>
      </w:r>
      <w:r>
        <w:t>.1</w:t>
      </w:r>
      <w:r>
        <w:rPr>
          <w:rFonts w:hint="eastAsia"/>
        </w:rPr>
        <w:t>队伍保障</w:t>
      </w:r>
      <w:bookmarkEnd w:id="100"/>
      <w:bookmarkEnd w:id="101"/>
    </w:p>
    <w:p w14:paraId="47492DB5">
      <w:pPr>
        <w:pStyle w:val="25"/>
        <w:rPr>
          <w:rFonts w:ascii="Times New Roman" w:hAnsi="Times New Roman"/>
        </w:rPr>
      </w:pPr>
      <w:r>
        <w:rPr>
          <w:rFonts w:hint="eastAsia" w:ascii="Times New Roman" w:hAnsi="Times New Roman"/>
        </w:rPr>
        <w:t>区应急指挥部办公室应依托环境应急监测队伍、消防队、企业应急专业队伍、社会志愿者队伍，通过组织专业知识培训、应急演练等方式，形成我区熟悉环境应急知识、充分掌握各类突发环境事件处置措施的综合环境事件应急队伍，确保环境事件发生时，能够迅速参与并完成应急监测、污染防控等现场处置工作。</w:t>
      </w:r>
    </w:p>
    <w:p w14:paraId="2121C868">
      <w:pPr>
        <w:pStyle w:val="25"/>
        <w:rPr>
          <w:rFonts w:ascii="Times New Roman" w:hAnsi="Times New Roman"/>
        </w:rPr>
      </w:pPr>
      <w:r>
        <w:rPr>
          <w:rFonts w:hint="eastAsia" w:ascii="Times New Roman" w:hAnsi="Times New Roman"/>
        </w:rPr>
        <w:t>大同市生态环境局云冈分局建立环境应急专家库，发挥专家组作用，为较大突发环境事件应急处置方案制定、污染损害评估和调查处理工作提供决策建议。</w:t>
      </w:r>
    </w:p>
    <w:p w14:paraId="37B7FE42">
      <w:pPr>
        <w:pStyle w:val="22"/>
      </w:pPr>
      <w:bookmarkStart w:id="102" w:name="_Toc205835949"/>
      <w:bookmarkStart w:id="103" w:name="_Toc196328901"/>
      <w:r>
        <w:rPr>
          <w:rFonts w:hint="eastAsia"/>
        </w:rPr>
        <w:t>7</w:t>
      </w:r>
      <w:r>
        <w:t>.2</w:t>
      </w:r>
      <w:r>
        <w:rPr>
          <w:rFonts w:hint="eastAsia"/>
        </w:rPr>
        <w:t>物资与资金保障</w:t>
      </w:r>
      <w:bookmarkEnd w:id="102"/>
      <w:bookmarkEnd w:id="103"/>
    </w:p>
    <w:p w14:paraId="53B740D5">
      <w:pPr>
        <w:pStyle w:val="25"/>
        <w:rPr>
          <w:rFonts w:ascii="Times New Roman" w:hAnsi="Times New Roman"/>
        </w:rPr>
      </w:pPr>
      <w:bookmarkStart w:id="104" w:name="_Toc196328902"/>
      <w:bookmarkStart w:id="105" w:name="_Toc205835950"/>
      <w:r>
        <w:rPr>
          <w:rFonts w:hint="eastAsia" w:ascii="Times New Roman" w:hAnsi="Times New Roman"/>
        </w:rPr>
        <w:t>云冈区人民政府及其有关部门要加强应急物资储备，制定环境应急物资储备计划，建立应急物资储备库，组织应急物资的监管、生产、储存、更新、补充、调拨和紧急配送等工作。鼓励支持社会化应急物资储备。市生态环境局云冈分局要加强对当地环境应急物资储备信息的动态管理。</w:t>
      </w:r>
    </w:p>
    <w:p w14:paraId="3011EB9F">
      <w:pPr>
        <w:pStyle w:val="25"/>
        <w:rPr>
          <w:rFonts w:ascii="Times New Roman" w:hAnsi="Times New Roman"/>
        </w:rPr>
      </w:pPr>
      <w:r>
        <w:rPr>
          <w:rFonts w:hint="eastAsia" w:ascii="Times New Roman" w:hAnsi="Times New Roman"/>
        </w:rPr>
        <w:t>突发环境事件应急处置所需经费首先由事件责任单位承担。区有关部门根据突发环境事件应急需要</w:t>
      </w:r>
      <w:r>
        <w:rPr>
          <w:rFonts w:ascii="Times New Roman" w:hAnsi="Times New Roman"/>
        </w:rPr>
        <w:t>，提出应急能力、装备建设和培训、演练等项目经费预算，报财政部门进行资金安排后执行。区财政局在年度经费预算中安排突发环境事件应急处置经费，确保遇到突发环境事件及时拨付到位，对突发环境事件应急处置工作提供资金保障并对突发环境事件财政应急保障资金的使用进行监管和评估</w:t>
      </w:r>
      <w:r>
        <w:rPr>
          <w:rFonts w:hint="eastAsia" w:ascii="Times New Roman" w:hAnsi="Times New Roman"/>
        </w:rPr>
        <w:t>。</w:t>
      </w:r>
    </w:p>
    <w:p w14:paraId="1EE92314">
      <w:pPr>
        <w:pStyle w:val="22"/>
      </w:pPr>
      <w:r>
        <w:rPr>
          <w:rFonts w:hint="eastAsia"/>
        </w:rPr>
        <w:t>7</w:t>
      </w:r>
      <w:r>
        <w:t>.3</w:t>
      </w:r>
      <w:r>
        <w:rPr>
          <w:rFonts w:hint="eastAsia"/>
        </w:rPr>
        <w:t>通信、交通与运输保障</w:t>
      </w:r>
      <w:bookmarkEnd w:id="104"/>
      <w:bookmarkEnd w:id="105"/>
    </w:p>
    <w:p w14:paraId="62665740">
      <w:pPr>
        <w:pStyle w:val="25"/>
        <w:rPr>
          <w:rFonts w:ascii="Times New Roman" w:hAnsi="Times New Roman"/>
        </w:rPr>
      </w:pPr>
      <w:r>
        <w:rPr>
          <w:rFonts w:hint="eastAsia" w:ascii="Times New Roman" w:hAnsi="Times New Roman"/>
        </w:rPr>
        <w:t>区政府要建立健全突发环境事件应急通信保障体系，确保应急期间通信联络和信息传递需要。</w:t>
      </w:r>
      <w:r>
        <w:rPr>
          <w:rFonts w:ascii="Times New Roman" w:hAnsi="Times New Roman"/>
        </w:rPr>
        <w:t>建立和完善环境应急指挥系统，及时更新应急指挥部成员单位负责人、联络人及联系方式等信息，</w:t>
      </w:r>
      <w:r>
        <w:rPr>
          <w:rFonts w:hint="eastAsia" w:ascii="Times New Roman" w:hAnsi="Times New Roman"/>
        </w:rPr>
        <w:t>并保持2</w:t>
      </w:r>
      <w:r>
        <w:rPr>
          <w:rFonts w:ascii="Times New Roman" w:hAnsi="Times New Roman"/>
        </w:rPr>
        <w:t>4小时</w:t>
      </w:r>
      <w:r>
        <w:rPr>
          <w:rFonts w:hint="eastAsia" w:ascii="Times New Roman" w:hAnsi="Times New Roman"/>
        </w:rPr>
        <w:t>通信畅通。</w:t>
      </w:r>
    </w:p>
    <w:p w14:paraId="150BA6C8">
      <w:pPr>
        <w:pStyle w:val="25"/>
        <w:rPr>
          <w:rFonts w:ascii="Times New Roman" w:hAnsi="Times New Roman"/>
        </w:rPr>
      </w:pPr>
      <w:r>
        <w:rPr>
          <w:rFonts w:hint="eastAsia" w:ascii="Times New Roman" w:hAnsi="Times New Roman"/>
        </w:rPr>
        <w:t>交通、铁路等部门健全公路、铁路紧急运输保障体系</w:t>
      </w:r>
      <w:r>
        <w:rPr>
          <w:rFonts w:ascii="Times New Roman" w:hAnsi="Times New Roman"/>
        </w:rPr>
        <w:t>，完成突发事件处置过程中人员及相关物资运输。公安部门加强应急交通管理，保障运送伤病员、应急救援人员、物资、装备、器材车辆优先通行。</w:t>
      </w:r>
    </w:p>
    <w:p w14:paraId="0F14566D">
      <w:pPr>
        <w:pStyle w:val="25"/>
        <w:rPr>
          <w:rFonts w:ascii="Times New Roman" w:hAnsi="Times New Roman"/>
        </w:rPr>
      </w:pPr>
      <w:r>
        <w:rPr>
          <w:rFonts w:hint="eastAsia" w:ascii="Times New Roman" w:hAnsi="Times New Roman"/>
        </w:rPr>
        <w:t>应急交通运输保障相关责任单位要全力以赴，确保应急工作所需的物资、器材和人员等按时到达指定位置。</w:t>
      </w:r>
    </w:p>
    <w:p w14:paraId="58074225">
      <w:pPr>
        <w:pStyle w:val="22"/>
      </w:pPr>
      <w:bookmarkStart w:id="106" w:name="_Toc196328903"/>
      <w:bookmarkStart w:id="107" w:name="_Toc205835951"/>
      <w:r>
        <w:rPr>
          <w:rFonts w:hint="eastAsia"/>
        </w:rPr>
        <w:t>7</w:t>
      </w:r>
      <w:r>
        <w:t>.4</w:t>
      </w:r>
      <w:r>
        <w:rPr>
          <w:rFonts w:hint="eastAsia"/>
        </w:rPr>
        <w:t>技术保障</w:t>
      </w:r>
      <w:bookmarkEnd w:id="106"/>
      <w:bookmarkEnd w:id="107"/>
    </w:p>
    <w:p w14:paraId="02A1B3C7">
      <w:pPr>
        <w:pStyle w:val="25"/>
        <w:rPr>
          <w:rFonts w:ascii="Times New Roman" w:hAnsi="Times New Roman"/>
        </w:rPr>
      </w:pPr>
      <w:r>
        <w:rPr>
          <w:rFonts w:hint="eastAsia" w:ascii="Times New Roman" w:hAnsi="Times New Roman"/>
        </w:rPr>
        <w:t>市生态环境局云冈分局要建立健全环境风险物质、应急物资、典型案例、应急预案等信息库，</w:t>
      </w:r>
      <w:r>
        <w:rPr>
          <w:rFonts w:hint="eastAsia" w:ascii="Times New Roman" w:hAnsi="Times New Roman" w:cs="仿宋"/>
        </w:rPr>
        <w:t>并实现信息共享。</w:t>
      </w:r>
    </w:p>
    <w:p w14:paraId="50F22382">
      <w:pPr>
        <w:pStyle w:val="25"/>
        <w:rPr>
          <w:rFonts w:ascii="Times New Roman" w:hAnsi="Times New Roman"/>
        </w:rPr>
      </w:pPr>
      <w:r>
        <w:rPr>
          <w:rFonts w:hint="eastAsia" w:ascii="Times New Roman" w:hAnsi="Times New Roman"/>
        </w:rPr>
        <w:t>区人民政府要支持突发环境事件应急处置和监测先进技术、装备的研发，建立科学有效的环境应急指挥技术平台，实现信息综合集成、分析处理、污染评估的智能化和数字化，确保决策的科学性。有关专业监测机构应当按照应急需要加强技术保障建设，确保监测数据信息完整可靠。</w:t>
      </w:r>
    </w:p>
    <w:p w14:paraId="255F6204">
      <w:pPr>
        <w:pStyle w:val="22"/>
      </w:pPr>
      <w:bookmarkStart w:id="108" w:name="_Toc196328905"/>
      <w:bookmarkStart w:id="109" w:name="_Toc205835952"/>
      <w:r>
        <w:rPr>
          <w:rFonts w:hint="eastAsia"/>
        </w:rPr>
        <w:t>7</w:t>
      </w:r>
      <w:r>
        <w:t>.5</w:t>
      </w:r>
      <w:r>
        <w:rPr>
          <w:rFonts w:hint="eastAsia"/>
        </w:rPr>
        <w:t>宣传、培训和演练</w:t>
      </w:r>
      <w:bookmarkEnd w:id="108"/>
      <w:bookmarkEnd w:id="109"/>
    </w:p>
    <w:p w14:paraId="06B0B971">
      <w:pPr>
        <w:pStyle w:val="25"/>
        <w:rPr>
          <w:rFonts w:ascii="Times New Roman" w:hAnsi="Times New Roman"/>
        </w:rPr>
      </w:pPr>
      <w:r>
        <w:rPr>
          <w:rFonts w:hint="eastAsia" w:ascii="Times New Roman" w:hAnsi="Times New Roman"/>
        </w:rPr>
        <w:t>定期对应急管理人员、执法人员和人民群众开展环境应急教育，普及突发环境事件预防、避险、自救、互救等常识，增强公众的防范意识提高防范能力。</w:t>
      </w:r>
    </w:p>
    <w:p w14:paraId="750E62C7">
      <w:pPr>
        <w:pStyle w:val="25"/>
        <w:rPr>
          <w:rFonts w:ascii="Times New Roman" w:hAnsi="Times New Roman"/>
        </w:rPr>
      </w:pPr>
      <w:r>
        <w:rPr>
          <w:rFonts w:hint="eastAsia" w:ascii="Times New Roman" w:hAnsi="Times New Roman"/>
        </w:rPr>
        <w:t>区政府有关部门和各类环境风险源单位制订落实环境应急救援及管理人员日常培训计划，</w:t>
      </w:r>
      <w:r>
        <w:rPr>
          <w:rFonts w:ascii="Times New Roman" w:hAnsi="Times New Roman"/>
        </w:rPr>
        <w:t>提高其专业技能及应急处置能力。开展对社会应急救援志愿者的招募、组织、培训，形成专业应急队伍、企业专兼职救援队伍和社会志愿者共同参与的应急救援体系</w:t>
      </w:r>
      <w:r>
        <w:rPr>
          <w:rFonts w:hint="eastAsia" w:ascii="Times New Roman" w:hAnsi="Times New Roman"/>
        </w:rPr>
        <w:t>。</w:t>
      </w:r>
    </w:p>
    <w:p w14:paraId="69551607">
      <w:pPr>
        <w:pStyle w:val="25"/>
        <w:rPr>
          <w:rFonts w:ascii="Times New Roman" w:hAnsi="Times New Roman"/>
        </w:rPr>
      </w:pPr>
      <w:r>
        <w:rPr>
          <w:rFonts w:hint="eastAsia" w:ascii="Times New Roman" w:hAnsi="Times New Roman"/>
        </w:rPr>
        <w:t>指挥部及各成员单位、区人民政府、重点环境风险源单位应结合实际，有计划、有重点地按照应急预案及相关专项预案，组织不同类型的突发环境事件应急演练，加强各部门间的协同应对能力，提高防范和处置突发环境事件的技能，增强实战能力。区突发环境事件应急指挥部办公室每年至少组织一次预案演练；企业事业单位应急预案每两年至少演练一次，土壤重点监管单位（如焦化、危废企业）每年至少开展一次专项演练。演练方案报生态环境分局备案，演练场景须覆盖“储罐泄漏</w:t>
      </w:r>
      <w:r>
        <w:rPr>
          <w:rFonts w:ascii="Times New Roman" w:hAnsi="Times New Roman"/>
        </w:rPr>
        <w:t>-土壤扩散-居民疏散”全链条，评估报告纳入企业环保信用评价。</w:t>
      </w:r>
    </w:p>
    <w:p w14:paraId="13CF916C">
      <w:pPr>
        <w:pStyle w:val="25"/>
        <w:rPr>
          <w:rFonts w:ascii="Times New Roman" w:hAnsi="Times New Roman"/>
        </w:rPr>
        <w:sectPr>
          <w:pgSz w:w="11906" w:h="16838"/>
          <w:pgMar w:top="1440" w:right="1701" w:bottom="1440" w:left="1701" w:header="851" w:footer="850" w:gutter="0"/>
          <w:cols w:space="425" w:num="1"/>
          <w:docGrid w:type="lines" w:linePitch="312" w:charSpace="0"/>
        </w:sectPr>
      </w:pPr>
    </w:p>
    <w:p w14:paraId="2AB9540F">
      <w:pPr>
        <w:pStyle w:val="21"/>
        <w:spacing w:before="156" w:after="156"/>
        <w:rPr>
          <w:rFonts w:ascii="Times New Roman" w:hAnsi="Times New Roman"/>
          <w:color w:val="auto"/>
        </w:rPr>
      </w:pPr>
      <w:bookmarkStart w:id="110" w:name="_Toc205835953"/>
      <w:r>
        <w:rPr>
          <w:rFonts w:hint="eastAsia" w:ascii="Times New Roman" w:hAnsi="Times New Roman"/>
          <w:color w:val="auto"/>
        </w:rPr>
        <w:t>8附则</w:t>
      </w:r>
      <w:bookmarkEnd w:id="110"/>
    </w:p>
    <w:p w14:paraId="628CAF94">
      <w:pPr>
        <w:pStyle w:val="22"/>
      </w:pPr>
      <w:bookmarkStart w:id="111" w:name="_Toc205835954"/>
      <w:r>
        <w:t>8.1预案管理与更新</w:t>
      </w:r>
      <w:bookmarkEnd w:id="111"/>
    </w:p>
    <w:p w14:paraId="67980CCD">
      <w:pPr>
        <w:pStyle w:val="25"/>
        <w:rPr>
          <w:rFonts w:ascii="Times New Roman" w:hAnsi="Times New Roman"/>
        </w:rPr>
      </w:pPr>
      <w:r>
        <w:rPr>
          <w:rFonts w:hint="eastAsia" w:ascii="Times New Roman" w:hAnsi="Times New Roman"/>
        </w:rPr>
        <w:t>本预案原则上三年修订一次。随着土壤环境污染事件应对工作相关法律法规的制定、修改和完善，部门职责或应急资源发生变化，或者应急过程中发现存在问题和出现新情况，由云冈区应急指挥部办公室定期对预案进行评估和修订。</w:t>
      </w:r>
    </w:p>
    <w:p w14:paraId="134416A6">
      <w:pPr>
        <w:pStyle w:val="25"/>
        <w:rPr>
          <w:rFonts w:ascii="Times New Roman" w:hAnsi="Times New Roman"/>
        </w:rPr>
      </w:pPr>
      <w:r>
        <w:rPr>
          <w:rFonts w:hint="eastAsia" w:ascii="Times New Roman" w:hAnsi="Times New Roman"/>
        </w:rPr>
        <w:t>云冈区应急指挥部办公室每年对应急指挥部成员单位名单及联系方式更新一次，成员单位名单及联系方式发生变更时，及时更新。</w:t>
      </w:r>
    </w:p>
    <w:p w14:paraId="7ACC0EA5">
      <w:pPr>
        <w:pStyle w:val="22"/>
      </w:pPr>
      <w:bookmarkStart w:id="112" w:name="_Toc205835955"/>
      <w:r>
        <w:t>8.2预案解释部门</w:t>
      </w:r>
      <w:bookmarkEnd w:id="112"/>
    </w:p>
    <w:p w14:paraId="41633BF4">
      <w:pPr>
        <w:pStyle w:val="25"/>
        <w:rPr>
          <w:rFonts w:ascii="Times New Roman" w:hAnsi="Times New Roman"/>
        </w:rPr>
      </w:pPr>
      <w:r>
        <w:rPr>
          <w:rFonts w:hint="eastAsia" w:ascii="Times New Roman" w:hAnsi="Times New Roman"/>
        </w:rPr>
        <w:t>本预案由大同市生态环境局云冈分局负责解释。</w:t>
      </w:r>
    </w:p>
    <w:p w14:paraId="41B388BD">
      <w:pPr>
        <w:pStyle w:val="22"/>
      </w:pPr>
      <w:bookmarkStart w:id="113" w:name="_Toc205835956"/>
      <w:r>
        <w:t>8.3预案实施时间</w:t>
      </w:r>
      <w:bookmarkEnd w:id="113"/>
    </w:p>
    <w:p w14:paraId="0C361258">
      <w:pPr>
        <w:pStyle w:val="25"/>
        <w:rPr>
          <w:rFonts w:ascii="Times New Roman" w:hAnsi="Times New Roman"/>
        </w:rPr>
        <w:sectPr>
          <w:pgSz w:w="11906" w:h="16838"/>
          <w:pgMar w:top="1440" w:right="1701" w:bottom="1440" w:left="1701" w:header="851" w:footer="850" w:gutter="0"/>
          <w:cols w:space="425" w:num="1"/>
          <w:docGrid w:type="lines" w:linePitch="312" w:charSpace="0"/>
        </w:sectPr>
      </w:pPr>
      <w:r>
        <w:rPr>
          <w:rFonts w:hint="eastAsia" w:ascii="Times New Roman" w:hAnsi="Times New Roman"/>
        </w:rPr>
        <w:t>本预案自印发之日起实施，有效期3年。</w:t>
      </w:r>
    </w:p>
    <w:p w14:paraId="0E159617">
      <w:pPr>
        <w:pStyle w:val="27"/>
        <w:rPr>
          <w:rFonts w:ascii="Times New Roman" w:hAnsi="Times New Roman"/>
        </w:rPr>
      </w:pPr>
      <w:bookmarkStart w:id="114" w:name="_Toc205835957"/>
      <w:bookmarkStart w:id="115" w:name="_Toc205823024"/>
      <w:bookmarkStart w:id="116" w:name="_Toc199265624"/>
      <w:r>
        <w:rPr>
          <w:rFonts w:hint="eastAsia" w:ascii="Times New Roman" w:hAnsi="Times New Roman"/>
        </w:rPr>
        <w:t>附件</w:t>
      </w:r>
      <w:r>
        <w:rPr>
          <w:rFonts w:ascii="Times New Roman" w:hAnsi="Times New Roman"/>
        </w:rPr>
        <w:t xml:space="preserve">1 </w:t>
      </w:r>
      <w:r>
        <w:rPr>
          <w:rFonts w:hint="eastAsia" w:ascii="Times New Roman" w:hAnsi="Times New Roman"/>
        </w:rPr>
        <w:t>云冈区土壤突发环境事件应急指挥部组成及职责表</w:t>
      </w:r>
      <w:bookmarkEnd w:id="114"/>
      <w:bookmarkEnd w:id="115"/>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1726"/>
        <w:gridCol w:w="11155"/>
      </w:tblGrid>
      <w:tr w14:paraId="1AD6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gridSpan w:val="2"/>
            <w:tcBorders>
              <w:top w:val="single" w:color="auto" w:sz="4" w:space="0"/>
              <w:left w:val="single" w:color="auto" w:sz="4" w:space="0"/>
              <w:bottom w:val="single" w:color="auto" w:sz="4" w:space="0"/>
              <w:right w:val="single" w:color="auto" w:sz="4" w:space="0"/>
            </w:tcBorders>
            <w:vAlign w:val="center"/>
          </w:tcPr>
          <w:p w14:paraId="7327FD76">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指挥部组成</w:t>
            </w:r>
          </w:p>
        </w:tc>
        <w:tc>
          <w:tcPr>
            <w:tcW w:w="3935" w:type="pct"/>
            <w:tcBorders>
              <w:top w:val="single" w:color="auto" w:sz="4" w:space="0"/>
              <w:left w:val="single" w:color="auto" w:sz="4" w:space="0"/>
              <w:bottom w:val="single" w:color="auto" w:sz="4" w:space="0"/>
              <w:right w:val="single" w:color="auto" w:sz="4" w:space="0"/>
            </w:tcBorders>
            <w:vAlign w:val="center"/>
          </w:tcPr>
          <w:p w14:paraId="485C49BD">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指挥部职责</w:t>
            </w:r>
          </w:p>
        </w:tc>
      </w:tr>
      <w:tr w14:paraId="4553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Borders>
              <w:top w:val="single" w:color="auto" w:sz="4" w:space="0"/>
              <w:left w:val="single" w:color="auto" w:sz="4" w:space="0"/>
              <w:bottom w:val="single" w:color="auto" w:sz="4" w:space="0"/>
              <w:right w:val="single" w:color="auto" w:sz="4" w:space="0"/>
            </w:tcBorders>
            <w:vAlign w:val="center"/>
          </w:tcPr>
          <w:p w14:paraId="65001434">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总指挥</w:t>
            </w:r>
          </w:p>
        </w:tc>
        <w:tc>
          <w:tcPr>
            <w:tcW w:w="609" w:type="pct"/>
            <w:tcBorders>
              <w:top w:val="single" w:color="auto" w:sz="4" w:space="0"/>
              <w:left w:val="single" w:color="auto" w:sz="4" w:space="0"/>
              <w:bottom w:val="single" w:color="auto" w:sz="4" w:space="0"/>
              <w:right w:val="single" w:color="auto" w:sz="4" w:space="0"/>
            </w:tcBorders>
            <w:vAlign w:val="center"/>
          </w:tcPr>
          <w:p w14:paraId="5FAEB8C6">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云冈区人民政府区长</w:t>
            </w:r>
          </w:p>
        </w:tc>
        <w:tc>
          <w:tcPr>
            <w:tcW w:w="3935" w:type="pct"/>
            <w:vMerge w:val="restart"/>
            <w:tcBorders>
              <w:top w:val="single" w:color="auto" w:sz="4" w:space="0"/>
              <w:left w:val="single" w:color="auto" w:sz="4" w:space="0"/>
              <w:bottom w:val="single" w:color="auto" w:sz="4" w:space="0"/>
              <w:right w:val="single" w:color="auto" w:sz="4" w:space="0"/>
            </w:tcBorders>
          </w:tcPr>
          <w:p w14:paraId="6FA6299B">
            <w:pPr>
              <w:spacing w:line="460" w:lineRule="exact"/>
              <w:rPr>
                <w:rFonts w:ascii="Times New Roman" w:hAnsi="Times New Roman" w:eastAsia="仿宋"/>
                <w:sz w:val="28"/>
                <w:szCs w:val="28"/>
              </w:rPr>
            </w:pPr>
            <w:r>
              <w:rPr>
                <w:rFonts w:hint="eastAsia" w:ascii="Times New Roman" w:hAnsi="Times New Roman" w:eastAsia="仿宋"/>
                <w:sz w:val="28"/>
                <w:szCs w:val="28"/>
              </w:rPr>
              <w:t xml:space="preserve">①负责全区Ⅳ级（一般）突发环境事件应对决策、指挥工作。贯彻落实上级及本级党委、政府关于处置土壤突发环境事件的工作的决策部署； </w:t>
            </w:r>
          </w:p>
          <w:p w14:paraId="68B5CF1D">
            <w:pPr>
              <w:spacing w:line="460" w:lineRule="exact"/>
              <w:rPr>
                <w:rFonts w:ascii="Times New Roman" w:hAnsi="Times New Roman" w:eastAsia="仿宋"/>
                <w:sz w:val="28"/>
                <w:szCs w:val="28"/>
              </w:rPr>
            </w:pPr>
            <w:r>
              <w:rPr>
                <w:rFonts w:hint="eastAsia" w:ascii="Times New Roman" w:hAnsi="Times New Roman" w:eastAsia="仿宋"/>
                <w:sz w:val="28"/>
                <w:szCs w:val="28"/>
              </w:rPr>
              <w:t>②组织指挥、指导协调成员单位和相关部门做好突发环境事件的防范和应急处置工作；研究确定预防突发环境事件重大决策；</w:t>
            </w:r>
          </w:p>
          <w:p w14:paraId="1DB45D78">
            <w:pPr>
              <w:spacing w:line="460" w:lineRule="exact"/>
              <w:rPr>
                <w:rFonts w:ascii="Times New Roman" w:hAnsi="Times New Roman" w:eastAsia="仿宋"/>
                <w:sz w:val="28"/>
                <w:szCs w:val="28"/>
              </w:rPr>
            </w:pPr>
            <w:r>
              <w:rPr>
                <w:rFonts w:hint="eastAsia" w:ascii="Times New Roman" w:hAnsi="Times New Roman" w:eastAsia="仿宋"/>
                <w:sz w:val="28"/>
                <w:szCs w:val="28"/>
              </w:rPr>
              <w:t>③审核批准发布突发环境事件预警信息和处置突发环境事件信息；</w:t>
            </w:r>
          </w:p>
          <w:p w14:paraId="1270EE3F">
            <w:pPr>
              <w:spacing w:line="460" w:lineRule="exact"/>
              <w:rPr>
                <w:rFonts w:ascii="Times New Roman" w:hAnsi="Times New Roman" w:eastAsia="仿宋"/>
                <w:sz w:val="28"/>
                <w:szCs w:val="28"/>
              </w:rPr>
            </w:pPr>
            <w:r>
              <w:rPr>
                <w:rFonts w:hint="eastAsia" w:ascii="Times New Roman" w:hAnsi="Times New Roman" w:eastAsia="仿宋"/>
                <w:sz w:val="28"/>
                <w:szCs w:val="28"/>
              </w:rPr>
              <w:t>④组织指挥一般突发环境事件应急处置工作；</w:t>
            </w:r>
          </w:p>
          <w:p w14:paraId="0FBED39D">
            <w:pPr>
              <w:spacing w:line="460" w:lineRule="exact"/>
              <w:rPr>
                <w:rFonts w:ascii="Times New Roman" w:hAnsi="Times New Roman" w:eastAsia="仿宋"/>
                <w:sz w:val="28"/>
                <w:szCs w:val="28"/>
              </w:rPr>
            </w:pPr>
            <w:r>
              <w:rPr>
                <w:rFonts w:hint="eastAsia" w:ascii="Times New Roman" w:hAnsi="Times New Roman" w:eastAsia="仿宋"/>
                <w:sz w:val="28"/>
                <w:szCs w:val="28"/>
              </w:rPr>
              <w:t>⑤指导协调一般突发环境事件调查评估和善后处置工作；</w:t>
            </w:r>
          </w:p>
          <w:p w14:paraId="1AA4DC44">
            <w:pPr>
              <w:spacing w:line="460" w:lineRule="exact"/>
              <w:rPr>
                <w:rFonts w:ascii="Times New Roman" w:hAnsi="Times New Roman" w:eastAsia="仿宋"/>
                <w:sz w:val="28"/>
                <w:szCs w:val="28"/>
              </w:rPr>
            </w:pPr>
            <w:r>
              <w:rPr>
                <w:rFonts w:hint="eastAsia" w:ascii="Times New Roman" w:hAnsi="Times New Roman" w:eastAsia="仿宋"/>
                <w:sz w:val="28"/>
                <w:szCs w:val="28"/>
              </w:rPr>
              <w:t>⑥落实上级应急救援总指挥部交办的突发环境事件应急处置的其他事项。</w:t>
            </w:r>
          </w:p>
          <w:p w14:paraId="1C28F339">
            <w:pPr>
              <w:spacing w:line="460" w:lineRule="exact"/>
              <w:rPr>
                <w:rFonts w:ascii="Times New Roman" w:hAnsi="Times New Roman" w:eastAsia="仿宋"/>
                <w:sz w:val="28"/>
                <w:szCs w:val="28"/>
              </w:rPr>
            </w:pPr>
            <w:r>
              <w:rPr>
                <w:rFonts w:hint="eastAsia" w:ascii="Times New Roman" w:hAnsi="Times New Roman" w:eastAsia="仿宋"/>
                <w:sz w:val="28"/>
                <w:szCs w:val="28"/>
              </w:rPr>
              <w:t>⑦及时向上级人民政府报告突发环境事件相关情况，配合上级部门布置较大及以上突发环境事件。</w:t>
            </w:r>
          </w:p>
        </w:tc>
      </w:tr>
      <w:tr w14:paraId="1CB4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Borders>
              <w:top w:val="single" w:color="auto" w:sz="4" w:space="0"/>
              <w:left w:val="single" w:color="auto" w:sz="4" w:space="0"/>
              <w:bottom w:val="single" w:color="auto" w:sz="4" w:space="0"/>
              <w:right w:val="single" w:color="auto" w:sz="4" w:space="0"/>
            </w:tcBorders>
            <w:vAlign w:val="center"/>
          </w:tcPr>
          <w:p w14:paraId="24A97FFE">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副总指挥</w:t>
            </w:r>
          </w:p>
        </w:tc>
        <w:tc>
          <w:tcPr>
            <w:tcW w:w="609" w:type="pct"/>
            <w:tcBorders>
              <w:top w:val="single" w:color="auto" w:sz="4" w:space="0"/>
              <w:left w:val="single" w:color="auto" w:sz="4" w:space="0"/>
              <w:bottom w:val="single" w:color="auto" w:sz="4" w:space="0"/>
              <w:right w:val="single" w:color="auto" w:sz="4" w:space="0"/>
            </w:tcBorders>
            <w:vAlign w:val="center"/>
          </w:tcPr>
          <w:p w14:paraId="7D8402F5">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分管应急工作的副区长</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AB76F66">
            <w:pPr>
              <w:widowControl/>
              <w:spacing w:line="460" w:lineRule="exact"/>
              <w:jc w:val="left"/>
              <w:rPr>
                <w:rFonts w:ascii="Times New Roman" w:hAnsi="Times New Roman" w:eastAsia="仿宋"/>
                <w:sz w:val="28"/>
                <w:szCs w:val="28"/>
              </w:rPr>
            </w:pPr>
          </w:p>
        </w:tc>
      </w:tr>
      <w:tr w14:paraId="5EDB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Borders>
              <w:top w:val="single" w:color="auto" w:sz="4" w:space="0"/>
              <w:left w:val="single" w:color="auto" w:sz="4" w:space="0"/>
              <w:bottom w:val="single" w:color="auto" w:sz="4" w:space="0"/>
              <w:right w:val="single" w:color="auto" w:sz="4" w:space="0"/>
            </w:tcBorders>
            <w:vAlign w:val="center"/>
          </w:tcPr>
          <w:p w14:paraId="12102235">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指挥部办公室</w:t>
            </w:r>
          </w:p>
        </w:tc>
        <w:tc>
          <w:tcPr>
            <w:tcW w:w="609" w:type="pct"/>
            <w:tcBorders>
              <w:top w:val="single" w:color="auto" w:sz="4" w:space="0"/>
              <w:left w:val="single" w:color="auto" w:sz="4" w:space="0"/>
              <w:bottom w:val="single" w:color="auto" w:sz="4" w:space="0"/>
              <w:right w:val="single" w:color="auto" w:sz="4" w:space="0"/>
            </w:tcBorders>
            <w:vAlign w:val="center"/>
          </w:tcPr>
          <w:p w14:paraId="1B800421">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设在大同市生态环境局云冈分局，大同市生态环境局云冈分局主要负责人担任办公室主任。</w:t>
            </w:r>
          </w:p>
        </w:tc>
        <w:tc>
          <w:tcPr>
            <w:tcW w:w="3935" w:type="pct"/>
            <w:tcBorders>
              <w:top w:val="single" w:color="auto" w:sz="4" w:space="0"/>
              <w:left w:val="single" w:color="auto" w:sz="4" w:space="0"/>
              <w:bottom w:val="single" w:color="auto" w:sz="4" w:space="0"/>
              <w:right w:val="single" w:color="auto" w:sz="4" w:space="0"/>
            </w:tcBorders>
          </w:tcPr>
          <w:p w14:paraId="47FBDCCB">
            <w:pPr>
              <w:spacing w:line="460" w:lineRule="exact"/>
              <w:rPr>
                <w:rFonts w:ascii="Times New Roman" w:hAnsi="Times New Roman" w:eastAsia="仿宋"/>
                <w:sz w:val="28"/>
                <w:szCs w:val="28"/>
              </w:rPr>
            </w:pPr>
            <w:r>
              <w:rPr>
                <w:rFonts w:hint="eastAsia" w:ascii="Times New Roman" w:hAnsi="Times New Roman" w:eastAsia="仿宋"/>
                <w:sz w:val="28"/>
                <w:szCs w:val="28"/>
              </w:rPr>
              <w:t>①承担突发环境事件应急指挥部日常工作，制定、修订重大突发环境事件专项应急预案；</w:t>
            </w:r>
          </w:p>
          <w:p w14:paraId="63DC2A18">
            <w:pPr>
              <w:spacing w:line="460" w:lineRule="exact"/>
              <w:rPr>
                <w:rFonts w:ascii="Times New Roman" w:hAnsi="Times New Roman" w:eastAsia="仿宋"/>
                <w:sz w:val="28"/>
                <w:szCs w:val="28"/>
              </w:rPr>
            </w:pPr>
            <w:r>
              <w:rPr>
                <w:rFonts w:hint="eastAsia" w:ascii="Times New Roman" w:hAnsi="Times New Roman" w:eastAsia="仿宋"/>
                <w:sz w:val="28"/>
                <w:szCs w:val="28"/>
              </w:rPr>
              <w:t>②组织土壤生态环境污染防范和隐患排查治理工作；</w:t>
            </w:r>
          </w:p>
          <w:p w14:paraId="71BB9757">
            <w:pPr>
              <w:spacing w:line="460" w:lineRule="exact"/>
              <w:rPr>
                <w:rFonts w:ascii="Times New Roman" w:hAnsi="Times New Roman" w:eastAsia="仿宋"/>
                <w:sz w:val="28"/>
                <w:szCs w:val="28"/>
              </w:rPr>
            </w:pPr>
            <w:r>
              <w:rPr>
                <w:rFonts w:hint="eastAsia" w:ascii="Times New Roman" w:hAnsi="Times New Roman" w:eastAsia="仿宋"/>
                <w:sz w:val="28"/>
                <w:szCs w:val="28"/>
              </w:rPr>
              <w:t>③开展桌面推演、实兵演练等应对突发环境事件专项训练；</w:t>
            </w:r>
          </w:p>
          <w:p w14:paraId="4692BC56">
            <w:pPr>
              <w:spacing w:line="460" w:lineRule="exact"/>
              <w:rPr>
                <w:rFonts w:ascii="Times New Roman" w:hAnsi="Times New Roman" w:eastAsia="仿宋"/>
                <w:sz w:val="28"/>
                <w:szCs w:val="28"/>
              </w:rPr>
            </w:pPr>
            <w:r>
              <w:rPr>
                <w:rFonts w:hint="eastAsia" w:ascii="Times New Roman" w:hAnsi="Times New Roman" w:eastAsia="仿宋"/>
                <w:sz w:val="28"/>
                <w:szCs w:val="28"/>
              </w:rPr>
              <w:t>④协调各方面力量参加突发环境事件救援行动；</w:t>
            </w:r>
          </w:p>
          <w:p w14:paraId="561C2D36">
            <w:pPr>
              <w:spacing w:line="460" w:lineRule="exact"/>
              <w:rPr>
                <w:rFonts w:ascii="Times New Roman" w:hAnsi="Times New Roman" w:eastAsia="仿宋"/>
                <w:sz w:val="28"/>
                <w:szCs w:val="28"/>
              </w:rPr>
            </w:pPr>
            <w:r>
              <w:rPr>
                <w:rFonts w:hint="eastAsia" w:ascii="Times New Roman" w:hAnsi="Times New Roman" w:eastAsia="仿宋"/>
                <w:sz w:val="28"/>
                <w:szCs w:val="28"/>
              </w:rPr>
              <w:t>⑤协调组织突发环境事件调查评估和善后处置工作，报告和发布突发环境事件信息；</w:t>
            </w:r>
          </w:p>
          <w:p w14:paraId="4A668544">
            <w:pPr>
              <w:spacing w:line="460" w:lineRule="exact"/>
              <w:rPr>
                <w:rFonts w:ascii="Times New Roman" w:hAnsi="Times New Roman" w:eastAsia="仿宋"/>
                <w:sz w:val="28"/>
                <w:szCs w:val="28"/>
              </w:rPr>
            </w:pPr>
            <w:r>
              <w:rPr>
                <w:rFonts w:hint="eastAsia" w:ascii="Times New Roman" w:hAnsi="Times New Roman" w:eastAsia="仿宋"/>
                <w:sz w:val="28"/>
                <w:szCs w:val="28"/>
              </w:rPr>
              <w:t>⑥指导街道乡镇做好突发环境事件应对等工作。</w:t>
            </w:r>
          </w:p>
        </w:tc>
      </w:tr>
    </w:tbl>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9"/>
        <w:gridCol w:w="11155"/>
      </w:tblGrid>
      <w:tr w14:paraId="044D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4DDDBFF4">
            <w:pPr>
              <w:spacing w:line="460" w:lineRule="exact"/>
              <w:jc w:val="center"/>
              <w:rPr>
                <w:rFonts w:ascii="Times New Roman" w:hAnsi="Times New Roman" w:eastAsia="仿宋"/>
                <w:b/>
                <w:sz w:val="28"/>
                <w:szCs w:val="28"/>
              </w:rPr>
            </w:pPr>
            <w:r>
              <w:rPr>
                <w:rFonts w:hint="eastAsia" w:ascii="Times New Roman" w:hAnsi="Times New Roman" w:eastAsia="仿宋"/>
                <w:b/>
                <w:sz w:val="28"/>
                <w:szCs w:val="28"/>
              </w:rPr>
              <w:t>成员单位</w:t>
            </w:r>
          </w:p>
        </w:tc>
        <w:tc>
          <w:tcPr>
            <w:tcW w:w="3935" w:type="pct"/>
            <w:vAlign w:val="center"/>
          </w:tcPr>
          <w:p w14:paraId="2FBF9BDF">
            <w:pPr>
              <w:spacing w:line="460" w:lineRule="exact"/>
              <w:jc w:val="center"/>
              <w:rPr>
                <w:rFonts w:ascii="Times New Roman" w:hAnsi="Times New Roman" w:eastAsia="仿宋"/>
                <w:b/>
                <w:sz w:val="28"/>
                <w:szCs w:val="28"/>
              </w:rPr>
            </w:pPr>
            <w:r>
              <w:rPr>
                <w:rFonts w:hint="eastAsia" w:ascii="Times New Roman" w:hAnsi="Times New Roman" w:eastAsia="仿宋"/>
                <w:b/>
                <w:sz w:val="28"/>
                <w:szCs w:val="28"/>
              </w:rPr>
              <w:t>主要职责</w:t>
            </w:r>
          </w:p>
        </w:tc>
      </w:tr>
      <w:tr w14:paraId="3E5C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42BB49C8">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生态环境局云冈分局</w:t>
            </w:r>
          </w:p>
        </w:tc>
        <w:tc>
          <w:tcPr>
            <w:tcW w:w="3935" w:type="pct"/>
          </w:tcPr>
          <w:p w14:paraId="66EAEDAC">
            <w:pPr>
              <w:spacing w:line="460" w:lineRule="exact"/>
              <w:rPr>
                <w:rFonts w:ascii="Times New Roman" w:hAnsi="Times New Roman" w:eastAsia="仿宋"/>
                <w:sz w:val="28"/>
                <w:szCs w:val="28"/>
              </w:rPr>
            </w:pPr>
            <w:r>
              <w:rPr>
                <w:rFonts w:hint="eastAsia" w:ascii="Times New Roman" w:hAnsi="Times New Roman" w:eastAsia="仿宋"/>
                <w:sz w:val="28"/>
                <w:szCs w:val="28"/>
              </w:rPr>
              <w:t>承担应急指挥部办公室职责，负责全区土壤环境应急日常监督管理工作，配合上级生态环境部门进行较大以上土壤环境污染事件调查处理，组织一般突发环境事件调查处理工作，指导和督促事发地人民政府开展应急处置、应急监测、损害评估、环境修复等工作。</w:t>
            </w:r>
          </w:p>
        </w:tc>
      </w:tr>
      <w:tr w14:paraId="4751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39436F03">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区应急管理局</w:t>
            </w:r>
          </w:p>
        </w:tc>
        <w:tc>
          <w:tcPr>
            <w:tcW w:w="3935" w:type="pct"/>
          </w:tcPr>
          <w:p w14:paraId="363D1F91">
            <w:pPr>
              <w:spacing w:line="460" w:lineRule="exact"/>
              <w:rPr>
                <w:rFonts w:ascii="Times New Roman" w:hAnsi="Times New Roman" w:eastAsia="仿宋"/>
                <w:sz w:val="28"/>
                <w:szCs w:val="28"/>
              </w:rPr>
            </w:pPr>
            <w:r>
              <w:rPr>
                <w:rFonts w:hint="eastAsia" w:ascii="Times New Roman" w:hAnsi="Times New Roman" w:eastAsia="仿宋"/>
                <w:sz w:val="28"/>
                <w:szCs w:val="28"/>
              </w:rPr>
              <w:t>负责监督检查与突发环境事件有关的安全生产工作，依法监督相关企业事业单位落实各项预防措施，加强危险化学品安全监督管理，组织协调危险化学品生产、贮运泄漏等环境污染事件的应急处置工作。负责储备、管理和调配救援物资。</w:t>
            </w:r>
          </w:p>
        </w:tc>
      </w:tr>
      <w:tr w14:paraId="336F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1A39923F">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区发改科技局</w:t>
            </w:r>
          </w:p>
        </w:tc>
        <w:tc>
          <w:tcPr>
            <w:tcW w:w="3935" w:type="pct"/>
          </w:tcPr>
          <w:p w14:paraId="2122880C">
            <w:pPr>
              <w:spacing w:line="460" w:lineRule="exact"/>
              <w:rPr>
                <w:rFonts w:ascii="Times New Roman" w:hAnsi="Times New Roman" w:eastAsia="仿宋"/>
                <w:sz w:val="28"/>
                <w:szCs w:val="28"/>
              </w:rPr>
            </w:pPr>
            <w:r>
              <w:rPr>
                <w:rFonts w:hint="eastAsia" w:ascii="Times New Roman" w:hAnsi="Times New Roman" w:eastAsia="仿宋"/>
                <w:sz w:val="28"/>
                <w:szCs w:val="28"/>
              </w:rPr>
              <w:t>负责全区应急储备物资管理，协调落实所属救灾物资储备动用计划和指令。负责突发环境事件应急处置的物质保障工作，会同有关部门统筹规划全区应急物质储备；协调环境应急有关项目建设；协助相关部门采取必要的紧急措施，包括在保证企业安全的前提下临时停产或部分停产等，以减少或停止污染物排放；协调电力、电信运营企业做好精益电力、通信等相关保障工作。</w:t>
            </w:r>
          </w:p>
        </w:tc>
      </w:tr>
      <w:tr w14:paraId="6D7F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1D3BA226">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区工信局</w:t>
            </w:r>
          </w:p>
        </w:tc>
        <w:tc>
          <w:tcPr>
            <w:tcW w:w="3935" w:type="pct"/>
          </w:tcPr>
          <w:p w14:paraId="027B62C9">
            <w:pPr>
              <w:spacing w:line="460" w:lineRule="exact"/>
              <w:rPr>
                <w:rFonts w:ascii="Times New Roman" w:hAnsi="Times New Roman" w:eastAsia="仿宋"/>
                <w:sz w:val="28"/>
                <w:szCs w:val="28"/>
              </w:rPr>
            </w:pPr>
            <w:r>
              <w:rPr>
                <w:rFonts w:hint="eastAsia" w:ascii="Times New Roman" w:hAnsi="Times New Roman" w:eastAsia="仿宋"/>
                <w:sz w:val="28"/>
                <w:szCs w:val="28"/>
              </w:rPr>
              <w:t>组织紧急状态下重要物资生产。</w:t>
            </w:r>
          </w:p>
        </w:tc>
      </w:tr>
      <w:tr w14:paraId="3F35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2A776D0A">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区委宣传部</w:t>
            </w:r>
          </w:p>
        </w:tc>
        <w:tc>
          <w:tcPr>
            <w:tcW w:w="3935" w:type="pct"/>
          </w:tcPr>
          <w:p w14:paraId="321D4352">
            <w:pPr>
              <w:spacing w:line="460" w:lineRule="exact"/>
              <w:rPr>
                <w:rFonts w:ascii="Times New Roman" w:hAnsi="Times New Roman" w:eastAsia="仿宋"/>
                <w:sz w:val="28"/>
                <w:szCs w:val="28"/>
              </w:rPr>
            </w:pPr>
            <w:r>
              <w:rPr>
                <w:rFonts w:hint="eastAsia" w:ascii="Times New Roman" w:hAnsi="Times New Roman" w:eastAsia="仿宋"/>
                <w:sz w:val="28"/>
                <w:szCs w:val="28"/>
              </w:rPr>
              <w:t>协助指挥部开展应急信息新闻发布，做好媒体记者的组织、管理和引导工作。负责组织各种新闻媒体及时、准确、客观、全面地报道事件救援情况，正面引导新闻媒体舆论导向。</w:t>
            </w:r>
          </w:p>
        </w:tc>
      </w:tr>
      <w:tr w14:paraId="5FBA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236EB2CE">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市公安局云冈分局</w:t>
            </w:r>
          </w:p>
        </w:tc>
        <w:tc>
          <w:tcPr>
            <w:tcW w:w="3935" w:type="pct"/>
          </w:tcPr>
          <w:p w14:paraId="22829D6C">
            <w:pPr>
              <w:spacing w:line="460" w:lineRule="exact"/>
              <w:rPr>
                <w:rFonts w:ascii="Times New Roman" w:hAnsi="Times New Roman" w:eastAsia="仿宋"/>
                <w:sz w:val="28"/>
                <w:szCs w:val="28"/>
              </w:rPr>
            </w:pPr>
            <w:r>
              <w:rPr>
                <w:rFonts w:hint="eastAsia" w:ascii="Times New Roman" w:hAnsi="Times New Roman" w:eastAsia="仿宋"/>
                <w:sz w:val="28"/>
                <w:szCs w:val="28"/>
              </w:rPr>
              <w:t>负责土壤环境污染事件现场安全警戒、封闭隔离等工作；组织群众疏散和撤离</w:t>
            </w:r>
          </w:p>
        </w:tc>
      </w:tr>
      <w:tr w14:paraId="677C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1C0999D9">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区财政局</w:t>
            </w:r>
          </w:p>
        </w:tc>
        <w:tc>
          <w:tcPr>
            <w:tcW w:w="3935" w:type="pct"/>
          </w:tcPr>
          <w:p w14:paraId="5ACD2626">
            <w:pPr>
              <w:spacing w:line="460" w:lineRule="exact"/>
              <w:rPr>
                <w:rFonts w:ascii="Times New Roman" w:hAnsi="Times New Roman" w:eastAsia="仿宋"/>
                <w:sz w:val="28"/>
                <w:szCs w:val="28"/>
              </w:rPr>
            </w:pPr>
            <w:r>
              <w:rPr>
                <w:rFonts w:hint="eastAsia" w:ascii="Times New Roman" w:hAnsi="Times New Roman" w:eastAsia="仿宋"/>
                <w:sz w:val="28"/>
                <w:szCs w:val="28"/>
              </w:rPr>
              <w:t>保障区突发环境事件应急能力建设、环境应急设备购置及环境应急救援等经费，做好经费使用监督检查工作。</w:t>
            </w:r>
          </w:p>
        </w:tc>
      </w:tr>
      <w:tr w14:paraId="1400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29DEDE11">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区水务局</w:t>
            </w:r>
          </w:p>
        </w:tc>
        <w:tc>
          <w:tcPr>
            <w:tcW w:w="3935" w:type="pct"/>
          </w:tcPr>
          <w:p w14:paraId="590A9D5F">
            <w:pPr>
              <w:spacing w:line="460" w:lineRule="exact"/>
              <w:rPr>
                <w:rFonts w:ascii="Times New Roman" w:hAnsi="Times New Roman" w:eastAsia="仿宋"/>
                <w:sz w:val="28"/>
                <w:szCs w:val="28"/>
              </w:rPr>
            </w:pPr>
            <w:r>
              <w:rPr>
                <w:rFonts w:hint="eastAsia" w:ascii="Times New Roman" w:hAnsi="Times New Roman" w:eastAsia="仿宋"/>
                <w:sz w:val="28"/>
                <w:szCs w:val="28"/>
              </w:rPr>
              <w:t>配合生态环境部门开展涉及地表水和生活饮用水源的土壤环境污染事件的应急处置工作。</w:t>
            </w:r>
          </w:p>
        </w:tc>
      </w:tr>
      <w:tr w14:paraId="5938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4118EB69">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区农业农村局</w:t>
            </w:r>
          </w:p>
        </w:tc>
        <w:tc>
          <w:tcPr>
            <w:tcW w:w="3935" w:type="pct"/>
          </w:tcPr>
          <w:p w14:paraId="1AB253FC">
            <w:pPr>
              <w:spacing w:line="460" w:lineRule="exact"/>
              <w:rPr>
                <w:rFonts w:ascii="Times New Roman" w:hAnsi="Times New Roman" w:eastAsia="仿宋"/>
                <w:sz w:val="28"/>
                <w:szCs w:val="28"/>
              </w:rPr>
            </w:pPr>
            <w:r>
              <w:rPr>
                <w:rFonts w:hint="eastAsia" w:ascii="Times New Roman" w:hAnsi="Times New Roman" w:eastAsia="仿宋"/>
                <w:sz w:val="28"/>
                <w:szCs w:val="28"/>
              </w:rPr>
              <w:t>负责做好涉及农田、农作物、畜禽养殖的突发土壤污染环境事件的应急处置工作</w:t>
            </w:r>
            <w:r>
              <w:rPr>
                <w:rFonts w:ascii="Times New Roman" w:hAnsi="Times New Roman" w:eastAsia="仿宋"/>
                <w:sz w:val="28"/>
                <w:szCs w:val="28"/>
              </w:rPr>
              <w:t>；负责突发土壤污染环境事件现场及周边农作物、药用植物等污染程度调查，并提供相关检验数据资料等信息。组织对突发环境事件造成的农业生产损失评估。配合做好因农业污染引起的突发环境事件的调查和处置工作，配合开展相关生态修复。</w:t>
            </w:r>
          </w:p>
        </w:tc>
      </w:tr>
      <w:tr w14:paraId="2E4C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430E2EAB">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区自然资源局</w:t>
            </w:r>
          </w:p>
        </w:tc>
        <w:tc>
          <w:tcPr>
            <w:tcW w:w="3935" w:type="pct"/>
          </w:tcPr>
          <w:p w14:paraId="585B15DC">
            <w:pPr>
              <w:spacing w:line="460" w:lineRule="exact"/>
              <w:rPr>
                <w:rFonts w:ascii="Times New Roman" w:hAnsi="Times New Roman" w:eastAsia="仿宋"/>
                <w:sz w:val="28"/>
                <w:szCs w:val="28"/>
              </w:rPr>
            </w:pPr>
            <w:r>
              <w:rPr>
                <w:rFonts w:hint="eastAsia" w:ascii="Times New Roman" w:hAnsi="Times New Roman" w:eastAsia="仿宋"/>
                <w:sz w:val="28"/>
                <w:szCs w:val="28"/>
              </w:rPr>
              <w:t>指导因突发土壤环境事件造成生态破坏的国土空间生态修复工作</w:t>
            </w:r>
            <w:r>
              <w:rPr>
                <w:rFonts w:ascii="Times New Roman" w:hAnsi="Times New Roman" w:eastAsia="仿宋"/>
                <w:sz w:val="28"/>
                <w:szCs w:val="28"/>
              </w:rPr>
              <w:t>，为突发环境事件引发的地质灾害防治提供技术支撑。</w:t>
            </w:r>
          </w:p>
        </w:tc>
      </w:tr>
      <w:tr w14:paraId="41B0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33213CE0">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区住建局</w:t>
            </w:r>
          </w:p>
        </w:tc>
        <w:tc>
          <w:tcPr>
            <w:tcW w:w="3935" w:type="pct"/>
          </w:tcPr>
          <w:p w14:paraId="30E8ECA8">
            <w:pPr>
              <w:spacing w:line="460" w:lineRule="exact"/>
              <w:rPr>
                <w:rFonts w:ascii="Times New Roman" w:hAnsi="Times New Roman" w:eastAsia="仿宋"/>
                <w:sz w:val="28"/>
                <w:szCs w:val="28"/>
              </w:rPr>
            </w:pPr>
            <w:r>
              <w:rPr>
                <w:rFonts w:hint="eastAsia" w:ascii="Times New Roman" w:hAnsi="Times New Roman" w:eastAsia="仿宋"/>
                <w:sz w:val="28"/>
                <w:szCs w:val="28"/>
              </w:rPr>
              <w:t>负责指导全区涉及突发环境事件应急市政公用设施的建设、运行安全和应急管理。会同文物主管部门负责突发环境事件涉及全区历史文化名城</w:t>
            </w:r>
            <w:r>
              <w:rPr>
                <w:rFonts w:ascii="Times New Roman" w:hAnsi="Times New Roman" w:eastAsia="仿宋"/>
                <w:sz w:val="28"/>
                <w:szCs w:val="28"/>
              </w:rPr>
              <w:t>（镇、村）的保护和监督管理工作。</w:t>
            </w:r>
          </w:p>
        </w:tc>
      </w:tr>
      <w:tr w14:paraId="20A5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29FF5C65">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区交通局</w:t>
            </w:r>
          </w:p>
        </w:tc>
        <w:tc>
          <w:tcPr>
            <w:tcW w:w="3935" w:type="pct"/>
          </w:tcPr>
          <w:p w14:paraId="13400083">
            <w:pPr>
              <w:spacing w:line="460" w:lineRule="exact"/>
              <w:rPr>
                <w:rFonts w:ascii="Times New Roman" w:hAnsi="Times New Roman" w:eastAsia="仿宋"/>
                <w:sz w:val="28"/>
                <w:szCs w:val="28"/>
              </w:rPr>
            </w:pPr>
            <w:r>
              <w:rPr>
                <w:rFonts w:hint="eastAsia" w:ascii="Times New Roman" w:hAnsi="Times New Roman" w:eastAsia="仿宋"/>
                <w:sz w:val="28"/>
                <w:szCs w:val="28"/>
              </w:rPr>
              <w:t>按规定组织协调重点物资和紧急客货运输；负责危险化学品道路安全监督管理工作，参与因交通运输事故引发的突发环境事件的调查和应急处置；负责组织通往突发环境事件现场的公路抢修；协调通往突发环境事件现场公路的保通工作，拟订公路绕行方案。配合有关部门做好公路及桥梁路段的环境安全风险防范工作，防止因交通事故引发的次生环境污染。</w:t>
            </w:r>
          </w:p>
        </w:tc>
      </w:tr>
      <w:tr w14:paraId="3DC9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1FD91209">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区卫体局</w:t>
            </w:r>
          </w:p>
        </w:tc>
        <w:tc>
          <w:tcPr>
            <w:tcW w:w="3935" w:type="pct"/>
          </w:tcPr>
          <w:p w14:paraId="6993C254">
            <w:pPr>
              <w:spacing w:line="460" w:lineRule="exact"/>
              <w:rPr>
                <w:rFonts w:ascii="Times New Roman" w:hAnsi="Times New Roman" w:eastAsia="仿宋"/>
                <w:sz w:val="28"/>
                <w:szCs w:val="28"/>
              </w:rPr>
            </w:pPr>
            <w:r>
              <w:rPr>
                <w:rFonts w:hint="eastAsia" w:ascii="Times New Roman" w:hAnsi="Times New Roman" w:eastAsia="仿宋"/>
                <w:sz w:val="28"/>
                <w:szCs w:val="28"/>
              </w:rPr>
              <w:t>负责紧急医疗救援工作，做好伤员医疗救治、现场消毒、疫情监控和生活饮水卫生监督等工作。</w:t>
            </w:r>
          </w:p>
        </w:tc>
      </w:tr>
      <w:tr w14:paraId="40272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6DBD7D19">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区能源局</w:t>
            </w:r>
          </w:p>
        </w:tc>
        <w:tc>
          <w:tcPr>
            <w:tcW w:w="3935" w:type="pct"/>
          </w:tcPr>
          <w:p w14:paraId="38034E1E">
            <w:pPr>
              <w:spacing w:line="460" w:lineRule="exact"/>
              <w:rPr>
                <w:rFonts w:ascii="Times New Roman" w:hAnsi="Times New Roman" w:eastAsia="仿宋"/>
                <w:sz w:val="28"/>
                <w:szCs w:val="28"/>
              </w:rPr>
            </w:pPr>
            <w:r>
              <w:rPr>
                <w:rFonts w:hint="eastAsia" w:ascii="Times New Roman" w:hAnsi="Times New Roman" w:eastAsia="仿宋"/>
                <w:sz w:val="28"/>
                <w:szCs w:val="28"/>
              </w:rPr>
              <w:t>负责能源预测预警，参与能源运行调节和应急保障。承担一般突发环境事件造成煤、电、油、气、运供应紧张状态下的紧急调度和综合协调。</w:t>
            </w:r>
          </w:p>
        </w:tc>
      </w:tr>
      <w:tr w14:paraId="3CD2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1D019B48">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区教育局</w:t>
            </w:r>
          </w:p>
        </w:tc>
        <w:tc>
          <w:tcPr>
            <w:tcW w:w="3935" w:type="pct"/>
          </w:tcPr>
          <w:p w14:paraId="553F8804">
            <w:pPr>
              <w:spacing w:line="460" w:lineRule="exact"/>
              <w:rPr>
                <w:rFonts w:ascii="Times New Roman" w:hAnsi="Times New Roman" w:eastAsia="仿宋"/>
                <w:sz w:val="28"/>
                <w:szCs w:val="28"/>
              </w:rPr>
            </w:pPr>
            <w:r>
              <w:rPr>
                <w:rFonts w:hint="eastAsia" w:ascii="Times New Roman" w:hAnsi="Times New Roman" w:eastAsia="仿宋"/>
                <w:sz w:val="28"/>
                <w:szCs w:val="28"/>
              </w:rPr>
              <w:t>组织开展全区各类学校环境安全工作和学生环境应急宣传教育工作，在环境事件涉及学校和教育设施的情形下，指导学校制定师生紧急避险和疏散方案并组织实施，做好学生临时安置和教学工作。</w:t>
            </w:r>
          </w:p>
        </w:tc>
      </w:tr>
      <w:tr w14:paraId="792D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17C086BC">
            <w:pPr>
              <w:spacing w:line="460" w:lineRule="exact"/>
              <w:jc w:val="center"/>
              <w:rPr>
                <w:rFonts w:hint="eastAsia" w:ascii="Times New Roman" w:hAnsi="Times New Roman" w:eastAsia="仿宋"/>
                <w:sz w:val="28"/>
                <w:szCs w:val="28"/>
                <w:lang w:eastAsia="zh-CN"/>
              </w:rPr>
            </w:pPr>
            <w:r>
              <w:rPr>
                <w:rFonts w:hint="eastAsia" w:ascii="Times New Roman" w:hAnsi="Times New Roman" w:eastAsia="仿宋"/>
                <w:sz w:val="28"/>
                <w:szCs w:val="28"/>
              </w:rPr>
              <w:t>区</w:t>
            </w:r>
            <w:bookmarkStart w:id="128" w:name="_GoBack"/>
            <w:bookmarkEnd w:id="128"/>
            <w:r>
              <w:rPr>
                <w:rFonts w:hint="eastAsia" w:ascii="Times New Roman" w:hAnsi="Times New Roman" w:eastAsia="仿宋"/>
                <w:sz w:val="28"/>
                <w:szCs w:val="28"/>
                <w:lang w:eastAsia="zh-CN"/>
              </w:rPr>
              <w:t>市场监督管理局</w:t>
            </w:r>
          </w:p>
        </w:tc>
        <w:tc>
          <w:tcPr>
            <w:tcW w:w="3935" w:type="pct"/>
          </w:tcPr>
          <w:p w14:paraId="2850BD0D">
            <w:pPr>
              <w:spacing w:line="460" w:lineRule="exact"/>
              <w:rPr>
                <w:rFonts w:ascii="Times New Roman" w:hAnsi="Times New Roman" w:eastAsia="仿宋"/>
                <w:sz w:val="28"/>
                <w:szCs w:val="28"/>
              </w:rPr>
            </w:pPr>
            <w:r>
              <w:rPr>
                <w:rFonts w:hint="eastAsia" w:ascii="Times New Roman" w:hAnsi="Times New Roman" w:eastAsia="仿宋"/>
                <w:sz w:val="28"/>
                <w:szCs w:val="28"/>
              </w:rPr>
              <w:t>负责在突发环境事件的应急处置中做好食品安全监督管理工作。</w:t>
            </w:r>
          </w:p>
        </w:tc>
      </w:tr>
      <w:tr w14:paraId="062D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6AB60D8D">
            <w:pPr>
              <w:spacing w:line="460" w:lineRule="exact"/>
              <w:jc w:val="center"/>
              <w:rPr>
                <w:rFonts w:ascii="Times New Roman" w:hAnsi="Times New Roman" w:eastAsia="仿宋"/>
                <w:sz w:val="28"/>
                <w:szCs w:val="28"/>
              </w:rPr>
            </w:pPr>
            <w:r>
              <w:rPr>
                <w:rFonts w:hint="eastAsia" w:ascii="Times New Roman" w:hAnsi="Times New Roman" w:eastAsia="仿宋"/>
                <w:sz w:val="28"/>
                <w:szCs w:val="28"/>
              </w:rPr>
              <w:t>区消防大队</w:t>
            </w:r>
          </w:p>
        </w:tc>
        <w:tc>
          <w:tcPr>
            <w:tcW w:w="3935" w:type="pct"/>
          </w:tcPr>
          <w:p w14:paraId="24C2D621">
            <w:pPr>
              <w:spacing w:line="460" w:lineRule="exact"/>
              <w:rPr>
                <w:rFonts w:ascii="Times New Roman" w:hAnsi="Times New Roman" w:eastAsia="仿宋"/>
                <w:sz w:val="28"/>
                <w:szCs w:val="28"/>
              </w:rPr>
            </w:pPr>
            <w:r>
              <w:rPr>
                <w:rFonts w:hint="eastAsia" w:ascii="Times New Roman" w:hAnsi="Times New Roman" w:eastAsia="仿宋"/>
                <w:sz w:val="28"/>
                <w:szCs w:val="28"/>
              </w:rPr>
              <w:t>负责突发环境事件应急抢险工作。</w:t>
            </w:r>
          </w:p>
        </w:tc>
      </w:tr>
    </w:tbl>
    <w:p w14:paraId="700F1BF6">
      <w:pPr>
        <w:pStyle w:val="25"/>
        <w:rPr>
          <w:rFonts w:ascii="Times New Roman" w:hAnsi="Times New Roman"/>
        </w:rPr>
        <w:sectPr>
          <w:pgSz w:w="16838" w:h="11906" w:orient="landscape"/>
          <w:pgMar w:top="1701" w:right="1440" w:bottom="1701" w:left="1440" w:header="851" w:footer="850" w:gutter="0"/>
          <w:cols w:space="425" w:num="1"/>
          <w:docGrid w:type="lines" w:linePitch="312" w:charSpace="0"/>
        </w:sectPr>
      </w:pPr>
      <w:bookmarkStart w:id="117" w:name="_Toc114146635"/>
      <w:bookmarkStart w:id="118" w:name="_Toc205835958"/>
      <w:bookmarkStart w:id="119" w:name="_Toc205823025"/>
    </w:p>
    <w:p w14:paraId="02D1E99D">
      <w:pPr>
        <w:pStyle w:val="27"/>
        <w:rPr>
          <w:rFonts w:ascii="Times New Roman" w:hAnsi="Times New Roman"/>
        </w:rPr>
      </w:pPr>
      <w:r>
        <w:rPr>
          <w:rFonts w:hint="eastAsia" w:ascii="Times New Roman" w:hAnsi="Times New Roman"/>
        </w:rPr>
        <w:t>附件</w:t>
      </w:r>
      <w:r>
        <w:rPr>
          <w:rFonts w:ascii="Times New Roman" w:hAnsi="Times New Roman"/>
        </w:rPr>
        <w:t>2</w:t>
      </w:r>
      <w:r>
        <w:rPr>
          <w:rFonts w:hint="eastAsia" w:ascii="Times New Roman" w:hAnsi="Times New Roman"/>
        </w:rPr>
        <w:t xml:space="preserve"> 云冈区突发环境事件应急指挥部工作组组成及职责表</w:t>
      </w:r>
      <w:bookmarkEnd w:id="117"/>
      <w:bookmarkEnd w:id="118"/>
      <w:bookmarkEnd w:id="119"/>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1835"/>
      </w:tblGrid>
      <w:tr w14:paraId="7D5D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980" w:type="dxa"/>
            <w:vAlign w:val="center"/>
          </w:tcPr>
          <w:p w14:paraId="66E63DF6">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工作组组成</w:t>
            </w:r>
          </w:p>
        </w:tc>
        <w:tc>
          <w:tcPr>
            <w:tcW w:w="11835" w:type="dxa"/>
            <w:vAlign w:val="center"/>
          </w:tcPr>
          <w:p w14:paraId="5D41B0ED">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工作组机构职责</w:t>
            </w:r>
          </w:p>
        </w:tc>
      </w:tr>
      <w:tr w14:paraId="451C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14:paraId="766FDE90">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综合组</w:t>
            </w:r>
          </w:p>
        </w:tc>
        <w:tc>
          <w:tcPr>
            <w:tcW w:w="11835" w:type="dxa"/>
            <w:vAlign w:val="center"/>
          </w:tcPr>
          <w:p w14:paraId="5A6D5373">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牵头单位：市生态环境局云冈分局</w:t>
            </w:r>
          </w:p>
          <w:p w14:paraId="110835C6">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成员单位：区发改科技局、市公安局云冈分局、区应急管理局等部门相关负责人和事发地人民政府应急机构负责人。</w:t>
            </w:r>
          </w:p>
          <w:p w14:paraId="59165A87">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主要职责：</w:t>
            </w:r>
          </w:p>
          <w:p w14:paraId="254BC9D4">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①落实指挥长、副指挥长决策方案。②收集汇总各工作组救援动态信息</w:t>
            </w:r>
            <w:r>
              <w:rPr>
                <w:rFonts w:ascii="Times New Roman" w:hAnsi="Times New Roman" w:eastAsia="仿宋"/>
                <w:sz w:val="28"/>
                <w:szCs w:val="28"/>
              </w:rPr>
              <w:t>，制作应急救援态势图、人员配置表、通讯表。</w:t>
            </w:r>
            <w:r>
              <w:rPr>
                <w:rFonts w:hint="eastAsia" w:ascii="Times New Roman" w:hAnsi="Times New Roman" w:eastAsia="仿宋"/>
                <w:sz w:val="28"/>
                <w:szCs w:val="28"/>
              </w:rPr>
              <w:t>③督促各工作组填写救援日志</w:t>
            </w:r>
            <w:r>
              <w:rPr>
                <w:rFonts w:ascii="Times New Roman" w:hAnsi="Times New Roman" w:eastAsia="仿宋"/>
                <w:sz w:val="28"/>
                <w:szCs w:val="28"/>
              </w:rPr>
              <w:t>，及时汇总各组情况，编辑救援信息，及时向指挥长报告有关情况。</w:t>
            </w:r>
            <w:r>
              <w:rPr>
                <w:rFonts w:hint="eastAsia" w:ascii="Times New Roman" w:hAnsi="Times New Roman" w:eastAsia="仿宋"/>
                <w:sz w:val="28"/>
                <w:szCs w:val="28"/>
              </w:rPr>
              <w:t>④完成指挥部安排的其他任务。</w:t>
            </w:r>
          </w:p>
        </w:tc>
      </w:tr>
      <w:tr w14:paraId="1520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14:paraId="3EB87F81">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污染</w:t>
            </w:r>
          </w:p>
          <w:p w14:paraId="4D4FFB07">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处置组</w:t>
            </w:r>
          </w:p>
        </w:tc>
        <w:tc>
          <w:tcPr>
            <w:tcW w:w="11835" w:type="dxa"/>
            <w:vAlign w:val="center"/>
          </w:tcPr>
          <w:p w14:paraId="45B14EBB">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牵头单位：市生态环境局云冈分局</w:t>
            </w:r>
          </w:p>
          <w:p w14:paraId="27D0C3F1">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成员单位：区公安局、区交通运输局、区农业农村局、区林业局、区水务局、区住建局、区城市管理局、区应急管理局、区消防救援大队、事发地人民政府和相关部门等</w:t>
            </w:r>
          </w:p>
          <w:p w14:paraId="66FFDD28">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主要职责：</w:t>
            </w:r>
          </w:p>
          <w:p w14:paraId="3FEC7991">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①收集汇总相关数据，组织进行技术研判，开展事态分析，制定事件造成土壤污染处置方案并组织实施。②迅速组织切断污染源，分析污染途径，明确防止污染物扩散程序。③组织采取有效措施，消除或减轻已经造成的污染。④明确不同情况下的现场处置人员须采取的个人防护措施。⑤划定现场警戒和交通管制区域，确定重点防护区域，确定受威胁人员疏散方式和途径，疏散转移受威胁人员至安全紧急避险场所。⑥及时向指挥长报告救援现场有关情况。⑦完成指挥部安排的其他任务。</w:t>
            </w:r>
          </w:p>
        </w:tc>
      </w:tr>
      <w:tr w14:paraId="359F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14:paraId="60DB95F5">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应急</w:t>
            </w:r>
          </w:p>
          <w:p w14:paraId="670E958E">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监测组</w:t>
            </w:r>
          </w:p>
        </w:tc>
        <w:tc>
          <w:tcPr>
            <w:tcW w:w="11835" w:type="dxa"/>
            <w:vAlign w:val="center"/>
          </w:tcPr>
          <w:p w14:paraId="4D708A72">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牵头单位：市生态环境局云冈分局</w:t>
            </w:r>
          </w:p>
          <w:p w14:paraId="32E4A984">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成员单位：区自然资源局、区住建局、区水务局、区林业局、区农业农村局、事发地人民政府和相关部门等。</w:t>
            </w:r>
          </w:p>
          <w:p w14:paraId="69784EF5">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主要职责：</w:t>
            </w:r>
          </w:p>
          <w:p w14:paraId="305CF910">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①根据突发环境事件污染物种类、性质及当地气象、自然、社会环境状况等明确相应应急监测方案及监测方法。②会同专家分析研判污染物扩散范围，明确监测布点和频次，做好土壤等应急监测，为突发环境事件应急决策提供依据。③协调有关部门参与应急监测。④完成指挥部安排的其他任务。</w:t>
            </w:r>
          </w:p>
        </w:tc>
      </w:tr>
      <w:tr w14:paraId="7066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14:paraId="304ED35B">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医疗</w:t>
            </w:r>
          </w:p>
          <w:p w14:paraId="0371E453">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救援组</w:t>
            </w:r>
          </w:p>
        </w:tc>
        <w:tc>
          <w:tcPr>
            <w:tcW w:w="11835" w:type="dxa"/>
            <w:vAlign w:val="center"/>
          </w:tcPr>
          <w:p w14:paraId="7A17030E">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牵头单位</w:t>
            </w:r>
            <w:r>
              <w:rPr>
                <w:rFonts w:ascii="Times New Roman" w:hAnsi="Times New Roman" w:eastAsia="仿宋"/>
                <w:sz w:val="28"/>
                <w:szCs w:val="28"/>
              </w:rPr>
              <w:t>：区卫体局</w:t>
            </w:r>
          </w:p>
          <w:p w14:paraId="5A50DDCA">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成员单位</w:t>
            </w:r>
            <w:r>
              <w:rPr>
                <w:rFonts w:ascii="Times New Roman" w:hAnsi="Times New Roman" w:eastAsia="仿宋"/>
                <w:sz w:val="28"/>
                <w:szCs w:val="28"/>
              </w:rPr>
              <w:t>：区各医疗卫生机构、区民政局、区</w:t>
            </w:r>
            <w:r>
              <w:rPr>
                <w:rFonts w:hint="eastAsia" w:ascii="Times New Roman" w:hAnsi="Times New Roman" w:eastAsia="仿宋"/>
                <w:sz w:val="28"/>
                <w:szCs w:val="28"/>
                <w:lang w:eastAsia="zh-CN"/>
              </w:rPr>
              <w:t>市场监督管理局</w:t>
            </w:r>
            <w:r>
              <w:rPr>
                <w:rFonts w:ascii="Times New Roman" w:hAnsi="Times New Roman" w:eastAsia="仿宋"/>
                <w:sz w:val="28"/>
                <w:szCs w:val="28"/>
              </w:rPr>
              <w:t>、事发地人民政府和相关部门等。</w:t>
            </w:r>
          </w:p>
          <w:p w14:paraId="6A277825">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主要职责</w:t>
            </w:r>
            <w:r>
              <w:rPr>
                <w:rFonts w:ascii="Times New Roman" w:hAnsi="Times New Roman" w:eastAsia="仿宋"/>
                <w:sz w:val="28"/>
                <w:szCs w:val="28"/>
              </w:rPr>
              <w:t>：</w:t>
            </w:r>
          </w:p>
          <w:p w14:paraId="767F2AC7">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①组织开展伤病员医疗救治、应急心理援助。负责组织协调应急救援药品、药械的储备和调拨以及应急医疗卫生救援工作，并及时为事发地乡镇卫生院提供技术支持。②开展现场救护，护送伤员至医院救治。③提出保护公众健康的措施和建议。④统计死亡、中毒</w:t>
            </w:r>
            <w:r>
              <w:rPr>
                <w:rFonts w:ascii="Times New Roman" w:hAnsi="Times New Roman" w:eastAsia="仿宋"/>
                <w:sz w:val="28"/>
                <w:szCs w:val="28"/>
              </w:rPr>
              <w:t>（或受伤）人数和住院治疗人数。</w:t>
            </w:r>
            <w:r>
              <w:rPr>
                <w:rFonts w:hint="eastAsia" w:ascii="Times New Roman" w:hAnsi="Times New Roman" w:eastAsia="仿宋"/>
                <w:sz w:val="28"/>
                <w:szCs w:val="28"/>
              </w:rPr>
              <w:t>⑤禁止或限制受污染食品和饮用水的生产、加工、流通和食用，防范因突发环境事件造成集体中毒等。⑥完成指挥部安排的其他任务。</w:t>
            </w:r>
          </w:p>
        </w:tc>
      </w:tr>
      <w:tr w14:paraId="583E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14:paraId="3BB35AE6">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应急</w:t>
            </w:r>
          </w:p>
          <w:p w14:paraId="59E22AEB">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保障组</w:t>
            </w:r>
          </w:p>
        </w:tc>
        <w:tc>
          <w:tcPr>
            <w:tcW w:w="11835" w:type="dxa"/>
            <w:vAlign w:val="center"/>
          </w:tcPr>
          <w:p w14:paraId="1E06E1BA">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牵头单位：区应急管理局</w:t>
            </w:r>
          </w:p>
          <w:p w14:paraId="6DCBD922">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成员单位：市公安局云冈分局、区财政局、区住建局、市生态环境局云冈分局、区交通运输局、区水务局、区工信局、区民政局，事发地人民政府和相关部门等。</w:t>
            </w:r>
          </w:p>
          <w:p w14:paraId="577D74B1">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主要职责</w:t>
            </w:r>
            <w:r>
              <w:rPr>
                <w:rFonts w:ascii="Times New Roman" w:hAnsi="Times New Roman" w:eastAsia="仿宋"/>
                <w:sz w:val="28"/>
                <w:szCs w:val="28"/>
              </w:rPr>
              <w:t>：</w:t>
            </w:r>
          </w:p>
          <w:p w14:paraId="3C5D4ECD">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①指导做好事件影响区域有关人员的紧急转移和临时安置工作。②组织做好环境应急救援物资及临时安置重要物资的紧急生产、储备调拨和紧急配送工作。③及时组织调运重要生活必需品，保障群众基本生活和市场供应，负责现场应急处置工作人员食宿等基本生活保障。④完成指挥部安排的其他任务。</w:t>
            </w:r>
          </w:p>
        </w:tc>
      </w:tr>
      <w:tr w14:paraId="4DCB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14:paraId="1E2D82DB">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新闻</w:t>
            </w:r>
          </w:p>
          <w:p w14:paraId="62473E8D">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宣传组</w:t>
            </w:r>
          </w:p>
        </w:tc>
        <w:tc>
          <w:tcPr>
            <w:tcW w:w="11835" w:type="dxa"/>
            <w:vAlign w:val="center"/>
          </w:tcPr>
          <w:p w14:paraId="27864684">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牵头单位：区委宣传部</w:t>
            </w:r>
          </w:p>
          <w:p w14:paraId="1DBAE295">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成员单位：市生态环境局云冈分局、区融媒体等主要媒体、事发地人民政府及其有关部门等。</w:t>
            </w:r>
          </w:p>
          <w:p w14:paraId="0A79A994">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主要职责</w:t>
            </w:r>
            <w:r>
              <w:rPr>
                <w:rFonts w:ascii="Times New Roman" w:hAnsi="Times New Roman" w:eastAsia="仿宋"/>
                <w:sz w:val="28"/>
                <w:szCs w:val="28"/>
              </w:rPr>
              <w:t>：</w:t>
            </w:r>
          </w:p>
          <w:p w14:paraId="3FE6A162">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①根据区指挥部发布的权威信息，组织协调新闻媒体做好突发环境事件应急处置的新闻报道。②及时收集、整理和分析网络舆情信息，重要信息及时上报并提出新闻应急处置建议，及时澄清不实信息，积极引导舆论。③完成指挥部安排的其他任务。</w:t>
            </w:r>
          </w:p>
        </w:tc>
      </w:tr>
      <w:tr w14:paraId="3856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14:paraId="6007AA37">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社会</w:t>
            </w:r>
          </w:p>
          <w:p w14:paraId="75875533">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稳定组</w:t>
            </w:r>
          </w:p>
        </w:tc>
        <w:tc>
          <w:tcPr>
            <w:tcW w:w="11835" w:type="dxa"/>
            <w:vAlign w:val="center"/>
          </w:tcPr>
          <w:p w14:paraId="3C3D7954">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牵头单位：市公安局云冈分局</w:t>
            </w:r>
          </w:p>
          <w:p w14:paraId="53681B42">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成员单位：区交通运输局、区商务局、区交警队、事发地人民政府及其有关部门等。</w:t>
            </w:r>
          </w:p>
          <w:p w14:paraId="3F8831C0">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主要职责</w:t>
            </w:r>
            <w:r>
              <w:rPr>
                <w:rFonts w:ascii="Times New Roman" w:hAnsi="Times New Roman" w:eastAsia="仿宋"/>
                <w:sz w:val="28"/>
                <w:szCs w:val="28"/>
              </w:rPr>
              <w:t>：</w:t>
            </w:r>
          </w:p>
          <w:p w14:paraId="356DB3FD">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①对事件周边道路实施交通管制和交通疏导，保障救援道路畅通，保证救援人员装备及时到位。②加强受影响地区社会治安管理，严厉打击借机传播谣言制造社会恐慌、哄抢物资等违法犯罪行为。③加强转移人员安置点、救灾物资存放点等重点地区治安管控。④做好受影响人员与涉事单位、区人民政府及有关部门矛盾纠纷化解和法律服务工作，防止出现群体性事件，维护社会稳定。⑤加强对重要生活必需品等商品的市场监管和调控，打击囤积居奇行为。⑥完成指挥部安排的其他任务。</w:t>
            </w:r>
          </w:p>
        </w:tc>
      </w:tr>
      <w:tr w14:paraId="7BB0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980" w:type="dxa"/>
            <w:vAlign w:val="center"/>
          </w:tcPr>
          <w:p w14:paraId="2A93F03F">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调查</w:t>
            </w:r>
          </w:p>
          <w:p w14:paraId="5F9FFAAE">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评估组</w:t>
            </w:r>
          </w:p>
        </w:tc>
        <w:tc>
          <w:tcPr>
            <w:tcW w:w="11835" w:type="dxa"/>
            <w:vAlign w:val="center"/>
          </w:tcPr>
          <w:p w14:paraId="1F15F8D9">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牵头单位：市生态环境局云冈分局</w:t>
            </w:r>
          </w:p>
          <w:p w14:paraId="07F5732E">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成员单位：市公安局云冈分局、区交通运输局、区水务局、区林业局、区卫体局、区</w:t>
            </w:r>
            <w:r>
              <w:rPr>
                <w:rFonts w:hint="eastAsia" w:ascii="Times New Roman" w:hAnsi="Times New Roman" w:eastAsia="仿宋"/>
                <w:sz w:val="28"/>
                <w:szCs w:val="28"/>
                <w:lang w:eastAsia="zh-CN"/>
              </w:rPr>
              <w:t>市场监督管理局</w:t>
            </w:r>
            <w:r>
              <w:rPr>
                <w:rFonts w:hint="eastAsia" w:ascii="Times New Roman" w:hAnsi="Times New Roman" w:eastAsia="仿宋"/>
                <w:sz w:val="28"/>
                <w:szCs w:val="28"/>
              </w:rPr>
              <w:t>、区住建局、事发地人民政府和相关部门等。</w:t>
            </w:r>
          </w:p>
          <w:p w14:paraId="451A0E62">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主要职责：</w:t>
            </w:r>
          </w:p>
          <w:p w14:paraId="458D983F">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①配合省、市生态环境部门开展特别重大、重大和较大突发环境事件的调查处理，负责一般突发环境事件的调查处理，包括对事件原因、性质、责任等的调查处理。②组织开展突发环境事件污染损害评估工作。③完成指挥部安排的其他任务。</w:t>
            </w:r>
          </w:p>
        </w:tc>
      </w:tr>
      <w:tr w14:paraId="0E47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980" w:type="dxa"/>
            <w:vAlign w:val="center"/>
          </w:tcPr>
          <w:p w14:paraId="77E42B27">
            <w:pPr>
              <w:pStyle w:val="5"/>
              <w:spacing w:line="460" w:lineRule="exact"/>
              <w:ind w:firstLine="0" w:firstLineChars="0"/>
              <w:jc w:val="center"/>
              <w:rPr>
                <w:rFonts w:ascii="Times New Roman" w:hAnsi="Times New Roman" w:eastAsia="仿宋"/>
                <w:sz w:val="28"/>
                <w:szCs w:val="28"/>
              </w:rPr>
            </w:pPr>
            <w:r>
              <w:rPr>
                <w:rFonts w:hint="eastAsia" w:ascii="Times New Roman" w:hAnsi="Times New Roman" w:eastAsia="仿宋"/>
                <w:sz w:val="28"/>
                <w:szCs w:val="28"/>
              </w:rPr>
              <w:t>专家组</w:t>
            </w:r>
          </w:p>
        </w:tc>
        <w:tc>
          <w:tcPr>
            <w:tcW w:w="11835" w:type="dxa"/>
            <w:vAlign w:val="center"/>
          </w:tcPr>
          <w:p w14:paraId="2ABD55F7">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牵头单位：市生态环境局云冈分局</w:t>
            </w:r>
          </w:p>
          <w:p w14:paraId="353B74D5">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成员单位：区自然资源局、区交通运输局、区水务局、区农业农村局、区卫体局、区应急管理局和相关部门等。</w:t>
            </w:r>
          </w:p>
          <w:p w14:paraId="23C10BEB">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主要职责：</w:t>
            </w:r>
          </w:p>
          <w:p w14:paraId="5C973488">
            <w:pPr>
              <w:pStyle w:val="5"/>
              <w:spacing w:line="460" w:lineRule="exact"/>
              <w:ind w:firstLine="560"/>
              <w:rPr>
                <w:rFonts w:ascii="Times New Roman" w:hAnsi="Times New Roman" w:eastAsia="仿宋"/>
                <w:sz w:val="28"/>
                <w:szCs w:val="28"/>
              </w:rPr>
            </w:pPr>
            <w:r>
              <w:rPr>
                <w:rFonts w:hint="eastAsia" w:ascii="Times New Roman" w:hAnsi="Times New Roman" w:eastAsia="仿宋"/>
                <w:sz w:val="28"/>
                <w:szCs w:val="28"/>
              </w:rPr>
              <w:t>①组织各专业的专家判别环境污染事件性质和类别，确定环境污染事件级别。②分析环境污染事件发展趋势及其对人群健康或环境的影响。③为应急处置工作提供技术咨询。④研究、评估污染处置和人员撤离等工作方案。⑤对生态修复和恢复重建等提出建议。⑥完成指挥部安排的其他任务。</w:t>
            </w:r>
          </w:p>
        </w:tc>
      </w:tr>
    </w:tbl>
    <w:p w14:paraId="1F8B730D">
      <w:pPr>
        <w:pStyle w:val="25"/>
        <w:rPr>
          <w:rFonts w:ascii="Times New Roman" w:hAnsi="Times New Roman"/>
        </w:rPr>
        <w:sectPr>
          <w:pgSz w:w="16838" w:h="11906" w:orient="landscape"/>
          <w:pgMar w:top="1701" w:right="1440" w:bottom="1701" w:left="1440" w:header="851" w:footer="850" w:gutter="0"/>
          <w:cols w:space="425" w:num="1"/>
          <w:docGrid w:type="lines" w:linePitch="312" w:charSpace="0"/>
        </w:sectPr>
      </w:pPr>
    </w:p>
    <w:p w14:paraId="59224841">
      <w:pPr>
        <w:pStyle w:val="27"/>
        <w:rPr>
          <w:rFonts w:ascii="Times New Roman" w:hAnsi="Times New Roman"/>
        </w:rPr>
      </w:pPr>
      <w:bookmarkStart w:id="120" w:name="_Toc205823026"/>
      <w:bookmarkStart w:id="121" w:name="_Toc205835959"/>
      <w:r>
        <w:rPr>
          <w:rFonts w:hint="eastAsia" w:ascii="Times New Roman" w:hAnsi="Times New Roman"/>
        </w:rPr>
        <w:t>附件</w:t>
      </w:r>
      <w:r>
        <w:rPr>
          <w:rFonts w:ascii="Times New Roman" w:hAnsi="Times New Roman"/>
        </w:rPr>
        <w:t>3</w:t>
      </w:r>
      <w:r>
        <w:rPr>
          <w:rFonts w:hint="eastAsia" w:ascii="Times New Roman" w:hAnsi="Times New Roman"/>
        </w:rPr>
        <w:t xml:space="preserve"> 应急指挥部成员名单及联系方式</w:t>
      </w:r>
      <w:bookmarkEnd w:id="120"/>
      <w:bookmarkEnd w:id="121"/>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6"/>
        <w:gridCol w:w="3362"/>
        <w:gridCol w:w="2750"/>
        <w:gridCol w:w="2112"/>
        <w:gridCol w:w="3254"/>
      </w:tblGrid>
      <w:tr w14:paraId="5AA8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tcBorders>
              <w:top w:val="single" w:color="auto" w:sz="4" w:space="0"/>
              <w:left w:val="single" w:color="auto" w:sz="4" w:space="0"/>
              <w:bottom w:val="single" w:color="auto" w:sz="4" w:space="0"/>
              <w:right w:val="single" w:color="auto" w:sz="4" w:space="0"/>
            </w:tcBorders>
            <w:vAlign w:val="center"/>
          </w:tcPr>
          <w:p w14:paraId="33C8DC33">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指挥部职务</w:t>
            </w:r>
          </w:p>
        </w:tc>
        <w:tc>
          <w:tcPr>
            <w:tcW w:w="1186" w:type="pct"/>
            <w:tcBorders>
              <w:top w:val="single" w:color="auto" w:sz="4" w:space="0"/>
              <w:left w:val="single" w:color="auto" w:sz="4" w:space="0"/>
              <w:bottom w:val="single" w:color="auto" w:sz="4" w:space="0"/>
              <w:right w:val="single" w:color="auto" w:sz="4" w:space="0"/>
            </w:tcBorders>
            <w:vAlign w:val="center"/>
          </w:tcPr>
          <w:p w14:paraId="28604423">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单位</w:t>
            </w:r>
          </w:p>
        </w:tc>
        <w:tc>
          <w:tcPr>
            <w:tcW w:w="970" w:type="pct"/>
            <w:tcBorders>
              <w:top w:val="single" w:color="auto" w:sz="4" w:space="0"/>
              <w:left w:val="single" w:color="auto" w:sz="4" w:space="0"/>
              <w:bottom w:val="single" w:color="auto" w:sz="4" w:space="0"/>
              <w:right w:val="single" w:color="auto" w:sz="4" w:space="0"/>
            </w:tcBorders>
            <w:vAlign w:val="center"/>
          </w:tcPr>
          <w:p w14:paraId="359DA1B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单位联系方式</w:t>
            </w:r>
          </w:p>
        </w:tc>
        <w:tc>
          <w:tcPr>
            <w:tcW w:w="745" w:type="pct"/>
            <w:tcBorders>
              <w:top w:val="single" w:color="auto" w:sz="4" w:space="0"/>
              <w:left w:val="single" w:color="auto" w:sz="4" w:space="0"/>
              <w:bottom w:val="single" w:color="auto" w:sz="4" w:space="0"/>
              <w:right w:val="single" w:color="auto" w:sz="4" w:space="0"/>
            </w:tcBorders>
            <w:vAlign w:val="center"/>
          </w:tcPr>
          <w:p w14:paraId="11B3055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联系人</w:t>
            </w:r>
          </w:p>
        </w:tc>
        <w:tc>
          <w:tcPr>
            <w:tcW w:w="1148" w:type="pct"/>
            <w:tcBorders>
              <w:top w:val="single" w:color="auto" w:sz="4" w:space="0"/>
              <w:left w:val="single" w:color="auto" w:sz="4" w:space="0"/>
              <w:bottom w:val="single" w:color="auto" w:sz="4" w:space="0"/>
              <w:right w:val="single" w:color="auto" w:sz="4" w:space="0"/>
            </w:tcBorders>
            <w:vAlign w:val="center"/>
          </w:tcPr>
          <w:p w14:paraId="3DFB747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联系方式</w:t>
            </w:r>
          </w:p>
        </w:tc>
      </w:tr>
      <w:tr w14:paraId="10C8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tcBorders>
              <w:top w:val="single" w:color="auto" w:sz="4" w:space="0"/>
              <w:left w:val="single" w:color="auto" w:sz="4" w:space="0"/>
              <w:bottom w:val="single" w:color="auto" w:sz="4" w:space="0"/>
              <w:right w:val="single" w:color="auto" w:sz="4" w:space="0"/>
            </w:tcBorders>
            <w:vAlign w:val="center"/>
          </w:tcPr>
          <w:p w14:paraId="7B672D81">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指挥长</w:t>
            </w:r>
          </w:p>
        </w:tc>
        <w:tc>
          <w:tcPr>
            <w:tcW w:w="1186" w:type="pct"/>
            <w:tcBorders>
              <w:top w:val="single" w:color="auto" w:sz="4" w:space="0"/>
              <w:left w:val="single" w:color="auto" w:sz="4" w:space="0"/>
              <w:bottom w:val="single" w:color="auto" w:sz="4" w:space="0"/>
              <w:right w:val="single" w:color="auto" w:sz="4" w:space="0"/>
            </w:tcBorders>
            <w:vAlign w:val="center"/>
          </w:tcPr>
          <w:p w14:paraId="122D5DE6">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云冈区人民政府</w:t>
            </w:r>
          </w:p>
        </w:tc>
        <w:tc>
          <w:tcPr>
            <w:tcW w:w="970" w:type="pct"/>
            <w:tcBorders>
              <w:top w:val="single" w:color="auto" w:sz="4" w:space="0"/>
              <w:left w:val="single" w:color="auto" w:sz="4" w:space="0"/>
              <w:bottom w:val="single" w:color="auto" w:sz="4" w:space="0"/>
              <w:right w:val="single" w:color="auto" w:sz="4" w:space="0"/>
            </w:tcBorders>
            <w:vAlign w:val="center"/>
          </w:tcPr>
          <w:p w14:paraId="3841768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4040117</w:t>
            </w:r>
          </w:p>
        </w:tc>
        <w:tc>
          <w:tcPr>
            <w:tcW w:w="745" w:type="pct"/>
            <w:tcBorders>
              <w:top w:val="single" w:color="auto" w:sz="4" w:space="0"/>
              <w:left w:val="single" w:color="auto" w:sz="4" w:space="0"/>
              <w:bottom w:val="single" w:color="auto" w:sz="4" w:space="0"/>
              <w:right w:val="single" w:color="auto" w:sz="4" w:space="0"/>
            </w:tcBorders>
            <w:vAlign w:val="center"/>
          </w:tcPr>
          <w:p w14:paraId="6042C55A">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张俊杰</w:t>
            </w:r>
          </w:p>
        </w:tc>
        <w:tc>
          <w:tcPr>
            <w:tcW w:w="1148" w:type="pct"/>
            <w:tcBorders>
              <w:top w:val="single" w:color="auto" w:sz="4" w:space="0"/>
              <w:left w:val="single" w:color="auto" w:sz="4" w:space="0"/>
              <w:bottom w:val="single" w:color="auto" w:sz="4" w:space="0"/>
              <w:right w:val="single" w:color="auto" w:sz="4" w:space="0"/>
            </w:tcBorders>
            <w:vAlign w:val="center"/>
          </w:tcPr>
          <w:p w14:paraId="7F84D663">
            <w:pPr>
              <w:jc w:val="center"/>
              <w:rPr>
                <w:rFonts w:ascii="Times New Roman" w:hAnsi="Times New Roman" w:eastAsia="仿宋" w:cs="Times New Roman"/>
                <w:sz w:val="28"/>
                <w:szCs w:val="28"/>
              </w:rPr>
            </w:pPr>
          </w:p>
        </w:tc>
      </w:tr>
      <w:tr w14:paraId="6243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tcBorders>
              <w:top w:val="single" w:color="auto" w:sz="4" w:space="0"/>
              <w:left w:val="single" w:color="auto" w:sz="4" w:space="0"/>
              <w:bottom w:val="single" w:color="auto" w:sz="4" w:space="0"/>
              <w:right w:val="single" w:color="auto" w:sz="4" w:space="0"/>
            </w:tcBorders>
            <w:vAlign w:val="center"/>
          </w:tcPr>
          <w:p w14:paraId="4A860EC4">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副指挥长</w:t>
            </w:r>
          </w:p>
        </w:tc>
        <w:tc>
          <w:tcPr>
            <w:tcW w:w="1186" w:type="pct"/>
            <w:tcBorders>
              <w:top w:val="single" w:color="auto" w:sz="4" w:space="0"/>
              <w:left w:val="single" w:color="auto" w:sz="4" w:space="0"/>
              <w:bottom w:val="single" w:color="auto" w:sz="4" w:space="0"/>
              <w:right w:val="single" w:color="auto" w:sz="4" w:space="0"/>
            </w:tcBorders>
            <w:vAlign w:val="center"/>
          </w:tcPr>
          <w:p w14:paraId="3205810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云冈区人民政府</w:t>
            </w:r>
          </w:p>
        </w:tc>
        <w:tc>
          <w:tcPr>
            <w:tcW w:w="970" w:type="pct"/>
            <w:tcBorders>
              <w:top w:val="single" w:color="auto" w:sz="4" w:space="0"/>
              <w:left w:val="single" w:color="auto" w:sz="4" w:space="0"/>
              <w:bottom w:val="single" w:color="auto" w:sz="4" w:space="0"/>
              <w:right w:val="single" w:color="auto" w:sz="4" w:space="0"/>
            </w:tcBorders>
            <w:vAlign w:val="center"/>
          </w:tcPr>
          <w:p w14:paraId="66ACE135">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4040081</w:t>
            </w:r>
          </w:p>
        </w:tc>
        <w:tc>
          <w:tcPr>
            <w:tcW w:w="745" w:type="pct"/>
            <w:tcBorders>
              <w:top w:val="single" w:color="auto" w:sz="4" w:space="0"/>
              <w:left w:val="single" w:color="auto" w:sz="4" w:space="0"/>
              <w:bottom w:val="single" w:color="auto" w:sz="4" w:space="0"/>
              <w:right w:val="single" w:color="auto" w:sz="4" w:space="0"/>
            </w:tcBorders>
            <w:vAlign w:val="center"/>
          </w:tcPr>
          <w:p w14:paraId="095093F7">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韩光华</w:t>
            </w:r>
          </w:p>
        </w:tc>
        <w:tc>
          <w:tcPr>
            <w:tcW w:w="1148" w:type="pct"/>
            <w:tcBorders>
              <w:top w:val="single" w:color="auto" w:sz="4" w:space="0"/>
              <w:left w:val="single" w:color="auto" w:sz="4" w:space="0"/>
              <w:bottom w:val="single" w:color="auto" w:sz="4" w:space="0"/>
              <w:right w:val="single" w:color="auto" w:sz="4" w:space="0"/>
            </w:tcBorders>
            <w:vAlign w:val="center"/>
          </w:tcPr>
          <w:p w14:paraId="06A7A42D">
            <w:pPr>
              <w:jc w:val="center"/>
              <w:rPr>
                <w:rFonts w:ascii="Times New Roman" w:hAnsi="Times New Roman" w:eastAsia="仿宋" w:cs="Times New Roman"/>
                <w:sz w:val="28"/>
                <w:szCs w:val="28"/>
              </w:rPr>
            </w:pPr>
          </w:p>
        </w:tc>
      </w:tr>
      <w:tr w14:paraId="3799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tcBorders>
              <w:top w:val="single" w:color="auto" w:sz="4" w:space="0"/>
              <w:left w:val="single" w:color="auto" w:sz="4" w:space="0"/>
              <w:bottom w:val="single" w:color="auto" w:sz="4" w:space="0"/>
              <w:right w:val="single" w:color="auto" w:sz="4" w:space="0"/>
            </w:tcBorders>
            <w:vAlign w:val="center"/>
          </w:tcPr>
          <w:p w14:paraId="6F0373E0">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指挥部办公室</w:t>
            </w:r>
          </w:p>
        </w:tc>
        <w:tc>
          <w:tcPr>
            <w:tcW w:w="1186" w:type="pct"/>
            <w:tcBorders>
              <w:top w:val="single" w:color="auto" w:sz="4" w:space="0"/>
              <w:left w:val="single" w:color="auto" w:sz="4" w:space="0"/>
              <w:bottom w:val="single" w:color="auto" w:sz="4" w:space="0"/>
              <w:right w:val="single" w:color="auto" w:sz="4" w:space="0"/>
            </w:tcBorders>
            <w:vAlign w:val="center"/>
          </w:tcPr>
          <w:p w14:paraId="5B97F71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市生态环境局云冈分局</w:t>
            </w:r>
          </w:p>
        </w:tc>
        <w:tc>
          <w:tcPr>
            <w:tcW w:w="970" w:type="pct"/>
            <w:tcBorders>
              <w:top w:val="single" w:color="auto" w:sz="4" w:space="0"/>
              <w:left w:val="single" w:color="auto" w:sz="4" w:space="0"/>
              <w:bottom w:val="single" w:color="auto" w:sz="4" w:space="0"/>
              <w:right w:val="single" w:color="auto" w:sz="4" w:space="0"/>
            </w:tcBorders>
            <w:vAlign w:val="center"/>
          </w:tcPr>
          <w:p w14:paraId="29EFC2E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4040915</w:t>
            </w:r>
          </w:p>
        </w:tc>
        <w:tc>
          <w:tcPr>
            <w:tcW w:w="745" w:type="pct"/>
            <w:tcBorders>
              <w:top w:val="single" w:color="auto" w:sz="4" w:space="0"/>
              <w:left w:val="single" w:color="auto" w:sz="4" w:space="0"/>
              <w:bottom w:val="single" w:color="auto" w:sz="4" w:space="0"/>
              <w:right w:val="single" w:color="auto" w:sz="4" w:space="0"/>
            </w:tcBorders>
            <w:vAlign w:val="center"/>
          </w:tcPr>
          <w:p w14:paraId="7DC10144">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胡春林</w:t>
            </w:r>
          </w:p>
        </w:tc>
        <w:tc>
          <w:tcPr>
            <w:tcW w:w="1148" w:type="pct"/>
            <w:tcBorders>
              <w:top w:val="single" w:color="auto" w:sz="4" w:space="0"/>
              <w:left w:val="single" w:color="auto" w:sz="4" w:space="0"/>
              <w:bottom w:val="single" w:color="auto" w:sz="4" w:space="0"/>
              <w:right w:val="single" w:color="auto" w:sz="4" w:space="0"/>
            </w:tcBorders>
            <w:vAlign w:val="center"/>
          </w:tcPr>
          <w:p w14:paraId="60A27DA3">
            <w:pPr>
              <w:jc w:val="center"/>
              <w:rPr>
                <w:rFonts w:ascii="Times New Roman" w:hAnsi="Times New Roman" w:eastAsia="仿宋" w:cs="Times New Roman"/>
                <w:sz w:val="28"/>
                <w:szCs w:val="28"/>
              </w:rPr>
            </w:pPr>
          </w:p>
        </w:tc>
      </w:tr>
      <w:tr w14:paraId="2BCC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restart"/>
            <w:tcBorders>
              <w:top w:val="single" w:color="auto" w:sz="4" w:space="0"/>
              <w:left w:val="single" w:color="auto" w:sz="4" w:space="0"/>
              <w:bottom w:val="single" w:color="auto" w:sz="4" w:space="0"/>
              <w:right w:val="single" w:color="auto" w:sz="4" w:space="0"/>
            </w:tcBorders>
            <w:vAlign w:val="center"/>
          </w:tcPr>
          <w:p w14:paraId="4810D46F">
            <w:pPr>
              <w:jc w:val="center"/>
              <w:rPr>
                <w:rFonts w:ascii="Times New Roman" w:hAnsi="Times New Roman" w:eastAsia="仿宋" w:cs="Times New Roman"/>
                <w:sz w:val="28"/>
                <w:szCs w:val="28"/>
              </w:rPr>
            </w:pPr>
          </w:p>
          <w:p w14:paraId="0B322D3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成员</w:t>
            </w:r>
          </w:p>
        </w:tc>
        <w:tc>
          <w:tcPr>
            <w:tcW w:w="1186" w:type="pct"/>
            <w:tcBorders>
              <w:top w:val="single" w:color="auto" w:sz="4" w:space="0"/>
              <w:left w:val="single" w:color="auto" w:sz="4" w:space="0"/>
              <w:bottom w:val="single" w:color="auto" w:sz="4" w:space="0"/>
              <w:right w:val="single" w:color="auto" w:sz="4" w:space="0"/>
            </w:tcBorders>
            <w:vAlign w:val="center"/>
          </w:tcPr>
          <w:p w14:paraId="2682B085">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区委宣传部</w:t>
            </w:r>
          </w:p>
        </w:tc>
        <w:tc>
          <w:tcPr>
            <w:tcW w:w="970" w:type="pct"/>
            <w:tcBorders>
              <w:top w:val="single" w:color="auto" w:sz="4" w:space="0"/>
              <w:left w:val="single" w:color="auto" w:sz="4" w:space="0"/>
              <w:bottom w:val="single" w:color="auto" w:sz="4" w:space="0"/>
              <w:right w:val="single" w:color="auto" w:sz="4" w:space="0"/>
            </w:tcBorders>
            <w:vAlign w:val="center"/>
          </w:tcPr>
          <w:p w14:paraId="1F74E591">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4040686</w:t>
            </w:r>
          </w:p>
        </w:tc>
        <w:tc>
          <w:tcPr>
            <w:tcW w:w="745" w:type="pct"/>
            <w:tcBorders>
              <w:top w:val="single" w:color="auto" w:sz="4" w:space="0"/>
              <w:left w:val="single" w:color="auto" w:sz="4" w:space="0"/>
              <w:bottom w:val="single" w:color="auto" w:sz="4" w:space="0"/>
              <w:right w:val="single" w:color="auto" w:sz="4" w:space="0"/>
            </w:tcBorders>
            <w:vAlign w:val="center"/>
          </w:tcPr>
          <w:p w14:paraId="5A8508F3">
            <w:pPr>
              <w:jc w:val="center"/>
              <w:rPr>
                <w:rFonts w:ascii="Times New Roman" w:hAnsi="Times New Roman" w:eastAsia="仿宋" w:cs="Times New Roman"/>
                <w:sz w:val="28"/>
                <w:szCs w:val="28"/>
              </w:rPr>
            </w:pPr>
          </w:p>
        </w:tc>
        <w:tc>
          <w:tcPr>
            <w:tcW w:w="1148" w:type="pct"/>
            <w:tcBorders>
              <w:top w:val="single" w:color="auto" w:sz="4" w:space="0"/>
              <w:left w:val="single" w:color="auto" w:sz="4" w:space="0"/>
              <w:bottom w:val="single" w:color="auto" w:sz="4" w:space="0"/>
              <w:right w:val="single" w:color="auto" w:sz="4" w:space="0"/>
            </w:tcBorders>
            <w:vAlign w:val="center"/>
          </w:tcPr>
          <w:p w14:paraId="5C147A93">
            <w:pPr>
              <w:jc w:val="center"/>
              <w:rPr>
                <w:rFonts w:ascii="Times New Roman" w:hAnsi="Times New Roman" w:eastAsia="仿宋" w:cs="Times New Roman"/>
                <w:sz w:val="28"/>
                <w:szCs w:val="28"/>
              </w:rPr>
            </w:pPr>
          </w:p>
        </w:tc>
      </w:tr>
      <w:tr w14:paraId="7E21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F27E4BF">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03A63E7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区应急管理局</w:t>
            </w:r>
          </w:p>
        </w:tc>
        <w:tc>
          <w:tcPr>
            <w:tcW w:w="970" w:type="pct"/>
            <w:tcBorders>
              <w:top w:val="single" w:color="auto" w:sz="4" w:space="0"/>
              <w:left w:val="single" w:color="auto" w:sz="4" w:space="0"/>
              <w:bottom w:val="single" w:color="auto" w:sz="4" w:space="0"/>
              <w:right w:val="single" w:color="auto" w:sz="4" w:space="0"/>
            </w:tcBorders>
            <w:vAlign w:val="center"/>
          </w:tcPr>
          <w:p w14:paraId="34ED6853">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4040012</w:t>
            </w:r>
          </w:p>
        </w:tc>
        <w:tc>
          <w:tcPr>
            <w:tcW w:w="745" w:type="pct"/>
            <w:tcBorders>
              <w:top w:val="single" w:color="auto" w:sz="4" w:space="0"/>
              <w:left w:val="single" w:color="auto" w:sz="4" w:space="0"/>
              <w:bottom w:val="single" w:color="auto" w:sz="4" w:space="0"/>
              <w:right w:val="single" w:color="auto" w:sz="4" w:space="0"/>
            </w:tcBorders>
            <w:vAlign w:val="center"/>
          </w:tcPr>
          <w:p w14:paraId="3B23DF1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 周喜旺 </w:t>
            </w:r>
          </w:p>
        </w:tc>
        <w:tc>
          <w:tcPr>
            <w:tcW w:w="1148" w:type="pct"/>
            <w:tcBorders>
              <w:top w:val="single" w:color="auto" w:sz="4" w:space="0"/>
              <w:left w:val="single" w:color="auto" w:sz="4" w:space="0"/>
              <w:bottom w:val="single" w:color="auto" w:sz="4" w:space="0"/>
              <w:right w:val="single" w:color="auto" w:sz="4" w:space="0"/>
            </w:tcBorders>
            <w:vAlign w:val="center"/>
          </w:tcPr>
          <w:p w14:paraId="326B5523">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4040012</w:t>
            </w:r>
          </w:p>
        </w:tc>
      </w:tr>
      <w:tr w14:paraId="31F4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1EAAB71C">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230389A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区发改科技局</w:t>
            </w:r>
          </w:p>
        </w:tc>
        <w:tc>
          <w:tcPr>
            <w:tcW w:w="970" w:type="pct"/>
            <w:tcBorders>
              <w:top w:val="single" w:color="auto" w:sz="4" w:space="0"/>
              <w:left w:val="single" w:color="auto" w:sz="4" w:space="0"/>
              <w:bottom w:val="single" w:color="auto" w:sz="4" w:space="0"/>
              <w:right w:val="single" w:color="auto" w:sz="4" w:space="0"/>
            </w:tcBorders>
            <w:vAlign w:val="center"/>
          </w:tcPr>
          <w:p w14:paraId="4876042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4031115 </w:t>
            </w:r>
          </w:p>
        </w:tc>
        <w:tc>
          <w:tcPr>
            <w:tcW w:w="745" w:type="pct"/>
            <w:tcBorders>
              <w:top w:val="single" w:color="auto" w:sz="4" w:space="0"/>
              <w:left w:val="single" w:color="auto" w:sz="4" w:space="0"/>
              <w:bottom w:val="single" w:color="auto" w:sz="4" w:space="0"/>
              <w:right w:val="single" w:color="auto" w:sz="4" w:space="0"/>
            </w:tcBorders>
            <w:vAlign w:val="center"/>
          </w:tcPr>
          <w:p w14:paraId="44E4F9F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杨晓伟</w:t>
            </w:r>
          </w:p>
        </w:tc>
        <w:tc>
          <w:tcPr>
            <w:tcW w:w="1148" w:type="pct"/>
            <w:tcBorders>
              <w:top w:val="single" w:color="auto" w:sz="4" w:space="0"/>
              <w:left w:val="single" w:color="auto" w:sz="4" w:space="0"/>
              <w:bottom w:val="single" w:color="auto" w:sz="4" w:space="0"/>
              <w:right w:val="single" w:color="auto" w:sz="4" w:space="0"/>
            </w:tcBorders>
            <w:vAlign w:val="center"/>
          </w:tcPr>
          <w:p w14:paraId="625E192D">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18734671791</w:t>
            </w:r>
          </w:p>
        </w:tc>
      </w:tr>
      <w:tr w14:paraId="3F44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069D9590">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1C3605E3">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区工信局</w:t>
            </w:r>
          </w:p>
        </w:tc>
        <w:tc>
          <w:tcPr>
            <w:tcW w:w="970" w:type="pct"/>
            <w:tcBorders>
              <w:top w:val="single" w:color="auto" w:sz="4" w:space="0"/>
              <w:left w:val="single" w:color="auto" w:sz="4" w:space="0"/>
              <w:bottom w:val="single" w:color="auto" w:sz="4" w:space="0"/>
              <w:right w:val="single" w:color="auto" w:sz="4" w:space="0"/>
            </w:tcBorders>
            <w:vAlign w:val="center"/>
          </w:tcPr>
          <w:p w14:paraId="23A01C7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4042158 </w:t>
            </w:r>
          </w:p>
        </w:tc>
        <w:tc>
          <w:tcPr>
            <w:tcW w:w="745" w:type="pct"/>
            <w:tcBorders>
              <w:top w:val="single" w:color="auto" w:sz="4" w:space="0"/>
              <w:left w:val="single" w:color="auto" w:sz="4" w:space="0"/>
              <w:bottom w:val="single" w:color="auto" w:sz="4" w:space="0"/>
              <w:right w:val="single" w:color="auto" w:sz="4" w:space="0"/>
            </w:tcBorders>
            <w:vAlign w:val="center"/>
          </w:tcPr>
          <w:p w14:paraId="5934375C">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王中旺</w:t>
            </w:r>
          </w:p>
        </w:tc>
        <w:tc>
          <w:tcPr>
            <w:tcW w:w="1148" w:type="pct"/>
            <w:tcBorders>
              <w:top w:val="single" w:color="auto" w:sz="4" w:space="0"/>
              <w:left w:val="single" w:color="auto" w:sz="4" w:space="0"/>
              <w:bottom w:val="single" w:color="auto" w:sz="4" w:space="0"/>
              <w:right w:val="single" w:color="auto" w:sz="4" w:space="0"/>
            </w:tcBorders>
            <w:vAlign w:val="center"/>
          </w:tcPr>
          <w:p w14:paraId="1263A675">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18435138746</w:t>
            </w:r>
          </w:p>
        </w:tc>
      </w:tr>
      <w:tr w14:paraId="432A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5FF2852B">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0BB296B4">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市公安局云冈分局</w:t>
            </w:r>
          </w:p>
        </w:tc>
        <w:tc>
          <w:tcPr>
            <w:tcW w:w="970" w:type="pct"/>
            <w:tcBorders>
              <w:top w:val="single" w:color="auto" w:sz="4" w:space="0"/>
              <w:left w:val="single" w:color="auto" w:sz="4" w:space="0"/>
              <w:bottom w:val="single" w:color="auto" w:sz="4" w:space="0"/>
              <w:right w:val="single" w:color="auto" w:sz="4" w:space="0"/>
            </w:tcBorders>
            <w:vAlign w:val="center"/>
          </w:tcPr>
          <w:p w14:paraId="2DA3E0AC">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4055110 </w:t>
            </w:r>
          </w:p>
        </w:tc>
        <w:tc>
          <w:tcPr>
            <w:tcW w:w="745" w:type="pct"/>
            <w:tcBorders>
              <w:top w:val="single" w:color="auto" w:sz="4" w:space="0"/>
              <w:left w:val="single" w:color="auto" w:sz="4" w:space="0"/>
              <w:bottom w:val="single" w:color="auto" w:sz="4" w:space="0"/>
              <w:right w:val="single" w:color="auto" w:sz="4" w:space="0"/>
            </w:tcBorders>
            <w:vAlign w:val="center"/>
          </w:tcPr>
          <w:p w14:paraId="22CFF88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游双全</w:t>
            </w:r>
          </w:p>
        </w:tc>
        <w:tc>
          <w:tcPr>
            <w:tcW w:w="1148" w:type="pct"/>
            <w:tcBorders>
              <w:top w:val="single" w:color="auto" w:sz="4" w:space="0"/>
              <w:left w:val="single" w:color="auto" w:sz="4" w:space="0"/>
              <w:bottom w:val="single" w:color="auto" w:sz="4" w:space="0"/>
              <w:right w:val="single" w:color="auto" w:sz="4" w:space="0"/>
            </w:tcBorders>
            <w:vAlign w:val="center"/>
          </w:tcPr>
          <w:p w14:paraId="45CD1594">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13903523573</w:t>
            </w:r>
          </w:p>
        </w:tc>
      </w:tr>
      <w:tr w14:paraId="162F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78341CC3">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46C209C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区财政局</w:t>
            </w:r>
          </w:p>
        </w:tc>
        <w:tc>
          <w:tcPr>
            <w:tcW w:w="970" w:type="pct"/>
            <w:tcBorders>
              <w:top w:val="single" w:color="auto" w:sz="4" w:space="0"/>
              <w:left w:val="single" w:color="auto" w:sz="4" w:space="0"/>
              <w:bottom w:val="single" w:color="auto" w:sz="4" w:space="0"/>
              <w:right w:val="single" w:color="auto" w:sz="4" w:space="0"/>
            </w:tcBorders>
            <w:vAlign w:val="center"/>
          </w:tcPr>
          <w:p w14:paraId="0D603D96">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4040216 </w:t>
            </w:r>
          </w:p>
        </w:tc>
        <w:tc>
          <w:tcPr>
            <w:tcW w:w="745" w:type="pct"/>
            <w:tcBorders>
              <w:top w:val="single" w:color="auto" w:sz="4" w:space="0"/>
              <w:left w:val="single" w:color="auto" w:sz="4" w:space="0"/>
              <w:bottom w:val="single" w:color="auto" w:sz="4" w:space="0"/>
              <w:right w:val="single" w:color="auto" w:sz="4" w:space="0"/>
            </w:tcBorders>
            <w:vAlign w:val="center"/>
          </w:tcPr>
          <w:p w14:paraId="0D7DD4A4">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 翟潇</w:t>
            </w:r>
          </w:p>
        </w:tc>
        <w:tc>
          <w:tcPr>
            <w:tcW w:w="1148" w:type="pct"/>
            <w:tcBorders>
              <w:top w:val="single" w:color="auto" w:sz="4" w:space="0"/>
              <w:left w:val="single" w:color="auto" w:sz="4" w:space="0"/>
              <w:bottom w:val="single" w:color="auto" w:sz="4" w:space="0"/>
              <w:right w:val="single" w:color="auto" w:sz="4" w:space="0"/>
            </w:tcBorders>
            <w:vAlign w:val="center"/>
          </w:tcPr>
          <w:p w14:paraId="7A2A138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18635263144</w:t>
            </w:r>
          </w:p>
        </w:tc>
      </w:tr>
      <w:tr w14:paraId="411B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4E0A3491">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1E4C629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区水务局</w:t>
            </w:r>
          </w:p>
        </w:tc>
        <w:tc>
          <w:tcPr>
            <w:tcW w:w="970" w:type="pct"/>
            <w:tcBorders>
              <w:top w:val="single" w:color="auto" w:sz="4" w:space="0"/>
              <w:left w:val="single" w:color="auto" w:sz="4" w:space="0"/>
              <w:bottom w:val="single" w:color="auto" w:sz="4" w:space="0"/>
              <w:right w:val="single" w:color="auto" w:sz="4" w:space="0"/>
            </w:tcBorders>
            <w:vAlign w:val="center"/>
          </w:tcPr>
          <w:p w14:paraId="5E42B63A">
            <w:pPr>
              <w:jc w:val="center"/>
              <w:rPr>
                <w:rFonts w:ascii="Times New Roman" w:hAnsi="Times New Roman" w:eastAsia="仿宋" w:cs="Times New Roman"/>
                <w:sz w:val="28"/>
                <w:szCs w:val="28"/>
              </w:rPr>
            </w:pPr>
            <w:r>
              <w:rPr>
                <w:rFonts w:hint="eastAsia" w:ascii="Times New Roman" w:hAnsi="Times New Roman" w:eastAsia="仿宋" w:cs="Arial"/>
                <w:sz w:val="28"/>
                <w:szCs w:val="28"/>
              </w:rPr>
              <w:t>7959242</w:t>
            </w:r>
          </w:p>
        </w:tc>
        <w:tc>
          <w:tcPr>
            <w:tcW w:w="745" w:type="pct"/>
            <w:tcBorders>
              <w:top w:val="single" w:color="auto" w:sz="4" w:space="0"/>
              <w:left w:val="single" w:color="auto" w:sz="4" w:space="0"/>
              <w:bottom w:val="single" w:color="auto" w:sz="4" w:space="0"/>
              <w:right w:val="single" w:color="auto" w:sz="4" w:space="0"/>
            </w:tcBorders>
            <w:vAlign w:val="center"/>
          </w:tcPr>
          <w:p w14:paraId="64307094">
            <w:pPr>
              <w:jc w:val="center"/>
              <w:rPr>
                <w:rFonts w:ascii="Times New Roman" w:hAnsi="Times New Roman" w:eastAsia="仿宋" w:cs="Times New Roman"/>
                <w:sz w:val="28"/>
                <w:szCs w:val="28"/>
              </w:rPr>
            </w:pPr>
          </w:p>
        </w:tc>
        <w:tc>
          <w:tcPr>
            <w:tcW w:w="1148" w:type="pct"/>
            <w:tcBorders>
              <w:top w:val="single" w:color="auto" w:sz="4" w:space="0"/>
              <w:left w:val="single" w:color="auto" w:sz="4" w:space="0"/>
              <w:bottom w:val="single" w:color="auto" w:sz="4" w:space="0"/>
              <w:right w:val="single" w:color="auto" w:sz="4" w:space="0"/>
            </w:tcBorders>
            <w:vAlign w:val="center"/>
          </w:tcPr>
          <w:p w14:paraId="533DF0DD">
            <w:pPr>
              <w:jc w:val="center"/>
              <w:rPr>
                <w:rFonts w:ascii="Times New Roman" w:hAnsi="Times New Roman" w:eastAsia="仿宋" w:cs="Times New Roman"/>
                <w:sz w:val="28"/>
                <w:szCs w:val="28"/>
              </w:rPr>
            </w:pPr>
          </w:p>
        </w:tc>
      </w:tr>
      <w:tr w14:paraId="7855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72C6A67">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27AEE4D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区农业农村局</w:t>
            </w:r>
          </w:p>
        </w:tc>
        <w:tc>
          <w:tcPr>
            <w:tcW w:w="970" w:type="pct"/>
            <w:tcBorders>
              <w:top w:val="single" w:color="auto" w:sz="4" w:space="0"/>
              <w:left w:val="single" w:color="auto" w:sz="4" w:space="0"/>
              <w:bottom w:val="single" w:color="auto" w:sz="4" w:space="0"/>
              <w:right w:val="single" w:color="auto" w:sz="4" w:space="0"/>
            </w:tcBorders>
            <w:vAlign w:val="center"/>
          </w:tcPr>
          <w:p w14:paraId="3E8971F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4041551</w:t>
            </w:r>
          </w:p>
        </w:tc>
        <w:tc>
          <w:tcPr>
            <w:tcW w:w="745" w:type="pct"/>
            <w:tcBorders>
              <w:top w:val="single" w:color="auto" w:sz="4" w:space="0"/>
              <w:left w:val="single" w:color="auto" w:sz="4" w:space="0"/>
              <w:bottom w:val="single" w:color="auto" w:sz="4" w:space="0"/>
              <w:right w:val="single" w:color="auto" w:sz="4" w:space="0"/>
            </w:tcBorders>
            <w:vAlign w:val="center"/>
          </w:tcPr>
          <w:p w14:paraId="30578955">
            <w:pPr>
              <w:jc w:val="center"/>
              <w:rPr>
                <w:rFonts w:ascii="Times New Roman" w:hAnsi="Times New Roman" w:eastAsia="仿宋" w:cs="Times New Roman"/>
                <w:sz w:val="28"/>
                <w:szCs w:val="28"/>
              </w:rPr>
            </w:pPr>
          </w:p>
        </w:tc>
        <w:tc>
          <w:tcPr>
            <w:tcW w:w="1148" w:type="pct"/>
            <w:tcBorders>
              <w:top w:val="single" w:color="auto" w:sz="4" w:space="0"/>
              <w:left w:val="single" w:color="auto" w:sz="4" w:space="0"/>
              <w:bottom w:val="single" w:color="auto" w:sz="4" w:space="0"/>
              <w:right w:val="single" w:color="auto" w:sz="4" w:space="0"/>
            </w:tcBorders>
            <w:vAlign w:val="center"/>
          </w:tcPr>
          <w:p w14:paraId="227F0F70">
            <w:pPr>
              <w:jc w:val="center"/>
              <w:rPr>
                <w:rFonts w:ascii="Times New Roman" w:hAnsi="Times New Roman" w:eastAsia="仿宋" w:cs="Times New Roman"/>
                <w:sz w:val="28"/>
                <w:szCs w:val="28"/>
              </w:rPr>
            </w:pPr>
          </w:p>
        </w:tc>
      </w:tr>
      <w:tr w14:paraId="69B8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72299785">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3E51E75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区自然资源局</w:t>
            </w:r>
          </w:p>
        </w:tc>
        <w:tc>
          <w:tcPr>
            <w:tcW w:w="970" w:type="pct"/>
            <w:tcBorders>
              <w:top w:val="single" w:color="auto" w:sz="4" w:space="0"/>
              <w:left w:val="single" w:color="auto" w:sz="4" w:space="0"/>
              <w:bottom w:val="single" w:color="auto" w:sz="4" w:space="0"/>
              <w:right w:val="single" w:color="auto" w:sz="4" w:space="0"/>
            </w:tcBorders>
            <w:vAlign w:val="center"/>
          </w:tcPr>
          <w:p w14:paraId="2ED95640">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4508099 </w:t>
            </w:r>
          </w:p>
        </w:tc>
        <w:tc>
          <w:tcPr>
            <w:tcW w:w="745" w:type="pct"/>
            <w:tcBorders>
              <w:top w:val="single" w:color="auto" w:sz="4" w:space="0"/>
              <w:left w:val="single" w:color="auto" w:sz="4" w:space="0"/>
              <w:bottom w:val="single" w:color="auto" w:sz="4" w:space="0"/>
              <w:right w:val="single" w:color="auto" w:sz="4" w:space="0"/>
            </w:tcBorders>
            <w:vAlign w:val="center"/>
          </w:tcPr>
          <w:p w14:paraId="2824573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杨卓越</w:t>
            </w:r>
          </w:p>
        </w:tc>
        <w:tc>
          <w:tcPr>
            <w:tcW w:w="1148" w:type="pct"/>
            <w:tcBorders>
              <w:top w:val="single" w:color="auto" w:sz="4" w:space="0"/>
              <w:left w:val="single" w:color="auto" w:sz="4" w:space="0"/>
              <w:bottom w:val="single" w:color="auto" w:sz="4" w:space="0"/>
              <w:right w:val="single" w:color="auto" w:sz="4" w:space="0"/>
            </w:tcBorders>
            <w:vAlign w:val="center"/>
          </w:tcPr>
          <w:p w14:paraId="2C3AB7C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13994306529</w:t>
            </w:r>
          </w:p>
        </w:tc>
      </w:tr>
      <w:tr w14:paraId="0BD3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1B7D4D71">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4370EAD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区住建局</w:t>
            </w:r>
          </w:p>
        </w:tc>
        <w:tc>
          <w:tcPr>
            <w:tcW w:w="970" w:type="pct"/>
            <w:tcBorders>
              <w:top w:val="single" w:color="auto" w:sz="4" w:space="0"/>
              <w:left w:val="single" w:color="auto" w:sz="4" w:space="0"/>
              <w:bottom w:val="single" w:color="auto" w:sz="4" w:space="0"/>
              <w:right w:val="single" w:color="auto" w:sz="4" w:space="0"/>
            </w:tcBorders>
            <w:vAlign w:val="center"/>
          </w:tcPr>
          <w:p w14:paraId="14CE3BC6">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7608566</w:t>
            </w:r>
          </w:p>
        </w:tc>
        <w:tc>
          <w:tcPr>
            <w:tcW w:w="745" w:type="pct"/>
            <w:tcBorders>
              <w:top w:val="single" w:color="auto" w:sz="4" w:space="0"/>
              <w:left w:val="single" w:color="auto" w:sz="4" w:space="0"/>
              <w:bottom w:val="single" w:color="auto" w:sz="4" w:space="0"/>
              <w:right w:val="single" w:color="auto" w:sz="4" w:space="0"/>
            </w:tcBorders>
            <w:vAlign w:val="center"/>
          </w:tcPr>
          <w:p w14:paraId="4E4FA445">
            <w:pPr>
              <w:jc w:val="center"/>
              <w:rPr>
                <w:rFonts w:ascii="Times New Roman" w:hAnsi="Times New Roman" w:eastAsia="仿宋" w:cs="Times New Roman"/>
                <w:sz w:val="28"/>
                <w:szCs w:val="28"/>
              </w:rPr>
            </w:pPr>
          </w:p>
        </w:tc>
        <w:tc>
          <w:tcPr>
            <w:tcW w:w="1148" w:type="pct"/>
            <w:tcBorders>
              <w:top w:val="single" w:color="auto" w:sz="4" w:space="0"/>
              <w:left w:val="single" w:color="auto" w:sz="4" w:space="0"/>
              <w:bottom w:val="single" w:color="auto" w:sz="4" w:space="0"/>
              <w:right w:val="single" w:color="auto" w:sz="4" w:space="0"/>
            </w:tcBorders>
            <w:vAlign w:val="center"/>
          </w:tcPr>
          <w:p w14:paraId="0DEBFB75">
            <w:pPr>
              <w:jc w:val="center"/>
              <w:rPr>
                <w:rFonts w:ascii="Times New Roman" w:hAnsi="Times New Roman" w:eastAsia="仿宋" w:cs="Times New Roman"/>
                <w:sz w:val="28"/>
                <w:szCs w:val="28"/>
              </w:rPr>
            </w:pPr>
          </w:p>
        </w:tc>
      </w:tr>
      <w:tr w14:paraId="0CF7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573E56FD">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49AE598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区交通局</w:t>
            </w:r>
          </w:p>
        </w:tc>
        <w:tc>
          <w:tcPr>
            <w:tcW w:w="970" w:type="pct"/>
            <w:tcBorders>
              <w:top w:val="single" w:color="auto" w:sz="4" w:space="0"/>
              <w:left w:val="single" w:color="auto" w:sz="4" w:space="0"/>
              <w:bottom w:val="single" w:color="auto" w:sz="4" w:space="0"/>
              <w:right w:val="single" w:color="auto" w:sz="4" w:space="0"/>
            </w:tcBorders>
            <w:vAlign w:val="center"/>
          </w:tcPr>
          <w:p w14:paraId="5AA1958A">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4506782 </w:t>
            </w:r>
          </w:p>
        </w:tc>
        <w:tc>
          <w:tcPr>
            <w:tcW w:w="745" w:type="pct"/>
            <w:tcBorders>
              <w:top w:val="single" w:color="auto" w:sz="4" w:space="0"/>
              <w:left w:val="single" w:color="auto" w:sz="4" w:space="0"/>
              <w:bottom w:val="single" w:color="auto" w:sz="4" w:space="0"/>
              <w:right w:val="single" w:color="auto" w:sz="4" w:space="0"/>
            </w:tcBorders>
            <w:vAlign w:val="center"/>
          </w:tcPr>
          <w:p w14:paraId="109A269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靳权</w:t>
            </w:r>
          </w:p>
        </w:tc>
        <w:tc>
          <w:tcPr>
            <w:tcW w:w="1148" w:type="pct"/>
            <w:tcBorders>
              <w:top w:val="single" w:color="auto" w:sz="4" w:space="0"/>
              <w:left w:val="single" w:color="auto" w:sz="4" w:space="0"/>
              <w:bottom w:val="single" w:color="auto" w:sz="4" w:space="0"/>
              <w:right w:val="single" w:color="auto" w:sz="4" w:space="0"/>
            </w:tcBorders>
            <w:vAlign w:val="center"/>
          </w:tcPr>
          <w:p w14:paraId="18A5914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18647448202</w:t>
            </w:r>
          </w:p>
        </w:tc>
      </w:tr>
      <w:tr w14:paraId="528A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0B8827BD">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3B691DCA">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区卫体局</w:t>
            </w:r>
          </w:p>
        </w:tc>
        <w:tc>
          <w:tcPr>
            <w:tcW w:w="970" w:type="pct"/>
            <w:tcBorders>
              <w:top w:val="single" w:color="auto" w:sz="4" w:space="0"/>
              <w:left w:val="single" w:color="auto" w:sz="4" w:space="0"/>
              <w:bottom w:val="single" w:color="auto" w:sz="4" w:space="0"/>
              <w:right w:val="single" w:color="auto" w:sz="4" w:space="0"/>
            </w:tcBorders>
            <w:vAlign w:val="center"/>
          </w:tcPr>
          <w:p w14:paraId="1D1F6027">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4022265</w:t>
            </w:r>
          </w:p>
        </w:tc>
        <w:tc>
          <w:tcPr>
            <w:tcW w:w="745" w:type="pct"/>
            <w:tcBorders>
              <w:top w:val="single" w:color="auto" w:sz="4" w:space="0"/>
              <w:left w:val="single" w:color="auto" w:sz="4" w:space="0"/>
              <w:bottom w:val="single" w:color="auto" w:sz="4" w:space="0"/>
              <w:right w:val="single" w:color="auto" w:sz="4" w:space="0"/>
            </w:tcBorders>
            <w:vAlign w:val="center"/>
          </w:tcPr>
          <w:p w14:paraId="45FBA626">
            <w:pPr>
              <w:jc w:val="center"/>
              <w:rPr>
                <w:rFonts w:ascii="Times New Roman" w:hAnsi="Times New Roman" w:eastAsia="仿宋" w:cs="Times New Roman"/>
                <w:sz w:val="28"/>
                <w:szCs w:val="28"/>
              </w:rPr>
            </w:pPr>
          </w:p>
        </w:tc>
        <w:tc>
          <w:tcPr>
            <w:tcW w:w="1148" w:type="pct"/>
            <w:tcBorders>
              <w:top w:val="single" w:color="auto" w:sz="4" w:space="0"/>
              <w:left w:val="single" w:color="auto" w:sz="4" w:space="0"/>
              <w:bottom w:val="single" w:color="auto" w:sz="4" w:space="0"/>
              <w:right w:val="single" w:color="auto" w:sz="4" w:space="0"/>
            </w:tcBorders>
            <w:vAlign w:val="center"/>
          </w:tcPr>
          <w:p w14:paraId="013D36D6">
            <w:pPr>
              <w:jc w:val="center"/>
              <w:rPr>
                <w:rFonts w:ascii="Times New Roman" w:hAnsi="Times New Roman" w:eastAsia="仿宋" w:cs="Times New Roman"/>
                <w:sz w:val="28"/>
                <w:szCs w:val="28"/>
              </w:rPr>
            </w:pPr>
          </w:p>
        </w:tc>
      </w:tr>
      <w:tr w14:paraId="4E29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3584D14F">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69F47CAD">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区能源局</w:t>
            </w:r>
          </w:p>
        </w:tc>
        <w:tc>
          <w:tcPr>
            <w:tcW w:w="970" w:type="pct"/>
            <w:tcBorders>
              <w:top w:val="single" w:color="auto" w:sz="4" w:space="0"/>
              <w:left w:val="single" w:color="auto" w:sz="4" w:space="0"/>
              <w:bottom w:val="single" w:color="auto" w:sz="4" w:space="0"/>
              <w:right w:val="single" w:color="auto" w:sz="4" w:space="0"/>
            </w:tcBorders>
            <w:vAlign w:val="center"/>
          </w:tcPr>
          <w:p w14:paraId="366D7D49">
            <w:pPr>
              <w:jc w:val="center"/>
              <w:rPr>
                <w:rFonts w:ascii="Times New Roman" w:hAnsi="Times New Roman" w:eastAsia="仿宋" w:cs="Times New Roman"/>
                <w:sz w:val="28"/>
                <w:szCs w:val="28"/>
              </w:rPr>
            </w:pPr>
            <w:r>
              <w:rPr>
                <w:rFonts w:hint="eastAsia" w:ascii="Times New Roman" w:hAnsi="Times New Roman" w:eastAsia="仿宋" w:cs="微软雅黑"/>
                <w:sz w:val="28"/>
                <w:szCs w:val="28"/>
              </w:rPr>
              <w:t>4051660</w:t>
            </w:r>
          </w:p>
        </w:tc>
        <w:tc>
          <w:tcPr>
            <w:tcW w:w="745" w:type="pct"/>
            <w:tcBorders>
              <w:top w:val="single" w:color="auto" w:sz="4" w:space="0"/>
              <w:left w:val="single" w:color="auto" w:sz="4" w:space="0"/>
              <w:bottom w:val="single" w:color="auto" w:sz="4" w:space="0"/>
              <w:right w:val="single" w:color="auto" w:sz="4" w:space="0"/>
            </w:tcBorders>
            <w:vAlign w:val="center"/>
          </w:tcPr>
          <w:p w14:paraId="45B67332">
            <w:pPr>
              <w:jc w:val="center"/>
              <w:rPr>
                <w:rFonts w:ascii="Times New Roman" w:hAnsi="Times New Roman" w:eastAsia="仿宋" w:cs="Times New Roman"/>
                <w:sz w:val="28"/>
                <w:szCs w:val="28"/>
              </w:rPr>
            </w:pPr>
            <w:r>
              <w:rPr>
                <w:rFonts w:hint="eastAsia" w:ascii="Times New Roman" w:hAnsi="Times New Roman" w:eastAsia="仿宋" w:cs="微软雅黑"/>
                <w:sz w:val="28"/>
                <w:szCs w:val="28"/>
              </w:rPr>
              <w:t xml:space="preserve"> 刘洋 </w:t>
            </w:r>
          </w:p>
        </w:tc>
        <w:tc>
          <w:tcPr>
            <w:tcW w:w="1148" w:type="pct"/>
            <w:tcBorders>
              <w:top w:val="single" w:color="auto" w:sz="4" w:space="0"/>
              <w:left w:val="single" w:color="auto" w:sz="4" w:space="0"/>
              <w:bottom w:val="single" w:color="auto" w:sz="4" w:space="0"/>
              <w:right w:val="single" w:color="auto" w:sz="4" w:space="0"/>
            </w:tcBorders>
            <w:vAlign w:val="center"/>
          </w:tcPr>
          <w:p w14:paraId="5D272CDC">
            <w:pPr>
              <w:jc w:val="center"/>
              <w:rPr>
                <w:rFonts w:ascii="Times New Roman" w:hAnsi="Times New Roman" w:eastAsia="仿宋" w:cs="Times New Roman"/>
                <w:sz w:val="28"/>
                <w:szCs w:val="28"/>
              </w:rPr>
            </w:pPr>
            <w:r>
              <w:rPr>
                <w:rFonts w:hint="eastAsia" w:ascii="Times New Roman" w:hAnsi="Times New Roman" w:eastAsia="仿宋" w:cs="微软雅黑"/>
                <w:sz w:val="28"/>
                <w:szCs w:val="28"/>
              </w:rPr>
              <w:t>18222936510</w:t>
            </w:r>
          </w:p>
        </w:tc>
      </w:tr>
      <w:tr w14:paraId="28CB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506441C2">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02A8E1AD">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区教育局</w:t>
            </w:r>
          </w:p>
        </w:tc>
        <w:tc>
          <w:tcPr>
            <w:tcW w:w="970" w:type="pct"/>
            <w:tcBorders>
              <w:top w:val="single" w:color="auto" w:sz="4" w:space="0"/>
              <w:left w:val="single" w:color="auto" w:sz="4" w:space="0"/>
              <w:bottom w:val="single" w:color="auto" w:sz="4" w:space="0"/>
              <w:right w:val="single" w:color="auto" w:sz="4" w:space="0"/>
            </w:tcBorders>
            <w:vAlign w:val="center"/>
          </w:tcPr>
          <w:p w14:paraId="5CF01C09">
            <w:pPr>
              <w:jc w:val="center"/>
              <w:rPr>
                <w:rFonts w:ascii="Times New Roman" w:hAnsi="Times New Roman" w:eastAsia="仿宋" w:cs="Times New Roman"/>
                <w:sz w:val="28"/>
                <w:szCs w:val="28"/>
              </w:rPr>
            </w:pPr>
            <w:r>
              <w:rPr>
                <w:rFonts w:hint="eastAsia" w:ascii="Times New Roman" w:hAnsi="Times New Roman" w:eastAsia="仿宋" w:cs="微软雅黑"/>
                <w:sz w:val="28"/>
                <w:szCs w:val="28"/>
              </w:rPr>
              <w:t xml:space="preserve">4040356 </w:t>
            </w:r>
          </w:p>
        </w:tc>
        <w:tc>
          <w:tcPr>
            <w:tcW w:w="745" w:type="pct"/>
            <w:tcBorders>
              <w:top w:val="single" w:color="auto" w:sz="4" w:space="0"/>
              <w:left w:val="single" w:color="auto" w:sz="4" w:space="0"/>
              <w:bottom w:val="single" w:color="auto" w:sz="4" w:space="0"/>
              <w:right w:val="single" w:color="auto" w:sz="4" w:space="0"/>
            </w:tcBorders>
            <w:vAlign w:val="center"/>
          </w:tcPr>
          <w:p w14:paraId="42BF261A">
            <w:pPr>
              <w:jc w:val="center"/>
              <w:rPr>
                <w:rFonts w:ascii="Times New Roman" w:hAnsi="Times New Roman" w:eastAsia="仿宋" w:cs="Times New Roman"/>
                <w:sz w:val="28"/>
                <w:szCs w:val="28"/>
              </w:rPr>
            </w:pPr>
            <w:r>
              <w:rPr>
                <w:rFonts w:hint="eastAsia" w:ascii="Times New Roman" w:hAnsi="Times New Roman" w:eastAsia="仿宋" w:cs="微软雅黑"/>
                <w:sz w:val="28"/>
                <w:szCs w:val="28"/>
              </w:rPr>
              <w:t xml:space="preserve">黄继红 </w:t>
            </w:r>
          </w:p>
        </w:tc>
        <w:tc>
          <w:tcPr>
            <w:tcW w:w="1148" w:type="pct"/>
            <w:tcBorders>
              <w:top w:val="single" w:color="auto" w:sz="4" w:space="0"/>
              <w:left w:val="single" w:color="auto" w:sz="4" w:space="0"/>
              <w:bottom w:val="single" w:color="auto" w:sz="4" w:space="0"/>
              <w:right w:val="single" w:color="auto" w:sz="4" w:space="0"/>
            </w:tcBorders>
            <w:vAlign w:val="center"/>
          </w:tcPr>
          <w:p w14:paraId="556A5799">
            <w:pPr>
              <w:jc w:val="center"/>
              <w:rPr>
                <w:rFonts w:ascii="Times New Roman" w:hAnsi="Times New Roman" w:eastAsia="仿宋" w:cs="Times New Roman"/>
                <w:sz w:val="28"/>
                <w:szCs w:val="28"/>
              </w:rPr>
            </w:pPr>
            <w:r>
              <w:rPr>
                <w:rFonts w:hint="eastAsia" w:ascii="Times New Roman" w:hAnsi="Times New Roman" w:eastAsia="仿宋" w:cs="微软雅黑"/>
                <w:sz w:val="28"/>
                <w:szCs w:val="28"/>
              </w:rPr>
              <w:t>18832505445</w:t>
            </w:r>
          </w:p>
        </w:tc>
      </w:tr>
      <w:tr w14:paraId="347E8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48B74300">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3A0C6A3C">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区市场监督管理局</w:t>
            </w:r>
          </w:p>
        </w:tc>
        <w:tc>
          <w:tcPr>
            <w:tcW w:w="970" w:type="pct"/>
            <w:tcBorders>
              <w:top w:val="single" w:color="auto" w:sz="4" w:space="0"/>
              <w:left w:val="single" w:color="auto" w:sz="4" w:space="0"/>
              <w:bottom w:val="single" w:color="auto" w:sz="4" w:space="0"/>
              <w:right w:val="single" w:color="auto" w:sz="4" w:space="0"/>
            </w:tcBorders>
            <w:vAlign w:val="center"/>
          </w:tcPr>
          <w:p w14:paraId="237FC0B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5331903 </w:t>
            </w:r>
          </w:p>
        </w:tc>
        <w:tc>
          <w:tcPr>
            <w:tcW w:w="745" w:type="pct"/>
            <w:tcBorders>
              <w:top w:val="single" w:color="auto" w:sz="4" w:space="0"/>
              <w:left w:val="single" w:color="auto" w:sz="4" w:space="0"/>
              <w:bottom w:val="single" w:color="auto" w:sz="4" w:space="0"/>
              <w:right w:val="single" w:color="auto" w:sz="4" w:space="0"/>
            </w:tcBorders>
            <w:vAlign w:val="center"/>
          </w:tcPr>
          <w:p w14:paraId="7E63047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朱东虎</w:t>
            </w:r>
          </w:p>
        </w:tc>
        <w:tc>
          <w:tcPr>
            <w:tcW w:w="1148" w:type="pct"/>
            <w:tcBorders>
              <w:top w:val="single" w:color="auto" w:sz="4" w:space="0"/>
              <w:left w:val="single" w:color="auto" w:sz="4" w:space="0"/>
              <w:bottom w:val="single" w:color="auto" w:sz="4" w:space="0"/>
              <w:right w:val="single" w:color="auto" w:sz="4" w:space="0"/>
            </w:tcBorders>
            <w:vAlign w:val="center"/>
          </w:tcPr>
          <w:p w14:paraId="29CF624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15503522878</w:t>
            </w:r>
          </w:p>
        </w:tc>
      </w:tr>
      <w:tr w14:paraId="7503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743295DC">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4F11B8F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区消防大队</w:t>
            </w:r>
          </w:p>
        </w:tc>
        <w:tc>
          <w:tcPr>
            <w:tcW w:w="970" w:type="pct"/>
            <w:tcBorders>
              <w:top w:val="single" w:color="auto" w:sz="4" w:space="0"/>
              <w:left w:val="single" w:color="auto" w:sz="4" w:space="0"/>
              <w:bottom w:val="single" w:color="auto" w:sz="4" w:space="0"/>
              <w:right w:val="single" w:color="auto" w:sz="4" w:space="0"/>
            </w:tcBorders>
            <w:vAlign w:val="center"/>
          </w:tcPr>
          <w:p w14:paraId="53CAC84C">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5337119 </w:t>
            </w:r>
          </w:p>
        </w:tc>
        <w:tc>
          <w:tcPr>
            <w:tcW w:w="745" w:type="pct"/>
            <w:tcBorders>
              <w:top w:val="single" w:color="auto" w:sz="4" w:space="0"/>
              <w:left w:val="single" w:color="auto" w:sz="4" w:space="0"/>
              <w:bottom w:val="single" w:color="auto" w:sz="4" w:space="0"/>
              <w:right w:val="single" w:color="auto" w:sz="4" w:space="0"/>
            </w:tcBorders>
            <w:vAlign w:val="center"/>
          </w:tcPr>
          <w:p w14:paraId="39C1914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杜磊磊</w:t>
            </w:r>
          </w:p>
        </w:tc>
        <w:tc>
          <w:tcPr>
            <w:tcW w:w="1148" w:type="pct"/>
            <w:tcBorders>
              <w:top w:val="single" w:color="auto" w:sz="4" w:space="0"/>
              <w:left w:val="single" w:color="auto" w:sz="4" w:space="0"/>
              <w:bottom w:val="single" w:color="auto" w:sz="4" w:space="0"/>
              <w:right w:val="single" w:color="auto" w:sz="4" w:space="0"/>
            </w:tcBorders>
            <w:vAlign w:val="center"/>
          </w:tcPr>
          <w:p w14:paraId="012969A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13903428567</w:t>
            </w:r>
          </w:p>
        </w:tc>
      </w:tr>
      <w:tr w14:paraId="6F26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52C90E0F">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60D9C5C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区交警五大队</w:t>
            </w:r>
          </w:p>
        </w:tc>
        <w:tc>
          <w:tcPr>
            <w:tcW w:w="970" w:type="pct"/>
            <w:tcBorders>
              <w:top w:val="single" w:color="auto" w:sz="4" w:space="0"/>
              <w:left w:val="single" w:color="auto" w:sz="4" w:space="0"/>
              <w:bottom w:val="single" w:color="auto" w:sz="4" w:space="0"/>
              <w:right w:val="single" w:color="auto" w:sz="4" w:space="0"/>
            </w:tcBorders>
            <w:vAlign w:val="center"/>
          </w:tcPr>
          <w:p w14:paraId="74BFB405">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2109122</w:t>
            </w:r>
          </w:p>
        </w:tc>
        <w:tc>
          <w:tcPr>
            <w:tcW w:w="745" w:type="pct"/>
            <w:tcBorders>
              <w:top w:val="single" w:color="auto" w:sz="4" w:space="0"/>
              <w:left w:val="single" w:color="auto" w:sz="4" w:space="0"/>
              <w:bottom w:val="single" w:color="auto" w:sz="4" w:space="0"/>
              <w:right w:val="single" w:color="auto" w:sz="4" w:space="0"/>
            </w:tcBorders>
            <w:vAlign w:val="center"/>
          </w:tcPr>
          <w:p w14:paraId="171DDC0C">
            <w:pPr>
              <w:jc w:val="center"/>
              <w:rPr>
                <w:rFonts w:ascii="Times New Roman" w:hAnsi="Times New Roman" w:eastAsia="仿宋" w:cs="Times New Roman"/>
                <w:sz w:val="28"/>
                <w:szCs w:val="28"/>
              </w:rPr>
            </w:pPr>
          </w:p>
        </w:tc>
        <w:tc>
          <w:tcPr>
            <w:tcW w:w="1148" w:type="pct"/>
            <w:tcBorders>
              <w:top w:val="single" w:color="auto" w:sz="4" w:space="0"/>
              <w:left w:val="single" w:color="auto" w:sz="4" w:space="0"/>
              <w:bottom w:val="single" w:color="auto" w:sz="4" w:space="0"/>
              <w:right w:val="single" w:color="auto" w:sz="4" w:space="0"/>
            </w:tcBorders>
            <w:vAlign w:val="center"/>
          </w:tcPr>
          <w:p w14:paraId="502C1BC1">
            <w:pPr>
              <w:jc w:val="center"/>
              <w:rPr>
                <w:rFonts w:ascii="Times New Roman" w:hAnsi="Times New Roman" w:eastAsia="仿宋" w:cs="Times New Roman"/>
                <w:sz w:val="28"/>
                <w:szCs w:val="28"/>
              </w:rPr>
            </w:pPr>
          </w:p>
        </w:tc>
      </w:tr>
      <w:tr w14:paraId="2F9F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129FABA4">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6A609BB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西花园街道 </w:t>
            </w:r>
          </w:p>
        </w:tc>
        <w:tc>
          <w:tcPr>
            <w:tcW w:w="970" w:type="pct"/>
            <w:tcBorders>
              <w:top w:val="single" w:color="auto" w:sz="4" w:space="0"/>
              <w:left w:val="single" w:color="auto" w:sz="4" w:space="0"/>
              <w:bottom w:val="single" w:color="auto" w:sz="4" w:space="0"/>
              <w:right w:val="single" w:color="auto" w:sz="4" w:space="0"/>
            </w:tcBorders>
            <w:vAlign w:val="center"/>
          </w:tcPr>
          <w:p w14:paraId="112987A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4085258 </w:t>
            </w:r>
          </w:p>
        </w:tc>
        <w:tc>
          <w:tcPr>
            <w:tcW w:w="745" w:type="pct"/>
            <w:tcBorders>
              <w:top w:val="single" w:color="auto" w:sz="4" w:space="0"/>
              <w:left w:val="single" w:color="auto" w:sz="4" w:space="0"/>
              <w:bottom w:val="single" w:color="auto" w:sz="4" w:space="0"/>
              <w:right w:val="single" w:color="auto" w:sz="4" w:space="0"/>
            </w:tcBorders>
            <w:vAlign w:val="center"/>
          </w:tcPr>
          <w:p w14:paraId="092FD1A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刘文敏 </w:t>
            </w:r>
          </w:p>
        </w:tc>
        <w:tc>
          <w:tcPr>
            <w:tcW w:w="1148" w:type="pct"/>
            <w:tcBorders>
              <w:top w:val="single" w:color="auto" w:sz="4" w:space="0"/>
              <w:left w:val="single" w:color="auto" w:sz="4" w:space="0"/>
              <w:bottom w:val="single" w:color="auto" w:sz="4" w:space="0"/>
              <w:right w:val="single" w:color="auto" w:sz="4" w:space="0"/>
            </w:tcBorders>
            <w:vAlign w:val="center"/>
          </w:tcPr>
          <w:p w14:paraId="4BFE351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13403646291</w:t>
            </w:r>
          </w:p>
        </w:tc>
      </w:tr>
      <w:tr w14:paraId="4B90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745397A9">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5E9026D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新文街道办事处 </w:t>
            </w:r>
          </w:p>
        </w:tc>
        <w:tc>
          <w:tcPr>
            <w:tcW w:w="970" w:type="pct"/>
            <w:tcBorders>
              <w:top w:val="single" w:color="auto" w:sz="4" w:space="0"/>
              <w:left w:val="single" w:color="auto" w:sz="4" w:space="0"/>
              <w:bottom w:val="single" w:color="auto" w:sz="4" w:space="0"/>
              <w:right w:val="single" w:color="auto" w:sz="4" w:space="0"/>
            </w:tcBorders>
            <w:vAlign w:val="center"/>
          </w:tcPr>
          <w:p w14:paraId="6A727C3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4216879</w:t>
            </w:r>
          </w:p>
        </w:tc>
        <w:tc>
          <w:tcPr>
            <w:tcW w:w="745" w:type="pct"/>
            <w:tcBorders>
              <w:top w:val="single" w:color="auto" w:sz="4" w:space="0"/>
              <w:left w:val="single" w:color="auto" w:sz="4" w:space="0"/>
              <w:bottom w:val="single" w:color="auto" w:sz="4" w:space="0"/>
              <w:right w:val="single" w:color="auto" w:sz="4" w:space="0"/>
            </w:tcBorders>
            <w:vAlign w:val="center"/>
          </w:tcPr>
          <w:p w14:paraId="42D8BE77">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李涛 </w:t>
            </w:r>
          </w:p>
        </w:tc>
        <w:tc>
          <w:tcPr>
            <w:tcW w:w="1148" w:type="pct"/>
            <w:tcBorders>
              <w:top w:val="single" w:color="auto" w:sz="4" w:space="0"/>
              <w:left w:val="single" w:color="auto" w:sz="4" w:space="0"/>
              <w:bottom w:val="single" w:color="auto" w:sz="4" w:space="0"/>
              <w:right w:val="single" w:color="auto" w:sz="4" w:space="0"/>
            </w:tcBorders>
            <w:vAlign w:val="center"/>
          </w:tcPr>
          <w:p w14:paraId="156E84B3">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13934745040</w:t>
            </w:r>
          </w:p>
        </w:tc>
      </w:tr>
      <w:tr w14:paraId="7E4F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2EC60F54">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tcPr>
          <w:p w14:paraId="66F9EA95">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鸦儿崖乡人民政府</w:t>
            </w:r>
          </w:p>
        </w:tc>
        <w:tc>
          <w:tcPr>
            <w:tcW w:w="970" w:type="pct"/>
            <w:tcBorders>
              <w:top w:val="single" w:color="auto" w:sz="4" w:space="0"/>
              <w:left w:val="single" w:color="auto" w:sz="4" w:space="0"/>
              <w:bottom w:val="single" w:color="auto" w:sz="4" w:space="0"/>
              <w:right w:val="single" w:color="auto" w:sz="4" w:space="0"/>
            </w:tcBorders>
          </w:tcPr>
          <w:p w14:paraId="25A498D2">
            <w:pPr>
              <w:ind w:firstLine="840" w:firstLineChars="300"/>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4168377 </w:t>
            </w:r>
          </w:p>
        </w:tc>
        <w:tc>
          <w:tcPr>
            <w:tcW w:w="745" w:type="pct"/>
            <w:tcBorders>
              <w:top w:val="single" w:color="auto" w:sz="4" w:space="0"/>
              <w:left w:val="single" w:color="auto" w:sz="4" w:space="0"/>
              <w:bottom w:val="single" w:color="auto" w:sz="4" w:space="0"/>
              <w:right w:val="single" w:color="auto" w:sz="4" w:space="0"/>
            </w:tcBorders>
          </w:tcPr>
          <w:p w14:paraId="2A0647B7">
            <w:pPr>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解加源 </w:t>
            </w:r>
          </w:p>
        </w:tc>
        <w:tc>
          <w:tcPr>
            <w:tcW w:w="1148" w:type="pct"/>
            <w:tcBorders>
              <w:top w:val="single" w:color="auto" w:sz="4" w:space="0"/>
              <w:left w:val="single" w:color="auto" w:sz="4" w:space="0"/>
              <w:bottom w:val="single" w:color="auto" w:sz="4" w:space="0"/>
              <w:right w:val="single" w:color="auto" w:sz="4" w:space="0"/>
            </w:tcBorders>
          </w:tcPr>
          <w:p w14:paraId="0EA6815C">
            <w:pPr>
              <w:ind w:firstLine="840" w:firstLineChars="300"/>
              <w:rPr>
                <w:rFonts w:ascii="Times New Roman" w:hAnsi="Times New Roman" w:eastAsia="仿宋" w:cs="Times New Roman"/>
                <w:sz w:val="28"/>
                <w:szCs w:val="28"/>
              </w:rPr>
            </w:pPr>
            <w:r>
              <w:rPr>
                <w:rFonts w:hint="eastAsia" w:ascii="Times New Roman" w:hAnsi="Times New Roman" w:eastAsia="仿宋" w:cs="Times New Roman"/>
                <w:sz w:val="28"/>
                <w:szCs w:val="28"/>
              </w:rPr>
              <w:t>13934788875</w:t>
            </w:r>
          </w:p>
        </w:tc>
      </w:tr>
      <w:tr w14:paraId="014B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F4A21AE">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05401E5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新胜街道办事处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1C39E91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4040816</w:t>
            </w:r>
          </w:p>
        </w:tc>
        <w:tc>
          <w:tcPr>
            <w:tcW w:w="745" w:type="pct"/>
            <w:tcBorders>
              <w:top w:val="single" w:color="auto" w:sz="4" w:space="0"/>
              <w:left w:val="single" w:color="auto" w:sz="4" w:space="0"/>
              <w:bottom w:val="single" w:color="auto" w:sz="4" w:space="0"/>
              <w:right w:val="single" w:color="auto" w:sz="4" w:space="0"/>
            </w:tcBorders>
            <w:vAlign w:val="center"/>
          </w:tcPr>
          <w:p w14:paraId="52ABE647">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郝妙枝</w:t>
            </w:r>
          </w:p>
        </w:tc>
        <w:tc>
          <w:tcPr>
            <w:tcW w:w="1148" w:type="pct"/>
            <w:tcBorders>
              <w:top w:val="single" w:color="auto" w:sz="4" w:space="0"/>
              <w:left w:val="single" w:color="auto" w:sz="4" w:space="0"/>
              <w:bottom w:val="single" w:color="auto" w:sz="4" w:space="0"/>
              <w:right w:val="single" w:color="auto" w:sz="4" w:space="0"/>
            </w:tcBorders>
            <w:vAlign w:val="center"/>
          </w:tcPr>
          <w:p w14:paraId="456F8D6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18035250425</w:t>
            </w:r>
          </w:p>
        </w:tc>
      </w:tr>
      <w:tr w14:paraId="5A02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D1440D0">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248CF800">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口泉乡人民政府</w:t>
            </w:r>
          </w:p>
        </w:tc>
        <w:tc>
          <w:tcPr>
            <w:tcW w:w="970" w:type="pct"/>
            <w:tcBorders>
              <w:top w:val="single" w:color="auto" w:sz="4" w:space="0"/>
              <w:left w:val="single" w:color="auto" w:sz="4" w:space="0"/>
              <w:bottom w:val="single" w:color="auto" w:sz="4" w:space="0"/>
              <w:right w:val="single" w:color="auto" w:sz="4" w:space="0"/>
            </w:tcBorders>
            <w:vAlign w:val="center"/>
          </w:tcPr>
          <w:p w14:paraId="7F9D14DA">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4052200</w:t>
            </w:r>
          </w:p>
        </w:tc>
        <w:tc>
          <w:tcPr>
            <w:tcW w:w="745" w:type="pct"/>
            <w:tcBorders>
              <w:top w:val="single" w:color="auto" w:sz="4" w:space="0"/>
              <w:left w:val="single" w:color="auto" w:sz="4" w:space="0"/>
              <w:bottom w:val="single" w:color="auto" w:sz="4" w:space="0"/>
              <w:right w:val="single" w:color="auto" w:sz="4" w:space="0"/>
            </w:tcBorders>
            <w:vAlign w:val="center"/>
          </w:tcPr>
          <w:p w14:paraId="66D8DA24">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李建军</w:t>
            </w:r>
          </w:p>
        </w:tc>
        <w:tc>
          <w:tcPr>
            <w:tcW w:w="1148" w:type="pct"/>
            <w:tcBorders>
              <w:top w:val="single" w:color="auto" w:sz="4" w:space="0"/>
              <w:left w:val="single" w:color="auto" w:sz="4" w:space="0"/>
              <w:bottom w:val="single" w:color="auto" w:sz="4" w:space="0"/>
              <w:right w:val="single" w:color="auto" w:sz="4" w:space="0"/>
            </w:tcBorders>
            <w:vAlign w:val="center"/>
          </w:tcPr>
          <w:p w14:paraId="3E6D598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13753283888</w:t>
            </w:r>
          </w:p>
        </w:tc>
      </w:tr>
      <w:tr w14:paraId="0B0F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04CCF38E">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408665B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高山镇人民政府</w:t>
            </w:r>
          </w:p>
        </w:tc>
        <w:tc>
          <w:tcPr>
            <w:tcW w:w="970" w:type="pct"/>
            <w:tcBorders>
              <w:top w:val="single" w:color="auto" w:sz="4" w:space="0"/>
              <w:left w:val="single" w:color="auto" w:sz="4" w:space="0"/>
              <w:bottom w:val="single" w:color="auto" w:sz="4" w:space="0"/>
              <w:right w:val="single" w:color="auto" w:sz="4" w:space="0"/>
            </w:tcBorders>
            <w:vAlign w:val="center"/>
          </w:tcPr>
          <w:p w14:paraId="2345D366">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3216262</w:t>
            </w:r>
          </w:p>
        </w:tc>
        <w:tc>
          <w:tcPr>
            <w:tcW w:w="745" w:type="pct"/>
            <w:tcBorders>
              <w:top w:val="single" w:color="auto" w:sz="4" w:space="0"/>
              <w:left w:val="single" w:color="auto" w:sz="4" w:space="0"/>
              <w:bottom w:val="single" w:color="auto" w:sz="4" w:space="0"/>
              <w:right w:val="single" w:color="auto" w:sz="4" w:space="0"/>
            </w:tcBorders>
            <w:vAlign w:val="center"/>
          </w:tcPr>
          <w:p w14:paraId="1816239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杨洁</w:t>
            </w:r>
          </w:p>
        </w:tc>
        <w:tc>
          <w:tcPr>
            <w:tcW w:w="1148" w:type="pct"/>
            <w:tcBorders>
              <w:top w:val="single" w:color="auto" w:sz="4" w:space="0"/>
              <w:left w:val="single" w:color="auto" w:sz="4" w:space="0"/>
              <w:bottom w:val="single" w:color="auto" w:sz="4" w:space="0"/>
              <w:right w:val="single" w:color="auto" w:sz="4" w:space="0"/>
            </w:tcBorders>
            <w:vAlign w:val="center"/>
          </w:tcPr>
          <w:p w14:paraId="0E6AAEC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13835251513</w:t>
            </w:r>
          </w:p>
        </w:tc>
      </w:tr>
      <w:tr w14:paraId="3279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49D5C95F">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6289D317">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云武街道办事处 </w:t>
            </w:r>
          </w:p>
        </w:tc>
        <w:tc>
          <w:tcPr>
            <w:tcW w:w="970" w:type="pct"/>
            <w:tcBorders>
              <w:top w:val="single" w:color="auto" w:sz="4" w:space="0"/>
              <w:left w:val="single" w:color="auto" w:sz="4" w:space="0"/>
              <w:bottom w:val="single" w:color="auto" w:sz="4" w:space="0"/>
              <w:right w:val="single" w:color="auto" w:sz="4" w:space="0"/>
            </w:tcBorders>
            <w:vAlign w:val="center"/>
          </w:tcPr>
          <w:p w14:paraId="4E59864D">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7086356</w:t>
            </w:r>
          </w:p>
        </w:tc>
        <w:tc>
          <w:tcPr>
            <w:tcW w:w="745" w:type="pct"/>
            <w:tcBorders>
              <w:top w:val="single" w:color="auto" w:sz="4" w:space="0"/>
              <w:left w:val="single" w:color="auto" w:sz="4" w:space="0"/>
              <w:bottom w:val="single" w:color="auto" w:sz="4" w:space="0"/>
              <w:right w:val="single" w:color="auto" w:sz="4" w:space="0"/>
            </w:tcBorders>
            <w:vAlign w:val="center"/>
          </w:tcPr>
          <w:p w14:paraId="307F7C76">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丰云侠</w:t>
            </w:r>
          </w:p>
        </w:tc>
        <w:tc>
          <w:tcPr>
            <w:tcW w:w="1148" w:type="pct"/>
            <w:tcBorders>
              <w:top w:val="single" w:color="auto" w:sz="4" w:space="0"/>
              <w:left w:val="single" w:color="auto" w:sz="4" w:space="0"/>
              <w:bottom w:val="single" w:color="auto" w:sz="4" w:space="0"/>
              <w:right w:val="single" w:color="auto" w:sz="4" w:space="0"/>
            </w:tcBorders>
            <w:vAlign w:val="center"/>
          </w:tcPr>
          <w:p w14:paraId="09AF0FE0">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13753226567</w:t>
            </w:r>
          </w:p>
        </w:tc>
      </w:tr>
      <w:tr w14:paraId="1D89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14C2FCCF">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06AA98B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平喜街道办事处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22C1527A">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7959508</w:t>
            </w:r>
          </w:p>
        </w:tc>
        <w:tc>
          <w:tcPr>
            <w:tcW w:w="745" w:type="pct"/>
            <w:tcBorders>
              <w:top w:val="single" w:color="auto" w:sz="4" w:space="0"/>
              <w:left w:val="single" w:color="auto" w:sz="4" w:space="0"/>
              <w:bottom w:val="single" w:color="auto" w:sz="4" w:space="0"/>
              <w:right w:val="single" w:color="auto" w:sz="4" w:space="0"/>
            </w:tcBorders>
            <w:vAlign w:val="center"/>
          </w:tcPr>
          <w:p w14:paraId="607E785D">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王乐 </w:t>
            </w:r>
          </w:p>
        </w:tc>
        <w:tc>
          <w:tcPr>
            <w:tcW w:w="1148" w:type="pct"/>
            <w:tcBorders>
              <w:top w:val="single" w:color="auto" w:sz="4" w:space="0"/>
              <w:left w:val="single" w:color="auto" w:sz="4" w:space="0"/>
              <w:bottom w:val="single" w:color="auto" w:sz="4" w:space="0"/>
              <w:right w:val="single" w:color="auto" w:sz="4" w:space="0"/>
            </w:tcBorders>
            <w:vAlign w:val="center"/>
          </w:tcPr>
          <w:p w14:paraId="58955593">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18834072528</w:t>
            </w:r>
          </w:p>
        </w:tc>
      </w:tr>
      <w:tr w14:paraId="6178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0CEB8EB">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54CAD8D6">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玉龙街道办事处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3F999B07">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4050997</w:t>
            </w:r>
          </w:p>
        </w:tc>
        <w:tc>
          <w:tcPr>
            <w:tcW w:w="745" w:type="pct"/>
            <w:tcBorders>
              <w:top w:val="single" w:color="auto" w:sz="4" w:space="0"/>
              <w:left w:val="single" w:color="auto" w:sz="4" w:space="0"/>
              <w:bottom w:val="single" w:color="auto" w:sz="4" w:space="0"/>
              <w:right w:val="single" w:color="auto" w:sz="4" w:space="0"/>
            </w:tcBorders>
            <w:vAlign w:val="center"/>
          </w:tcPr>
          <w:p w14:paraId="431B0E66">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常艳霞</w:t>
            </w:r>
          </w:p>
        </w:tc>
        <w:tc>
          <w:tcPr>
            <w:tcW w:w="1148" w:type="pct"/>
            <w:tcBorders>
              <w:top w:val="single" w:color="auto" w:sz="4" w:space="0"/>
              <w:left w:val="single" w:color="auto" w:sz="4" w:space="0"/>
              <w:bottom w:val="single" w:color="auto" w:sz="4" w:space="0"/>
              <w:right w:val="single" w:color="auto" w:sz="4" w:space="0"/>
            </w:tcBorders>
            <w:vAlign w:val="center"/>
          </w:tcPr>
          <w:p w14:paraId="74DB1991">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13994448328</w:t>
            </w:r>
          </w:p>
        </w:tc>
      </w:tr>
      <w:tr w14:paraId="05D9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2936C9DB">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14D744A3">
            <w:pPr>
              <w:pStyle w:val="14"/>
              <w:spacing w:before="156" w:beforeAutospacing="0" w:after="156" w:afterAutospacing="0"/>
              <w:jc w:val="center"/>
              <w:rPr>
                <w:rFonts w:ascii="Times New Roman" w:hAnsi="Times New Roman" w:eastAsia="仿宋" w:cs="Arial"/>
                <w:kern w:val="2"/>
                <w:sz w:val="28"/>
                <w:szCs w:val="28"/>
              </w:rPr>
            </w:pPr>
            <w:r>
              <w:rPr>
                <w:rFonts w:hint="eastAsia" w:ascii="Times New Roman" w:hAnsi="Times New Roman" w:eastAsia="仿宋" w:cs="Arial"/>
                <w:kern w:val="2"/>
                <w:sz w:val="28"/>
                <w:szCs w:val="28"/>
              </w:rPr>
              <w:t>和顺街道办事处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6DEAF6F7">
            <w:pPr>
              <w:pStyle w:val="14"/>
              <w:spacing w:before="156" w:beforeAutospacing="0" w:after="156" w:afterAutospacing="0"/>
              <w:jc w:val="center"/>
              <w:rPr>
                <w:rFonts w:ascii="Times New Roman" w:hAnsi="Times New Roman" w:eastAsia="仿宋" w:cs="Arial"/>
                <w:kern w:val="2"/>
                <w:sz w:val="28"/>
                <w:szCs w:val="28"/>
              </w:rPr>
            </w:pPr>
            <w:r>
              <w:rPr>
                <w:rFonts w:hint="eastAsia" w:ascii="Times New Roman" w:hAnsi="Times New Roman" w:eastAsia="仿宋" w:cs="Arial"/>
                <w:kern w:val="2"/>
                <w:sz w:val="28"/>
                <w:szCs w:val="28"/>
              </w:rPr>
              <w:t>4055026</w:t>
            </w:r>
          </w:p>
        </w:tc>
        <w:tc>
          <w:tcPr>
            <w:tcW w:w="745" w:type="pct"/>
            <w:tcBorders>
              <w:top w:val="single" w:color="auto" w:sz="4" w:space="0"/>
              <w:left w:val="single" w:color="auto" w:sz="4" w:space="0"/>
              <w:bottom w:val="single" w:color="auto" w:sz="4" w:space="0"/>
              <w:right w:val="single" w:color="auto" w:sz="4" w:space="0"/>
            </w:tcBorders>
            <w:vAlign w:val="center"/>
          </w:tcPr>
          <w:p w14:paraId="423F058E">
            <w:pPr>
              <w:pStyle w:val="14"/>
              <w:spacing w:before="156" w:beforeAutospacing="0" w:after="156" w:afterAutospacing="0"/>
              <w:jc w:val="center"/>
              <w:rPr>
                <w:rFonts w:ascii="Times New Roman" w:hAnsi="Times New Roman" w:eastAsia="仿宋" w:cs="Arial"/>
                <w:kern w:val="2"/>
                <w:sz w:val="28"/>
                <w:szCs w:val="28"/>
              </w:rPr>
            </w:pPr>
            <w:r>
              <w:rPr>
                <w:rFonts w:hint="eastAsia" w:ascii="Times New Roman" w:hAnsi="Times New Roman" w:eastAsia="仿宋" w:cs="Arial"/>
                <w:kern w:val="2"/>
                <w:sz w:val="28"/>
                <w:szCs w:val="28"/>
              </w:rPr>
              <w:t>乔琦</w:t>
            </w:r>
          </w:p>
        </w:tc>
        <w:tc>
          <w:tcPr>
            <w:tcW w:w="1148" w:type="pct"/>
            <w:tcBorders>
              <w:top w:val="single" w:color="auto" w:sz="4" w:space="0"/>
              <w:left w:val="single" w:color="auto" w:sz="4" w:space="0"/>
              <w:bottom w:val="single" w:color="auto" w:sz="4" w:space="0"/>
              <w:right w:val="single" w:color="auto" w:sz="4" w:space="0"/>
            </w:tcBorders>
            <w:vAlign w:val="center"/>
          </w:tcPr>
          <w:p w14:paraId="3BB5186A">
            <w:pPr>
              <w:pStyle w:val="14"/>
              <w:spacing w:before="156" w:beforeAutospacing="0" w:after="156" w:afterAutospacing="0"/>
              <w:jc w:val="center"/>
              <w:rPr>
                <w:rFonts w:ascii="Times New Roman" w:hAnsi="Times New Roman" w:eastAsia="仿宋" w:cs="Arial"/>
                <w:kern w:val="2"/>
                <w:sz w:val="28"/>
                <w:szCs w:val="28"/>
              </w:rPr>
            </w:pPr>
            <w:r>
              <w:rPr>
                <w:rFonts w:hint="eastAsia" w:ascii="Times New Roman" w:hAnsi="Times New Roman" w:eastAsia="仿宋" w:cs="Arial"/>
                <w:kern w:val="2"/>
                <w:sz w:val="28"/>
                <w:szCs w:val="28"/>
              </w:rPr>
              <w:t>13393526799</w:t>
            </w:r>
          </w:p>
        </w:tc>
      </w:tr>
      <w:tr w14:paraId="37A0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4C4BC43">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217F1FD7">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清泉街道</w:t>
            </w:r>
          </w:p>
        </w:tc>
        <w:tc>
          <w:tcPr>
            <w:tcW w:w="970" w:type="pct"/>
            <w:tcBorders>
              <w:top w:val="single" w:color="auto" w:sz="4" w:space="0"/>
              <w:left w:val="single" w:color="auto" w:sz="4" w:space="0"/>
              <w:bottom w:val="single" w:color="auto" w:sz="4" w:space="0"/>
              <w:right w:val="single" w:color="auto" w:sz="4" w:space="0"/>
            </w:tcBorders>
            <w:vAlign w:val="center"/>
          </w:tcPr>
          <w:p w14:paraId="5DE88CC1">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7919060</w:t>
            </w:r>
          </w:p>
        </w:tc>
        <w:tc>
          <w:tcPr>
            <w:tcW w:w="745" w:type="pct"/>
            <w:tcBorders>
              <w:top w:val="single" w:color="auto" w:sz="4" w:space="0"/>
              <w:left w:val="single" w:color="auto" w:sz="4" w:space="0"/>
              <w:bottom w:val="single" w:color="auto" w:sz="4" w:space="0"/>
              <w:right w:val="single" w:color="auto" w:sz="4" w:space="0"/>
            </w:tcBorders>
            <w:vAlign w:val="center"/>
          </w:tcPr>
          <w:p w14:paraId="101C1DE6">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刘军伟</w:t>
            </w:r>
          </w:p>
        </w:tc>
        <w:tc>
          <w:tcPr>
            <w:tcW w:w="1148" w:type="pct"/>
            <w:tcBorders>
              <w:top w:val="single" w:color="auto" w:sz="4" w:space="0"/>
              <w:left w:val="single" w:color="auto" w:sz="4" w:space="0"/>
              <w:bottom w:val="single" w:color="auto" w:sz="4" w:space="0"/>
              <w:right w:val="single" w:color="auto" w:sz="4" w:space="0"/>
            </w:tcBorders>
            <w:vAlign w:val="center"/>
          </w:tcPr>
          <w:p w14:paraId="77C4EBE3">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13223627392</w:t>
            </w:r>
          </w:p>
        </w:tc>
      </w:tr>
      <w:tr w14:paraId="544E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5AB75994">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5EB72E0C">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区民胜街道</w:t>
            </w:r>
          </w:p>
        </w:tc>
        <w:tc>
          <w:tcPr>
            <w:tcW w:w="970" w:type="pct"/>
            <w:tcBorders>
              <w:top w:val="single" w:color="auto" w:sz="4" w:space="0"/>
              <w:left w:val="single" w:color="auto" w:sz="4" w:space="0"/>
              <w:bottom w:val="single" w:color="auto" w:sz="4" w:space="0"/>
              <w:right w:val="single" w:color="auto" w:sz="4" w:space="0"/>
            </w:tcBorders>
            <w:vAlign w:val="center"/>
          </w:tcPr>
          <w:p w14:paraId="5FA22717">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7602057</w:t>
            </w:r>
          </w:p>
        </w:tc>
        <w:tc>
          <w:tcPr>
            <w:tcW w:w="745" w:type="pct"/>
            <w:tcBorders>
              <w:top w:val="single" w:color="auto" w:sz="4" w:space="0"/>
              <w:left w:val="single" w:color="auto" w:sz="4" w:space="0"/>
              <w:bottom w:val="single" w:color="auto" w:sz="4" w:space="0"/>
              <w:right w:val="single" w:color="auto" w:sz="4" w:space="0"/>
            </w:tcBorders>
            <w:vAlign w:val="center"/>
          </w:tcPr>
          <w:p w14:paraId="4702FE37">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栗志巍</w:t>
            </w:r>
          </w:p>
        </w:tc>
        <w:tc>
          <w:tcPr>
            <w:tcW w:w="1148" w:type="pct"/>
            <w:tcBorders>
              <w:top w:val="single" w:color="auto" w:sz="4" w:space="0"/>
              <w:left w:val="single" w:color="auto" w:sz="4" w:space="0"/>
              <w:bottom w:val="single" w:color="auto" w:sz="4" w:space="0"/>
              <w:right w:val="single" w:color="auto" w:sz="4" w:space="0"/>
            </w:tcBorders>
            <w:vAlign w:val="center"/>
          </w:tcPr>
          <w:p w14:paraId="52A92C3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13835246932</w:t>
            </w:r>
          </w:p>
        </w:tc>
      </w:tr>
      <w:tr w14:paraId="5465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9E2B807">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16A9557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新平旺街道</w:t>
            </w:r>
          </w:p>
        </w:tc>
        <w:tc>
          <w:tcPr>
            <w:tcW w:w="970" w:type="pct"/>
            <w:tcBorders>
              <w:top w:val="single" w:color="auto" w:sz="4" w:space="0"/>
              <w:left w:val="single" w:color="auto" w:sz="4" w:space="0"/>
              <w:bottom w:val="single" w:color="auto" w:sz="4" w:space="0"/>
              <w:right w:val="single" w:color="auto" w:sz="4" w:space="0"/>
            </w:tcBorders>
            <w:vAlign w:val="center"/>
          </w:tcPr>
          <w:p w14:paraId="3491613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4072011</w:t>
            </w:r>
          </w:p>
        </w:tc>
        <w:tc>
          <w:tcPr>
            <w:tcW w:w="745" w:type="pct"/>
            <w:tcBorders>
              <w:top w:val="single" w:color="auto" w:sz="4" w:space="0"/>
              <w:left w:val="single" w:color="auto" w:sz="4" w:space="0"/>
              <w:bottom w:val="single" w:color="auto" w:sz="4" w:space="0"/>
              <w:right w:val="single" w:color="auto" w:sz="4" w:space="0"/>
            </w:tcBorders>
            <w:vAlign w:val="center"/>
          </w:tcPr>
          <w:p w14:paraId="0413028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张建国</w:t>
            </w:r>
          </w:p>
        </w:tc>
        <w:tc>
          <w:tcPr>
            <w:tcW w:w="1148" w:type="pct"/>
            <w:tcBorders>
              <w:top w:val="single" w:color="auto" w:sz="4" w:space="0"/>
              <w:left w:val="single" w:color="auto" w:sz="4" w:space="0"/>
              <w:bottom w:val="single" w:color="auto" w:sz="4" w:space="0"/>
              <w:right w:val="single" w:color="auto" w:sz="4" w:space="0"/>
            </w:tcBorders>
            <w:vAlign w:val="center"/>
          </w:tcPr>
          <w:p w14:paraId="4208644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13663621887</w:t>
            </w:r>
          </w:p>
        </w:tc>
      </w:tr>
      <w:tr w14:paraId="7B15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3AECDEE7">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4F65518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和旺街道办事处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53B56681">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4216126</w:t>
            </w:r>
          </w:p>
        </w:tc>
        <w:tc>
          <w:tcPr>
            <w:tcW w:w="745" w:type="pct"/>
            <w:tcBorders>
              <w:top w:val="single" w:color="auto" w:sz="4" w:space="0"/>
              <w:left w:val="single" w:color="auto" w:sz="4" w:space="0"/>
              <w:bottom w:val="single" w:color="auto" w:sz="4" w:space="0"/>
              <w:right w:val="single" w:color="auto" w:sz="4" w:space="0"/>
            </w:tcBorders>
            <w:vAlign w:val="center"/>
          </w:tcPr>
          <w:p w14:paraId="4CA537DD">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钮豪</w:t>
            </w:r>
          </w:p>
        </w:tc>
        <w:tc>
          <w:tcPr>
            <w:tcW w:w="1148" w:type="pct"/>
            <w:tcBorders>
              <w:top w:val="single" w:color="auto" w:sz="4" w:space="0"/>
              <w:left w:val="single" w:color="auto" w:sz="4" w:space="0"/>
              <w:bottom w:val="single" w:color="auto" w:sz="4" w:space="0"/>
              <w:right w:val="single" w:color="auto" w:sz="4" w:space="0"/>
            </w:tcBorders>
            <w:vAlign w:val="center"/>
          </w:tcPr>
          <w:p w14:paraId="0FE50C7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18635223942</w:t>
            </w:r>
          </w:p>
        </w:tc>
      </w:tr>
      <w:tr w14:paraId="3B74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88F4A0B">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7D28D5C0">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老平旺街道</w:t>
            </w:r>
          </w:p>
        </w:tc>
        <w:tc>
          <w:tcPr>
            <w:tcW w:w="970" w:type="pct"/>
            <w:tcBorders>
              <w:top w:val="single" w:color="auto" w:sz="4" w:space="0"/>
              <w:left w:val="single" w:color="auto" w:sz="4" w:space="0"/>
              <w:bottom w:val="single" w:color="auto" w:sz="4" w:space="0"/>
              <w:right w:val="single" w:color="auto" w:sz="4" w:space="0"/>
            </w:tcBorders>
            <w:vAlign w:val="center"/>
          </w:tcPr>
          <w:p w14:paraId="3719EE45">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4075012</w:t>
            </w:r>
          </w:p>
        </w:tc>
        <w:tc>
          <w:tcPr>
            <w:tcW w:w="745" w:type="pct"/>
            <w:tcBorders>
              <w:top w:val="single" w:color="auto" w:sz="4" w:space="0"/>
              <w:left w:val="single" w:color="auto" w:sz="4" w:space="0"/>
              <w:bottom w:val="single" w:color="auto" w:sz="4" w:space="0"/>
              <w:right w:val="single" w:color="auto" w:sz="4" w:space="0"/>
            </w:tcBorders>
            <w:vAlign w:val="center"/>
          </w:tcPr>
          <w:p w14:paraId="597D2EE3">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张哲军</w:t>
            </w:r>
          </w:p>
        </w:tc>
        <w:tc>
          <w:tcPr>
            <w:tcW w:w="1148" w:type="pct"/>
            <w:tcBorders>
              <w:top w:val="single" w:color="auto" w:sz="4" w:space="0"/>
              <w:left w:val="single" w:color="auto" w:sz="4" w:space="0"/>
              <w:bottom w:val="single" w:color="auto" w:sz="4" w:space="0"/>
              <w:right w:val="single" w:color="auto" w:sz="4" w:space="0"/>
            </w:tcBorders>
            <w:vAlign w:val="center"/>
          </w:tcPr>
          <w:p w14:paraId="49604071">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18603522678</w:t>
            </w:r>
          </w:p>
        </w:tc>
      </w:tr>
      <w:tr w14:paraId="0371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791D10E7">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661EF3A0">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平泉街道办事处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3E2FC61C">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4168886</w:t>
            </w:r>
          </w:p>
        </w:tc>
        <w:tc>
          <w:tcPr>
            <w:tcW w:w="745" w:type="pct"/>
            <w:tcBorders>
              <w:top w:val="single" w:color="auto" w:sz="4" w:space="0"/>
              <w:left w:val="single" w:color="auto" w:sz="4" w:space="0"/>
              <w:bottom w:val="single" w:color="auto" w:sz="4" w:space="0"/>
              <w:right w:val="single" w:color="auto" w:sz="4" w:space="0"/>
            </w:tcBorders>
            <w:vAlign w:val="center"/>
          </w:tcPr>
          <w:p w14:paraId="74AC5351">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陈建兴</w:t>
            </w:r>
          </w:p>
        </w:tc>
        <w:tc>
          <w:tcPr>
            <w:tcW w:w="1148" w:type="pct"/>
            <w:tcBorders>
              <w:top w:val="single" w:color="auto" w:sz="4" w:space="0"/>
              <w:left w:val="single" w:color="auto" w:sz="4" w:space="0"/>
              <w:bottom w:val="single" w:color="auto" w:sz="4" w:space="0"/>
              <w:right w:val="single" w:color="auto" w:sz="4" w:space="0"/>
            </w:tcBorders>
            <w:vAlign w:val="center"/>
          </w:tcPr>
          <w:p w14:paraId="30C1A2BC">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13008093238</w:t>
            </w:r>
          </w:p>
        </w:tc>
      </w:tr>
      <w:tr w14:paraId="171F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108CFA1B">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7D3F0B3C">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玉泉街道办事处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58112B8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4051085</w:t>
            </w:r>
          </w:p>
        </w:tc>
        <w:tc>
          <w:tcPr>
            <w:tcW w:w="745" w:type="pct"/>
            <w:tcBorders>
              <w:top w:val="single" w:color="auto" w:sz="4" w:space="0"/>
              <w:left w:val="single" w:color="auto" w:sz="4" w:space="0"/>
              <w:bottom w:val="single" w:color="auto" w:sz="4" w:space="0"/>
              <w:right w:val="single" w:color="auto" w:sz="4" w:space="0"/>
            </w:tcBorders>
            <w:vAlign w:val="center"/>
          </w:tcPr>
          <w:p w14:paraId="51AD4E10">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裴煜</w:t>
            </w:r>
          </w:p>
        </w:tc>
        <w:tc>
          <w:tcPr>
            <w:tcW w:w="1148" w:type="pct"/>
            <w:tcBorders>
              <w:top w:val="single" w:color="auto" w:sz="4" w:space="0"/>
              <w:left w:val="single" w:color="auto" w:sz="4" w:space="0"/>
              <w:bottom w:val="single" w:color="auto" w:sz="4" w:space="0"/>
              <w:right w:val="single" w:color="auto" w:sz="4" w:space="0"/>
            </w:tcBorders>
            <w:vAlign w:val="center"/>
          </w:tcPr>
          <w:p w14:paraId="614C4F90">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18835208866</w:t>
            </w:r>
          </w:p>
        </w:tc>
      </w:tr>
      <w:tr w14:paraId="7D4C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03BF06D5">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10B7192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平盛街道办事处：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3A3993E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7931388</w:t>
            </w:r>
          </w:p>
        </w:tc>
        <w:tc>
          <w:tcPr>
            <w:tcW w:w="745" w:type="pct"/>
            <w:tcBorders>
              <w:top w:val="single" w:color="auto" w:sz="4" w:space="0"/>
              <w:left w:val="single" w:color="auto" w:sz="4" w:space="0"/>
              <w:bottom w:val="single" w:color="auto" w:sz="4" w:space="0"/>
              <w:right w:val="single" w:color="auto" w:sz="4" w:space="0"/>
            </w:tcBorders>
            <w:vAlign w:val="center"/>
          </w:tcPr>
          <w:p w14:paraId="718E22F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石建刚 </w:t>
            </w:r>
          </w:p>
        </w:tc>
        <w:tc>
          <w:tcPr>
            <w:tcW w:w="1148" w:type="pct"/>
            <w:tcBorders>
              <w:top w:val="single" w:color="auto" w:sz="4" w:space="0"/>
              <w:left w:val="single" w:color="auto" w:sz="4" w:space="0"/>
              <w:bottom w:val="single" w:color="auto" w:sz="4" w:space="0"/>
              <w:right w:val="single" w:color="auto" w:sz="4" w:space="0"/>
            </w:tcBorders>
            <w:vAlign w:val="center"/>
          </w:tcPr>
          <w:p w14:paraId="4AE7484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13934793938</w:t>
            </w:r>
          </w:p>
        </w:tc>
      </w:tr>
      <w:tr w14:paraId="667F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1CE3C176">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15308450">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平德街道办事处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11A800A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4051699</w:t>
            </w:r>
          </w:p>
        </w:tc>
        <w:tc>
          <w:tcPr>
            <w:tcW w:w="745" w:type="pct"/>
            <w:tcBorders>
              <w:top w:val="single" w:color="auto" w:sz="4" w:space="0"/>
              <w:left w:val="single" w:color="auto" w:sz="4" w:space="0"/>
              <w:bottom w:val="single" w:color="auto" w:sz="4" w:space="0"/>
              <w:right w:val="single" w:color="auto" w:sz="4" w:space="0"/>
            </w:tcBorders>
            <w:vAlign w:val="center"/>
          </w:tcPr>
          <w:p w14:paraId="433BA18D">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曹慧峰</w:t>
            </w:r>
          </w:p>
        </w:tc>
        <w:tc>
          <w:tcPr>
            <w:tcW w:w="1148" w:type="pct"/>
            <w:tcBorders>
              <w:top w:val="single" w:color="auto" w:sz="4" w:space="0"/>
              <w:left w:val="single" w:color="auto" w:sz="4" w:space="0"/>
              <w:bottom w:val="single" w:color="auto" w:sz="4" w:space="0"/>
              <w:right w:val="single" w:color="auto" w:sz="4" w:space="0"/>
            </w:tcBorders>
            <w:vAlign w:val="center"/>
          </w:tcPr>
          <w:p w14:paraId="10E00B0D">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18635022633</w:t>
            </w:r>
          </w:p>
        </w:tc>
      </w:tr>
      <w:tr w14:paraId="721B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4252DFBD">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4CD42043">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平源街道</w:t>
            </w:r>
          </w:p>
        </w:tc>
        <w:tc>
          <w:tcPr>
            <w:tcW w:w="970" w:type="pct"/>
            <w:tcBorders>
              <w:top w:val="single" w:color="auto" w:sz="4" w:space="0"/>
              <w:left w:val="single" w:color="auto" w:sz="4" w:space="0"/>
              <w:bottom w:val="single" w:color="auto" w:sz="4" w:space="0"/>
              <w:right w:val="single" w:color="auto" w:sz="4" w:space="0"/>
            </w:tcBorders>
            <w:vAlign w:val="center"/>
          </w:tcPr>
          <w:p w14:paraId="25371E9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4057313</w:t>
            </w:r>
          </w:p>
        </w:tc>
        <w:tc>
          <w:tcPr>
            <w:tcW w:w="745" w:type="pct"/>
            <w:tcBorders>
              <w:top w:val="single" w:color="auto" w:sz="4" w:space="0"/>
              <w:left w:val="single" w:color="auto" w:sz="4" w:space="0"/>
              <w:bottom w:val="single" w:color="auto" w:sz="4" w:space="0"/>
              <w:right w:val="single" w:color="auto" w:sz="4" w:space="0"/>
            </w:tcBorders>
            <w:vAlign w:val="center"/>
          </w:tcPr>
          <w:p w14:paraId="2B3B2497">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李治中</w:t>
            </w:r>
          </w:p>
        </w:tc>
        <w:tc>
          <w:tcPr>
            <w:tcW w:w="1148" w:type="pct"/>
            <w:tcBorders>
              <w:top w:val="single" w:color="auto" w:sz="4" w:space="0"/>
              <w:left w:val="single" w:color="auto" w:sz="4" w:space="0"/>
              <w:bottom w:val="single" w:color="auto" w:sz="4" w:space="0"/>
              <w:right w:val="single" w:color="auto" w:sz="4" w:space="0"/>
            </w:tcBorders>
            <w:vAlign w:val="center"/>
          </w:tcPr>
          <w:p w14:paraId="21D66D0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18603524109</w:t>
            </w:r>
          </w:p>
        </w:tc>
      </w:tr>
      <w:tr w14:paraId="5590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7CF4D52D">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13E041C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云冈区云冈镇</w:t>
            </w:r>
          </w:p>
        </w:tc>
        <w:tc>
          <w:tcPr>
            <w:tcW w:w="970" w:type="pct"/>
            <w:tcBorders>
              <w:top w:val="single" w:color="auto" w:sz="4" w:space="0"/>
              <w:left w:val="single" w:color="auto" w:sz="4" w:space="0"/>
              <w:bottom w:val="single" w:color="auto" w:sz="4" w:space="0"/>
              <w:right w:val="single" w:color="auto" w:sz="4" w:space="0"/>
            </w:tcBorders>
            <w:vAlign w:val="center"/>
          </w:tcPr>
          <w:p w14:paraId="2603AABD">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3208777</w:t>
            </w:r>
          </w:p>
        </w:tc>
        <w:tc>
          <w:tcPr>
            <w:tcW w:w="745" w:type="pct"/>
            <w:tcBorders>
              <w:top w:val="single" w:color="auto" w:sz="4" w:space="0"/>
              <w:left w:val="single" w:color="auto" w:sz="4" w:space="0"/>
              <w:bottom w:val="single" w:color="auto" w:sz="4" w:space="0"/>
              <w:right w:val="single" w:color="auto" w:sz="4" w:space="0"/>
            </w:tcBorders>
            <w:vAlign w:val="center"/>
          </w:tcPr>
          <w:p w14:paraId="56EA56AA">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赵志杰</w:t>
            </w:r>
          </w:p>
        </w:tc>
        <w:tc>
          <w:tcPr>
            <w:tcW w:w="1148" w:type="pct"/>
            <w:tcBorders>
              <w:top w:val="single" w:color="auto" w:sz="4" w:space="0"/>
              <w:left w:val="single" w:color="auto" w:sz="4" w:space="0"/>
              <w:bottom w:val="single" w:color="auto" w:sz="4" w:space="0"/>
              <w:right w:val="single" w:color="auto" w:sz="4" w:space="0"/>
            </w:tcBorders>
            <w:vAlign w:val="center"/>
          </w:tcPr>
          <w:p w14:paraId="08307205">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13934262688</w:t>
            </w:r>
          </w:p>
        </w:tc>
      </w:tr>
      <w:tr w14:paraId="7541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0C3AC589">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56762F6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和瑞街道</w:t>
            </w:r>
          </w:p>
        </w:tc>
        <w:tc>
          <w:tcPr>
            <w:tcW w:w="970" w:type="pct"/>
            <w:tcBorders>
              <w:top w:val="single" w:color="auto" w:sz="4" w:space="0"/>
              <w:left w:val="single" w:color="auto" w:sz="4" w:space="0"/>
              <w:bottom w:val="single" w:color="auto" w:sz="4" w:space="0"/>
              <w:right w:val="single" w:color="auto" w:sz="4" w:space="0"/>
            </w:tcBorders>
            <w:vAlign w:val="center"/>
          </w:tcPr>
          <w:p w14:paraId="04627F0D">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4055035</w:t>
            </w:r>
          </w:p>
        </w:tc>
        <w:tc>
          <w:tcPr>
            <w:tcW w:w="745" w:type="pct"/>
            <w:tcBorders>
              <w:top w:val="single" w:color="auto" w:sz="4" w:space="0"/>
              <w:left w:val="single" w:color="auto" w:sz="4" w:space="0"/>
              <w:bottom w:val="single" w:color="auto" w:sz="4" w:space="0"/>
              <w:right w:val="single" w:color="auto" w:sz="4" w:space="0"/>
            </w:tcBorders>
            <w:vAlign w:val="center"/>
          </w:tcPr>
          <w:p w14:paraId="2ABFAB5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陈俊斌</w:t>
            </w:r>
          </w:p>
        </w:tc>
        <w:tc>
          <w:tcPr>
            <w:tcW w:w="1148" w:type="pct"/>
            <w:tcBorders>
              <w:top w:val="single" w:color="auto" w:sz="4" w:space="0"/>
              <w:left w:val="single" w:color="auto" w:sz="4" w:space="0"/>
              <w:bottom w:val="single" w:color="auto" w:sz="4" w:space="0"/>
              <w:right w:val="single" w:color="auto" w:sz="4" w:space="0"/>
            </w:tcBorders>
            <w:vAlign w:val="center"/>
          </w:tcPr>
          <w:p w14:paraId="379432C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13357394444</w:t>
            </w:r>
          </w:p>
        </w:tc>
      </w:tr>
      <w:tr w14:paraId="2E7E0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2D8B2175">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33C0C4B5">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云燕街道办事处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607A418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3096001</w:t>
            </w:r>
          </w:p>
        </w:tc>
        <w:tc>
          <w:tcPr>
            <w:tcW w:w="745" w:type="pct"/>
            <w:tcBorders>
              <w:top w:val="single" w:color="auto" w:sz="4" w:space="0"/>
              <w:left w:val="single" w:color="auto" w:sz="4" w:space="0"/>
              <w:bottom w:val="single" w:color="auto" w:sz="4" w:space="0"/>
              <w:right w:val="single" w:color="auto" w:sz="4" w:space="0"/>
            </w:tcBorders>
            <w:vAlign w:val="center"/>
          </w:tcPr>
          <w:p w14:paraId="5BC94DC0">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田佳俊</w:t>
            </w:r>
          </w:p>
        </w:tc>
        <w:tc>
          <w:tcPr>
            <w:tcW w:w="1148" w:type="pct"/>
            <w:tcBorders>
              <w:top w:val="single" w:color="auto" w:sz="4" w:space="0"/>
              <w:left w:val="single" w:color="auto" w:sz="4" w:space="0"/>
              <w:bottom w:val="single" w:color="auto" w:sz="4" w:space="0"/>
              <w:right w:val="single" w:color="auto" w:sz="4" w:space="0"/>
            </w:tcBorders>
            <w:vAlign w:val="center"/>
          </w:tcPr>
          <w:p w14:paraId="4D60F24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13293927842</w:t>
            </w:r>
          </w:p>
        </w:tc>
      </w:tr>
      <w:tr w14:paraId="7A49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B8E7FF3">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05DE4E56">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口泉街道办事处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11F8319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4093215</w:t>
            </w:r>
          </w:p>
        </w:tc>
        <w:tc>
          <w:tcPr>
            <w:tcW w:w="745" w:type="pct"/>
            <w:tcBorders>
              <w:top w:val="single" w:color="auto" w:sz="4" w:space="0"/>
              <w:left w:val="single" w:color="auto" w:sz="4" w:space="0"/>
              <w:bottom w:val="single" w:color="auto" w:sz="4" w:space="0"/>
              <w:right w:val="single" w:color="auto" w:sz="4" w:space="0"/>
            </w:tcBorders>
            <w:vAlign w:val="center"/>
          </w:tcPr>
          <w:p w14:paraId="289182B1">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郭卫刚</w:t>
            </w:r>
          </w:p>
        </w:tc>
        <w:tc>
          <w:tcPr>
            <w:tcW w:w="1148" w:type="pct"/>
            <w:tcBorders>
              <w:top w:val="single" w:color="auto" w:sz="4" w:space="0"/>
              <w:left w:val="single" w:color="auto" w:sz="4" w:space="0"/>
              <w:bottom w:val="single" w:color="auto" w:sz="4" w:space="0"/>
              <w:right w:val="single" w:color="auto" w:sz="4" w:space="0"/>
            </w:tcBorders>
            <w:vAlign w:val="center"/>
          </w:tcPr>
          <w:p w14:paraId="7392568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13903523646</w:t>
            </w:r>
          </w:p>
        </w:tc>
      </w:tr>
      <w:tr w14:paraId="2EA2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8E99C66">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569E437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平旺乡人民政府</w:t>
            </w:r>
          </w:p>
        </w:tc>
        <w:tc>
          <w:tcPr>
            <w:tcW w:w="970" w:type="pct"/>
            <w:tcBorders>
              <w:top w:val="single" w:color="auto" w:sz="4" w:space="0"/>
              <w:left w:val="single" w:color="auto" w:sz="4" w:space="0"/>
              <w:bottom w:val="single" w:color="auto" w:sz="4" w:space="0"/>
              <w:right w:val="single" w:color="auto" w:sz="4" w:space="0"/>
            </w:tcBorders>
            <w:vAlign w:val="center"/>
          </w:tcPr>
          <w:p w14:paraId="0C47508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4030077</w:t>
            </w:r>
          </w:p>
        </w:tc>
        <w:tc>
          <w:tcPr>
            <w:tcW w:w="745" w:type="pct"/>
            <w:tcBorders>
              <w:top w:val="single" w:color="auto" w:sz="4" w:space="0"/>
              <w:left w:val="single" w:color="auto" w:sz="4" w:space="0"/>
              <w:bottom w:val="single" w:color="auto" w:sz="4" w:space="0"/>
              <w:right w:val="single" w:color="auto" w:sz="4" w:space="0"/>
            </w:tcBorders>
            <w:vAlign w:val="center"/>
          </w:tcPr>
          <w:p w14:paraId="6A485A8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聂俊欣</w:t>
            </w:r>
          </w:p>
        </w:tc>
        <w:tc>
          <w:tcPr>
            <w:tcW w:w="1148" w:type="pct"/>
            <w:tcBorders>
              <w:top w:val="single" w:color="auto" w:sz="4" w:space="0"/>
              <w:left w:val="single" w:color="auto" w:sz="4" w:space="0"/>
              <w:bottom w:val="single" w:color="auto" w:sz="4" w:space="0"/>
              <w:right w:val="single" w:color="auto" w:sz="4" w:space="0"/>
            </w:tcBorders>
            <w:vAlign w:val="center"/>
          </w:tcPr>
          <w:p w14:paraId="40A4C52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13994394852</w:t>
            </w:r>
          </w:p>
        </w:tc>
      </w:tr>
      <w:tr w14:paraId="4B2BC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02796091">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6F45A8F5">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西韩岭乡</w:t>
            </w:r>
          </w:p>
        </w:tc>
        <w:tc>
          <w:tcPr>
            <w:tcW w:w="970" w:type="pct"/>
            <w:tcBorders>
              <w:top w:val="single" w:color="auto" w:sz="4" w:space="0"/>
              <w:left w:val="single" w:color="auto" w:sz="4" w:space="0"/>
              <w:bottom w:val="single" w:color="auto" w:sz="4" w:space="0"/>
              <w:right w:val="single" w:color="auto" w:sz="4" w:space="0"/>
            </w:tcBorders>
            <w:vAlign w:val="center"/>
          </w:tcPr>
          <w:p w14:paraId="023EFE9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5525356</w:t>
            </w:r>
          </w:p>
        </w:tc>
        <w:tc>
          <w:tcPr>
            <w:tcW w:w="745" w:type="pct"/>
            <w:tcBorders>
              <w:top w:val="single" w:color="auto" w:sz="4" w:space="0"/>
              <w:left w:val="single" w:color="auto" w:sz="4" w:space="0"/>
              <w:bottom w:val="single" w:color="auto" w:sz="4" w:space="0"/>
              <w:right w:val="single" w:color="auto" w:sz="4" w:space="0"/>
            </w:tcBorders>
            <w:vAlign w:val="center"/>
          </w:tcPr>
          <w:p w14:paraId="5AE34064">
            <w:pPr>
              <w:jc w:val="center"/>
              <w:rPr>
                <w:rFonts w:ascii="Times New Roman" w:hAnsi="Times New Roman" w:eastAsia="仿宋" w:cs="Times New Roman"/>
                <w:sz w:val="28"/>
                <w:szCs w:val="28"/>
              </w:rPr>
            </w:pPr>
          </w:p>
        </w:tc>
        <w:tc>
          <w:tcPr>
            <w:tcW w:w="1148" w:type="pct"/>
            <w:tcBorders>
              <w:top w:val="single" w:color="auto" w:sz="4" w:space="0"/>
              <w:left w:val="single" w:color="auto" w:sz="4" w:space="0"/>
              <w:bottom w:val="single" w:color="auto" w:sz="4" w:space="0"/>
              <w:right w:val="single" w:color="auto" w:sz="4" w:space="0"/>
            </w:tcBorders>
            <w:vAlign w:val="center"/>
          </w:tcPr>
          <w:p w14:paraId="2A06029B">
            <w:pPr>
              <w:jc w:val="center"/>
              <w:rPr>
                <w:rFonts w:ascii="Times New Roman" w:hAnsi="Times New Roman" w:eastAsia="仿宋" w:cs="Times New Roman"/>
                <w:sz w:val="28"/>
                <w:szCs w:val="28"/>
              </w:rPr>
            </w:pPr>
          </w:p>
        </w:tc>
      </w:tr>
    </w:tbl>
    <w:p w14:paraId="071644CA">
      <w:pPr>
        <w:pStyle w:val="25"/>
        <w:rPr>
          <w:rFonts w:ascii="Times New Roman" w:hAnsi="Times New Roman"/>
        </w:rPr>
        <w:sectPr>
          <w:pgSz w:w="16838" w:h="11906" w:orient="landscape"/>
          <w:pgMar w:top="1701" w:right="1440" w:bottom="1701" w:left="1440" w:header="851" w:footer="850" w:gutter="0"/>
          <w:cols w:space="425" w:num="1"/>
          <w:docGrid w:type="lines" w:linePitch="312" w:charSpace="0"/>
        </w:sectPr>
      </w:pPr>
    </w:p>
    <w:p w14:paraId="10376256">
      <w:pPr>
        <w:pStyle w:val="27"/>
        <w:rPr>
          <w:rFonts w:ascii="Times New Roman" w:hAnsi="Times New Roman"/>
        </w:rPr>
      </w:pPr>
      <w:bookmarkStart w:id="122" w:name="_Toc205835960"/>
      <w:r>
        <w:rPr>
          <w:rFonts w:hint="eastAsia" w:ascii="Times New Roman" w:hAnsi="Times New Roman"/>
        </w:rPr>
        <w:t>附件4</w:t>
      </w:r>
      <w:r>
        <w:rPr>
          <w:rFonts w:ascii="Times New Roman" w:hAnsi="Times New Roman"/>
        </w:rPr>
        <w:t xml:space="preserve"> </w:t>
      </w:r>
      <w:r>
        <w:rPr>
          <w:rFonts w:hint="eastAsia" w:ascii="Times New Roman" w:hAnsi="Times New Roman"/>
        </w:rPr>
        <w:t>云冈区土壤重点监管单位及地块名录（2</w:t>
      </w:r>
      <w:r>
        <w:rPr>
          <w:rFonts w:ascii="Times New Roman" w:hAnsi="Times New Roman"/>
        </w:rPr>
        <w:t>025</w:t>
      </w:r>
      <w:r>
        <w:rPr>
          <w:rFonts w:hint="eastAsia" w:ascii="Times New Roman" w:hAnsi="Times New Roman"/>
        </w:rPr>
        <w:t>年）</w:t>
      </w:r>
      <w:bookmarkEnd w:id="122"/>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552"/>
        <w:gridCol w:w="2835"/>
        <w:gridCol w:w="7432"/>
      </w:tblGrid>
      <w:tr w14:paraId="352F2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95B0040">
            <w:pPr>
              <w:pStyle w:val="25"/>
              <w:spacing w:line="440" w:lineRule="exact"/>
              <w:ind w:firstLine="0"/>
              <w:rPr>
                <w:rFonts w:ascii="Times New Roman" w:hAnsi="Times New Roman"/>
              </w:rPr>
            </w:pPr>
            <w:bookmarkStart w:id="123" w:name="_Hlk205834103"/>
            <w:r>
              <w:rPr>
                <w:rFonts w:hint="eastAsia" w:ascii="Times New Roman" w:hAnsi="Times New Roman"/>
              </w:rPr>
              <w:t>序号</w:t>
            </w:r>
          </w:p>
        </w:tc>
        <w:tc>
          <w:tcPr>
            <w:tcW w:w="2552" w:type="dxa"/>
            <w:vAlign w:val="center"/>
          </w:tcPr>
          <w:p w14:paraId="4DB0D017">
            <w:pPr>
              <w:pStyle w:val="25"/>
              <w:spacing w:line="440" w:lineRule="exact"/>
              <w:ind w:firstLine="0"/>
              <w:rPr>
                <w:rFonts w:ascii="Times New Roman" w:hAnsi="Times New Roman"/>
              </w:rPr>
            </w:pPr>
            <w:r>
              <w:rPr>
                <w:rFonts w:hint="eastAsia" w:ascii="Times New Roman" w:hAnsi="Times New Roman"/>
              </w:rPr>
              <w:t>行政区划（市）</w:t>
            </w:r>
          </w:p>
        </w:tc>
        <w:tc>
          <w:tcPr>
            <w:tcW w:w="2835" w:type="dxa"/>
            <w:vAlign w:val="center"/>
          </w:tcPr>
          <w:p w14:paraId="67291A88">
            <w:pPr>
              <w:pStyle w:val="25"/>
              <w:spacing w:line="440" w:lineRule="exact"/>
              <w:ind w:firstLine="0"/>
              <w:rPr>
                <w:rFonts w:ascii="Times New Roman" w:hAnsi="Times New Roman"/>
              </w:rPr>
            </w:pPr>
            <w:r>
              <w:rPr>
                <w:rFonts w:hint="eastAsia" w:ascii="Times New Roman" w:hAnsi="Times New Roman"/>
              </w:rPr>
              <w:t>行政区划（县/区）</w:t>
            </w:r>
          </w:p>
        </w:tc>
        <w:tc>
          <w:tcPr>
            <w:tcW w:w="7432" w:type="dxa"/>
            <w:vAlign w:val="center"/>
          </w:tcPr>
          <w:p w14:paraId="324129C0">
            <w:pPr>
              <w:pStyle w:val="25"/>
              <w:spacing w:line="440" w:lineRule="exact"/>
              <w:ind w:firstLine="0"/>
              <w:rPr>
                <w:rFonts w:ascii="Times New Roman" w:hAnsi="Times New Roman"/>
              </w:rPr>
            </w:pPr>
            <w:r>
              <w:rPr>
                <w:rFonts w:hint="eastAsia" w:ascii="Times New Roman" w:hAnsi="Times New Roman"/>
              </w:rPr>
              <w:t>重点监管单位</w:t>
            </w:r>
          </w:p>
        </w:tc>
      </w:tr>
      <w:bookmarkEnd w:id="123"/>
      <w:tr w14:paraId="520C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3FFC135">
            <w:pPr>
              <w:pStyle w:val="25"/>
              <w:spacing w:line="440" w:lineRule="exact"/>
              <w:ind w:firstLine="0"/>
              <w:rPr>
                <w:rFonts w:ascii="Times New Roman" w:hAnsi="Times New Roman"/>
              </w:rPr>
            </w:pPr>
            <w:r>
              <w:rPr>
                <w:rFonts w:hint="eastAsia" w:ascii="Times New Roman" w:hAnsi="Times New Roman"/>
              </w:rPr>
              <w:t>1</w:t>
            </w:r>
          </w:p>
        </w:tc>
        <w:tc>
          <w:tcPr>
            <w:tcW w:w="2552" w:type="dxa"/>
            <w:vAlign w:val="center"/>
          </w:tcPr>
          <w:p w14:paraId="43E14E79">
            <w:pPr>
              <w:pStyle w:val="25"/>
              <w:spacing w:line="440" w:lineRule="exact"/>
              <w:ind w:firstLine="0"/>
              <w:rPr>
                <w:rFonts w:ascii="Times New Roman" w:hAnsi="Times New Roman"/>
              </w:rPr>
            </w:pPr>
            <w:r>
              <w:rPr>
                <w:rFonts w:hint="eastAsia" w:ascii="Times New Roman" w:hAnsi="Times New Roman"/>
              </w:rPr>
              <w:t>大同市</w:t>
            </w:r>
          </w:p>
        </w:tc>
        <w:tc>
          <w:tcPr>
            <w:tcW w:w="2835" w:type="dxa"/>
            <w:vAlign w:val="center"/>
          </w:tcPr>
          <w:p w14:paraId="3A2E519B">
            <w:pPr>
              <w:pStyle w:val="25"/>
              <w:spacing w:line="440" w:lineRule="exact"/>
              <w:ind w:firstLine="0"/>
              <w:rPr>
                <w:rFonts w:ascii="Times New Roman" w:hAnsi="Times New Roman"/>
              </w:rPr>
            </w:pPr>
            <w:r>
              <w:rPr>
                <w:rFonts w:hint="eastAsia" w:ascii="Times New Roman" w:hAnsi="Times New Roman"/>
              </w:rPr>
              <w:t>云冈区</w:t>
            </w:r>
          </w:p>
        </w:tc>
        <w:tc>
          <w:tcPr>
            <w:tcW w:w="7432" w:type="dxa"/>
            <w:vAlign w:val="center"/>
          </w:tcPr>
          <w:p w14:paraId="54E14FFA">
            <w:pPr>
              <w:pStyle w:val="25"/>
              <w:spacing w:line="440" w:lineRule="exact"/>
              <w:ind w:firstLine="0"/>
              <w:rPr>
                <w:rFonts w:ascii="Times New Roman" w:hAnsi="Times New Roman"/>
              </w:rPr>
            </w:pPr>
            <w:r>
              <w:rPr>
                <w:rFonts w:hint="eastAsia" w:ascii="Times New Roman" w:hAnsi="Times New Roman"/>
              </w:rPr>
              <w:t>同煤广发化学工业有限公司</w:t>
            </w:r>
          </w:p>
        </w:tc>
      </w:tr>
      <w:tr w14:paraId="5B17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A9D49E2">
            <w:pPr>
              <w:pStyle w:val="25"/>
              <w:spacing w:line="440" w:lineRule="exact"/>
              <w:ind w:firstLine="0"/>
              <w:rPr>
                <w:rFonts w:ascii="Times New Roman" w:hAnsi="Times New Roman"/>
              </w:rPr>
            </w:pPr>
            <w:bookmarkStart w:id="124" w:name="_Hlk205834283"/>
            <w:r>
              <w:rPr>
                <w:rFonts w:hint="eastAsia" w:ascii="Times New Roman" w:hAnsi="Times New Roman"/>
              </w:rPr>
              <w:t>2</w:t>
            </w:r>
          </w:p>
        </w:tc>
        <w:tc>
          <w:tcPr>
            <w:tcW w:w="2552" w:type="dxa"/>
            <w:vAlign w:val="center"/>
          </w:tcPr>
          <w:p w14:paraId="1A4B3692">
            <w:pPr>
              <w:pStyle w:val="25"/>
              <w:spacing w:line="440" w:lineRule="exact"/>
              <w:ind w:firstLine="0"/>
              <w:rPr>
                <w:rFonts w:ascii="Times New Roman" w:hAnsi="Times New Roman"/>
              </w:rPr>
            </w:pPr>
            <w:r>
              <w:rPr>
                <w:rFonts w:hint="eastAsia" w:ascii="Times New Roman" w:hAnsi="Times New Roman"/>
              </w:rPr>
              <w:t>大同市</w:t>
            </w:r>
          </w:p>
        </w:tc>
        <w:tc>
          <w:tcPr>
            <w:tcW w:w="2835" w:type="dxa"/>
            <w:vAlign w:val="center"/>
          </w:tcPr>
          <w:p w14:paraId="23E75F96">
            <w:pPr>
              <w:pStyle w:val="25"/>
              <w:spacing w:line="440" w:lineRule="exact"/>
              <w:ind w:firstLine="0"/>
              <w:rPr>
                <w:rFonts w:ascii="Times New Roman" w:hAnsi="Times New Roman"/>
              </w:rPr>
            </w:pPr>
            <w:r>
              <w:rPr>
                <w:rFonts w:hint="eastAsia" w:ascii="Times New Roman" w:hAnsi="Times New Roman"/>
              </w:rPr>
              <w:t>云冈区</w:t>
            </w:r>
          </w:p>
        </w:tc>
        <w:tc>
          <w:tcPr>
            <w:tcW w:w="7432" w:type="dxa"/>
            <w:vAlign w:val="center"/>
          </w:tcPr>
          <w:p w14:paraId="3B8D1989">
            <w:pPr>
              <w:pStyle w:val="25"/>
              <w:spacing w:line="440" w:lineRule="exact"/>
              <w:ind w:firstLine="0"/>
              <w:rPr>
                <w:rFonts w:ascii="Times New Roman" w:hAnsi="Times New Roman"/>
              </w:rPr>
            </w:pPr>
            <w:r>
              <w:rPr>
                <w:rFonts w:hint="eastAsia" w:ascii="Times New Roman" w:hAnsi="Times New Roman"/>
              </w:rPr>
              <w:t>大同煤矿集团和创蓬璜机械设备有限责任公司</w:t>
            </w:r>
          </w:p>
        </w:tc>
      </w:tr>
      <w:bookmarkEnd w:id="124"/>
      <w:tr w14:paraId="2CA7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vAlign w:val="center"/>
          </w:tcPr>
          <w:p w14:paraId="0916A5D7">
            <w:pPr>
              <w:pStyle w:val="25"/>
              <w:spacing w:line="440" w:lineRule="exact"/>
              <w:ind w:firstLine="0"/>
              <w:rPr>
                <w:rFonts w:ascii="Times New Roman" w:hAnsi="Times New Roman"/>
              </w:rPr>
            </w:pPr>
            <w:r>
              <w:rPr>
                <w:rFonts w:hint="eastAsia" w:ascii="Times New Roman" w:hAnsi="Times New Roman"/>
              </w:rPr>
              <w:t>序号</w:t>
            </w:r>
          </w:p>
        </w:tc>
        <w:tc>
          <w:tcPr>
            <w:tcW w:w="2552" w:type="dxa"/>
            <w:tcBorders>
              <w:top w:val="single" w:color="auto" w:sz="4" w:space="0"/>
              <w:left w:val="single" w:color="auto" w:sz="4" w:space="0"/>
              <w:bottom w:val="single" w:color="auto" w:sz="4" w:space="0"/>
              <w:right w:val="single" w:color="auto" w:sz="4" w:space="0"/>
            </w:tcBorders>
            <w:vAlign w:val="center"/>
          </w:tcPr>
          <w:p w14:paraId="2E197EF5">
            <w:pPr>
              <w:pStyle w:val="25"/>
              <w:spacing w:line="440" w:lineRule="exact"/>
              <w:ind w:firstLine="0"/>
              <w:rPr>
                <w:rFonts w:ascii="Times New Roman" w:hAnsi="Times New Roman"/>
              </w:rPr>
            </w:pPr>
            <w:r>
              <w:rPr>
                <w:rFonts w:hint="eastAsia" w:ascii="Times New Roman" w:hAnsi="Times New Roman"/>
              </w:rPr>
              <w:t>行政区划（市）</w:t>
            </w:r>
          </w:p>
        </w:tc>
        <w:tc>
          <w:tcPr>
            <w:tcW w:w="2835" w:type="dxa"/>
            <w:tcBorders>
              <w:top w:val="single" w:color="auto" w:sz="4" w:space="0"/>
              <w:left w:val="single" w:color="auto" w:sz="4" w:space="0"/>
              <w:bottom w:val="single" w:color="auto" w:sz="4" w:space="0"/>
              <w:right w:val="single" w:color="auto" w:sz="4" w:space="0"/>
            </w:tcBorders>
            <w:vAlign w:val="center"/>
          </w:tcPr>
          <w:p w14:paraId="4DC62FEB">
            <w:pPr>
              <w:pStyle w:val="25"/>
              <w:spacing w:line="440" w:lineRule="exact"/>
              <w:ind w:firstLine="0"/>
              <w:rPr>
                <w:rFonts w:ascii="Times New Roman" w:hAnsi="Times New Roman"/>
              </w:rPr>
            </w:pPr>
            <w:r>
              <w:rPr>
                <w:rFonts w:hint="eastAsia" w:ascii="Times New Roman" w:hAnsi="Times New Roman"/>
              </w:rPr>
              <w:t>行政区划（县/区）</w:t>
            </w:r>
          </w:p>
        </w:tc>
        <w:tc>
          <w:tcPr>
            <w:tcW w:w="7432" w:type="dxa"/>
            <w:tcBorders>
              <w:top w:val="single" w:color="auto" w:sz="4" w:space="0"/>
              <w:left w:val="single" w:color="auto" w:sz="4" w:space="0"/>
              <w:bottom w:val="single" w:color="auto" w:sz="4" w:space="0"/>
              <w:right w:val="single" w:color="auto" w:sz="4" w:space="0"/>
            </w:tcBorders>
            <w:vAlign w:val="center"/>
          </w:tcPr>
          <w:p w14:paraId="178113BB">
            <w:pPr>
              <w:pStyle w:val="25"/>
              <w:spacing w:line="440" w:lineRule="exact"/>
              <w:ind w:firstLine="0"/>
              <w:rPr>
                <w:rFonts w:ascii="Times New Roman" w:hAnsi="Times New Roman"/>
              </w:rPr>
            </w:pPr>
            <w:r>
              <w:rPr>
                <w:rFonts w:hint="eastAsia" w:ascii="Times New Roman" w:hAnsi="Times New Roman"/>
              </w:rPr>
              <w:t>重点监管地块</w:t>
            </w:r>
          </w:p>
        </w:tc>
      </w:tr>
      <w:tr w14:paraId="46272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056CA07">
            <w:pPr>
              <w:pStyle w:val="25"/>
              <w:spacing w:line="440" w:lineRule="exact"/>
              <w:ind w:firstLine="0"/>
              <w:rPr>
                <w:rFonts w:ascii="Times New Roman" w:hAnsi="Times New Roman"/>
              </w:rPr>
            </w:pPr>
            <w:r>
              <w:rPr>
                <w:rFonts w:hint="eastAsia" w:ascii="Times New Roman" w:hAnsi="Times New Roman"/>
              </w:rPr>
              <w:t>1</w:t>
            </w:r>
          </w:p>
        </w:tc>
        <w:tc>
          <w:tcPr>
            <w:tcW w:w="2552" w:type="dxa"/>
            <w:tcBorders>
              <w:top w:val="single" w:color="auto" w:sz="4" w:space="0"/>
              <w:left w:val="single" w:color="auto" w:sz="4" w:space="0"/>
              <w:bottom w:val="single" w:color="auto" w:sz="4" w:space="0"/>
              <w:right w:val="single" w:color="auto" w:sz="4" w:space="0"/>
            </w:tcBorders>
            <w:vAlign w:val="center"/>
          </w:tcPr>
          <w:p w14:paraId="6B0183C8">
            <w:pPr>
              <w:pStyle w:val="25"/>
              <w:spacing w:line="440" w:lineRule="exact"/>
              <w:ind w:firstLine="0"/>
              <w:rPr>
                <w:rFonts w:ascii="Times New Roman" w:hAnsi="Times New Roman"/>
              </w:rPr>
            </w:pPr>
            <w:r>
              <w:rPr>
                <w:rFonts w:hint="eastAsia" w:ascii="Times New Roman" w:hAnsi="Times New Roman"/>
              </w:rPr>
              <w:t>大同市</w:t>
            </w:r>
          </w:p>
        </w:tc>
        <w:tc>
          <w:tcPr>
            <w:tcW w:w="2835" w:type="dxa"/>
            <w:tcBorders>
              <w:top w:val="single" w:color="auto" w:sz="4" w:space="0"/>
              <w:left w:val="single" w:color="auto" w:sz="4" w:space="0"/>
              <w:bottom w:val="single" w:color="auto" w:sz="4" w:space="0"/>
              <w:right w:val="single" w:color="auto" w:sz="4" w:space="0"/>
            </w:tcBorders>
            <w:vAlign w:val="center"/>
          </w:tcPr>
          <w:p w14:paraId="5BB98F52">
            <w:pPr>
              <w:pStyle w:val="25"/>
              <w:spacing w:line="440" w:lineRule="exact"/>
              <w:ind w:firstLine="0"/>
              <w:rPr>
                <w:rFonts w:ascii="Times New Roman" w:hAnsi="Times New Roman"/>
              </w:rPr>
            </w:pPr>
            <w:r>
              <w:rPr>
                <w:rFonts w:hint="eastAsia" w:ascii="Times New Roman" w:hAnsi="Times New Roman"/>
              </w:rPr>
              <w:t>云冈区</w:t>
            </w:r>
          </w:p>
        </w:tc>
        <w:tc>
          <w:tcPr>
            <w:tcW w:w="7432" w:type="dxa"/>
            <w:vAlign w:val="center"/>
          </w:tcPr>
          <w:p w14:paraId="2BC92D74">
            <w:pPr>
              <w:spacing w:line="440" w:lineRule="exact"/>
              <w:rPr>
                <w:rFonts w:ascii="Times New Roman" w:hAnsi="Times New Roman" w:eastAsia="仿宋_GB2312"/>
                <w:sz w:val="32"/>
              </w:rPr>
            </w:pPr>
            <w:bookmarkStart w:id="125" w:name="OLE_LINK65"/>
            <w:bookmarkStart w:id="126" w:name="OLE_LINK66"/>
            <w:r>
              <w:rPr>
                <w:rFonts w:hint="eastAsia" w:ascii="Times New Roman" w:hAnsi="Times New Roman" w:eastAsia="仿宋_GB2312"/>
                <w:sz w:val="32"/>
              </w:rPr>
              <w:t>大同市晋福能源有限公司</w:t>
            </w:r>
            <w:bookmarkEnd w:id="125"/>
            <w:bookmarkEnd w:id="126"/>
          </w:p>
        </w:tc>
      </w:tr>
      <w:tr w14:paraId="15B2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429B59B">
            <w:pPr>
              <w:pStyle w:val="25"/>
              <w:spacing w:line="440" w:lineRule="exact"/>
              <w:ind w:firstLine="0"/>
              <w:rPr>
                <w:rFonts w:ascii="Times New Roman" w:hAnsi="Times New Roman"/>
              </w:rPr>
            </w:pPr>
            <w:r>
              <w:rPr>
                <w:rFonts w:hint="eastAsia" w:ascii="Times New Roman" w:hAnsi="Times New Roman"/>
              </w:rPr>
              <w:t>2</w:t>
            </w:r>
          </w:p>
        </w:tc>
        <w:tc>
          <w:tcPr>
            <w:tcW w:w="2552" w:type="dxa"/>
            <w:tcBorders>
              <w:top w:val="single" w:color="auto" w:sz="4" w:space="0"/>
              <w:left w:val="single" w:color="auto" w:sz="4" w:space="0"/>
              <w:bottom w:val="single" w:color="auto" w:sz="4" w:space="0"/>
              <w:right w:val="single" w:color="auto" w:sz="4" w:space="0"/>
            </w:tcBorders>
            <w:vAlign w:val="center"/>
          </w:tcPr>
          <w:p w14:paraId="6A536AE0">
            <w:pPr>
              <w:pStyle w:val="25"/>
              <w:spacing w:line="440" w:lineRule="exact"/>
              <w:ind w:firstLine="0"/>
              <w:rPr>
                <w:rFonts w:ascii="Times New Roman" w:hAnsi="Times New Roman"/>
              </w:rPr>
            </w:pPr>
            <w:r>
              <w:rPr>
                <w:rFonts w:hint="eastAsia" w:ascii="Times New Roman" w:hAnsi="Times New Roman"/>
              </w:rPr>
              <w:t>大同市</w:t>
            </w:r>
          </w:p>
        </w:tc>
        <w:tc>
          <w:tcPr>
            <w:tcW w:w="2835" w:type="dxa"/>
            <w:tcBorders>
              <w:top w:val="single" w:color="auto" w:sz="4" w:space="0"/>
              <w:left w:val="single" w:color="auto" w:sz="4" w:space="0"/>
              <w:bottom w:val="single" w:color="auto" w:sz="4" w:space="0"/>
              <w:right w:val="single" w:color="auto" w:sz="4" w:space="0"/>
            </w:tcBorders>
            <w:vAlign w:val="center"/>
          </w:tcPr>
          <w:p w14:paraId="4B057F21">
            <w:pPr>
              <w:pStyle w:val="25"/>
              <w:spacing w:line="440" w:lineRule="exact"/>
              <w:ind w:firstLine="0"/>
              <w:rPr>
                <w:rFonts w:ascii="Times New Roman" w:hAnsi="Times New Roman"/>
              </w:rPr>
            </w:pPr>
            <w:r>
              <w:rPr>
                <w:rFonts w:hint="eastAsia" w:ascii="Times New Roman" w:hAnsi="Times New Roman"/>
              </w:rPr>
              <w:t>云冈区</w:t>
            </w:r>
          </w:p>
        </w:tc>
        <w:tc>
          <w:tcPr>
            <w:tcW w:w="7432" w:type="dxa"/>
            <w:vAlign w:val="center"/>
          </w:tcPr>
          <w:p w14:paraId="62B9AA02">
            <w:pPr>
              <w:spacing w:line="440" w:lineRule="exact"/>
              <w:rPr>
                <w:rFonts w:ascii="Times New Roman" w:hAnsi="Times New Roman" w:eastAsia="仿宋_GB2312"/>
                <w:sz w:val="32"/>
              </w:rPr>
            </w:pPr>
            <w:r>
              <w:rPr>
                <w:rFonts w:hint="eastAsia" w:ascii="Times New Roman" w:hAnsi="Times New Roman" w:eastAsia="仿宋_GB2312"/>
                <w:sz w:val="32"/>
              </w:rPr>
              <w:t>大同煤矿集团云冈制气焦化有限公司</w:t>
            </w:r>
          </w:p>
        </w:tc>
      </w:tr>
      <w:tr w14:paraId="3915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D8CE4F9">
            <w:pPr>
              <w:pStyle w:val="25"/>
              <w:spacing w:line="440" w:lineRule="exact"/>
              <w:ind w:firstLine="0"/>
              <w:rPr>
                <w:rFonts w:ascii="Times New Roman" w:hAnsi="Times New Roman"/>
              </w:rPr>
            </w:pPr>
            <w:r>
              <w:rPr>
                <w:rFonts w:hint="eastAsia" w:ascii="Times New Roman" w:hAnsi="Times New Roman"/>
              </w:rPr>
              <w:t>3</w:t>
            </w:r>
          </w:p>
        </w:tc>
        <w:tc>
          <w:tcPr>
            <w:tcW w:w="2552" w:type="dxa"/>
            <w:tcBorders>
              <w:top w:val="single" w:color="auto" w:sz="4" w:space="0"/>
              <w:left w:val="single" w:color="auto" w:sz="4" w:space="0"/>
              <w:bottom w:val="single" w:color="auto" w:sz="4" w:space="0"/>
              <w:right w:val="single" w:color="auto" w:sz="4" w:space="0"/>
            </w:tcBorders>
            <w:vAlign w:val="center"/>
          </w:tcPr>
          <w:p w14:paraId="576F7194">
            <w:pPr>
              <w:pStyle w:val="25"/>
              <w:spacing w:line="440" w:lineRule="exact"/>
              <w:ind w:firstLine="0"/>
              <w:rPr>
                <w:rFonts w:ascii="Times New Roman" w:hAnsi="Times New Roman"/>
              </w:rPr>
            </w:pPr>
            <w:r>
              <w:rPr>
                <w:rFonts w:hint="eastAsia" w:ascii="Times New Roman" w:hAnsi="Times New Roman"/>
              </w:rPr>
              <w:t>大同市</w:t>
            </w:r>
          </w:p>
        </w:tc>
        <w:tc>
          <w:tcPr>
            <w:tcW w:w="2835" w:type="dxa"/>
            <w:tcBorders>
              <w:top w:val="single" w:color="auto" w:sz="4" w:space="0"/>
              <w:left w:val="single" w:color="auto" w:sz="4" w:space="0"/>
              <w:bottom w:val="single" w:color="auto" w:sz="4" w:space="0"/>
              <w:right w:val="single" w:color="auto" w:sz="4" w:space="0"/>
            </w:tcBorders>
            <w:vAlign w:val="center"/>
          </w:tcPr>
          <w:p w14:paraId="52374F08">
            <w:pPr>
              <w:pStyle w:val="25"/>
              <w:spacing w:line="440" w:lineRule="exact"/>
              <w:ind w:firstLine="0"/>
              <w:rPr>
                <w:rFonts w:ascii="Times New Roman" w:hAnsi="Times New Roman"/>
              </w:rPr>
            </w:pPr>
            <w:r>
              <w:rPr>
                <w:rFonts w:hint="eastAsia" w:ascii="Times New Roman" w:hAnsi="Times New Roman"/>
              </w:rPr>
              <w:t>云冈区</w:t>
            </w:r>
          </w:p>
        </w:tc>
        <w:tc>
          <w:tcPr>
            <w:tcW w:w="7432" w:type="dxa"/>
            <w:vAlign w:val="center"/>
          </w:tcPr>
          <w:p w14:paraId="0FEA9324">
            <w:pPr>
              <w:spacing w:line="440" w:lineRule="exact"/>
              <w:rPr>
                <w:rFonts w:ascii="Times New Roman" w:hAnsi="Times New Roman" w:eastAsia="仿宋_GB2312"/>
                <w:sz w:val="32"/>
              </w:rPr>
            </w:pPr>
            <w:r>
              <w:rPr>
                <w:rFonts w:hint="eastAsia" w:ascii="Times New Roman" w:hAnsi="Times New Roman" w:eastAsia="仿宋_GB2312"/>
                <w:sz w:val="32"/>
              </w:rPr>
              <w:t>大同青山平旺焦化有限公司</w:t>
            </w:r>
          </w:p>
        </w:tc>
      </w:tr>
      <w:tr w14:paraId="12D9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7EE16F1">
            <w:pPr>
              <w:pStyle w:val="25"/>
              <w:spacing w:line="440" w:lineRule="exact"/>
              <w:ind w:firstLine="0"/>
              <w:rPr>
                <w:rFonts w:ascii="Times New Roman" w:hAnsi="Times New Roman"/>
              </w:rPr>
            </w:pPr>
            <w:r>
              <w:rPr>
                <w:rFonts w:hint="eastAsia" w:ascii="Times New Roman" w:hAnsi="Times New Roman"/>
              </w:rPr>
              <w:t>4</w:t>
            </w:r>
          </w:p>
        </w:tc>
        <w:tc>
          <w:tcPr>
            <w:tcW w:w="2552" w:type="dxa"/>
            <w:tcBorders>
              <w:top w:val="single" w:color="auto" w:sz="4" w:space="0"/>
              <w:left w:val="single" w:color="auto" w:sz="4" w:space="0"/>
              <w:bottom w:val="single" w:color="auto" w:sz="4" w:space="0"/>
              <w:right w:val="single" w:color="auto" w:sz="4" w:space="0"/>
            </w:tcBorders>
            <w:vAlign w:val="center"/>
          </w:tcPr>
          <w:p w14:paraId="244BD2B5">
            <w:pPr>
              <w:pStyle w:val="25"/>
              <w:spacing w:line="440" w:lineRule="exact"/>
              <w:ind w:firstLine="0"/>
              <w:rPr>
                <w:rFonts w:ascii="Times New Roman" w:hAnsi="Times New Roman"/>
              </w:rPr>
            </w:pPr>
            <w:r>
              <w:rPr>
                <w:rFonts w:hint="eastAsia" w:ascii="Times New Roman" w:hAnsi="Times New Roman"/>
              </w:rPr>
              <w:t>大同市</w:t>
            </w:r>
          </w:p>
        </w:tc>
        <w:tc>
          <w:tcPr>
            <w:tcW w:w="2835" w:type="dxa"/>
            <w:tcBorders>
              <w:top w:val="single" w:color="auto" w:sz="4" w:space="0"/>
              <w:left w:val="single" w:color="auto" w:sz="4" w:space="0"/>
              <w:bottom w:val="single" w:color="auto" w:sz="4" w:space="0"/>
              <w:right w:val="single" w:color="auto" w:sz="4" w:space="0"/>
            </w:tcBorders>
            <w:vAlign w:val="center"/>
          </w:tcPr>
          <w:p w14:paraId="11400FDA">
            <w:pPr>
              <w:pStyle w:val="25"/>
              <w:spacing w:line="440" w:lineRule="exact"/>
              <w:ind w:firstLine="0"/>
              <w:rPr>
                <w:rFonts w:ascii="Times New Roman" w:hAnsi="Times New Roman"/>
              </w:rPr>
            </w:pPr>
            <w:r>
              <w:rPr>
                <w:rFonts w:hint="eastAsia" w:ascii="Times New Roman" w:hAnsi="Times New Roman"/>
              </w:rPr>
              <w:t>云冈区</w:t>
            </w:r>
          </w:p>
        </w:tc>
        <w:tc>
          <w:tcPr>
            <w:tcW w:w="7432" w:type="dxa"/>
            <w:vAlign w:val="center"/>
          </w:tcPr>
          <w:p w14:paraId="1D583F85">
            <w:pPr>
              <w:pStyle w:val="25"/>
              <w:spacing w:line="440" w:lineRule="exact"/>
              <w:ind w:firstLine="0"/>
              <w:rPr>
                <w:rFonts w:ascii="Times New Roman" w:hAnsi="Times New Roman"/>
              </w:rPr>
            </w:pPr>
            <w:r>
              <w:rPr>
                <w:rFonts w:hint="eastAsia" w:ascii="Times New Roman" w:hAnsi="Times New Roman"/>
              </w:rPr>
              <w:t>大同市精谊环保危险废物处置有限公司</w:t>
            </w:r>
          </w:p>
        </w:tc>
      </w:tr>
      <w:tr w14:paraId="70EA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F1705BB">
            <w:pPr>
              <w:pStyle w:val="25"/>
              <w:spacing w:line="440" w:lineRule="exact"/>
              <w:ind w:firstLine="0"/>
              <w:rPr>
                <w:rFonts w:ascii="Times New Roman" w:hAnsi="Times New Roman"/>
              </w:rPr>
            </w:pPr>
            <w:r>
              <w:rPr>
                <w:rFonts w:hint="eastAsia" w:ascii="Times New Roman" w:hAnsi="Times New Roman"/>
              </w:rPr>
              <w:t>5</w:t>
            </w:r>
          </w:p>
        </w:tc>
        <w:tc>
          <w:tcPr>
            <w:tcW w:w="2552" w:type="dxa"/>
            <w:tcBorders>
              <w:top w:val="single" w:color="auto" w:sz="4" w:space="0"/>
              <w:left w:val="single" w:color="auto" w:sz="4" w:space="0"/>
              <w:bottom w:val="single" w:color="auto" w:sz="4" w:space="0"/>
              <w:right w:val="single" w:color="auto" w:sz="4" w:space="0"/>
            </w:tcBorders>
            <w:vAlign w:val="center"/>
          </w:tcPr>
          <w:p w14:paraId="4A1BC916">
            <w:pPr>
              <w:pStyle w:val="25"/>
              <w:spacing w:line="440" w:lineRule="exact"/>
              <w:ind w:firstLine="0"/>
              <w:rPr>
                <w:rFonts w:ascii="Times New Roman" w:hAnsi="Times New Roman"/>
              </w:rPr>
            </w:pPr>
            <w:r>
              <w:rPr>
                <w:rFonts w:hint="eastAsia" w:ascii="Times New Roman" w:hAnsi="Times New Roman"/>
              </w:rPr>
              <w:t>大同市</w:t>
            </w:r>
          </w:p>
        </w:tc>
        <w:tc>
          <w:tcPr>
            <w:tcW w:w="2835" w:type="dxa"/>
            <w:tcBorders>
              <w:top w:val="single" w:color="auto" w:sz="4" w:space="0"/>
              <w:left w:val="single" w:color="auto" w:sz="4" w:space="0"/>
              <w:bottom w:val="single" w:color="auto" w:sz="4" w:space="0"/>
              <w:right w:val="single" w:color="auto" w:sz="4" w:space="0"/>
            </w:tcBorders>
            <w:vAlign w:val="center"/>
          </w:tcPr>
          <w:p w14:paraId="6DE97E7F">
            <w:pPr>
              <w:pStyle w:val="25"/>
              <w:spacing w:line="440" w:lineRule="exact"/>
              <w:ind w:firstLine="0"/>
              <w:rPr>
                <w:rFonts w:ascii="Times New Roman" w:hAnsi="Times New Roman"/>
              </w:rPr>
            </w:pPr>
            <w:r>
              <w:rPr>
                <w:rFonts w:hint="eastAsia" w:ascii="Times New Roman" w:hAnsi="Times New Roman"/>
              </w:rPr>
              <w:t>云冈区</w:t>
            </w:r>
          </w:p>
        </w:tc>
        <w:tc>
          <w:tcPr>
            <w:tcW w:w="7432" w:type="dxa"/>
            <w:vAlign w:val="center"/>
          </w:tcPr>
          <w:p w14:paraId="1882CB07">
            <w:pPr>
              <w:pStyle w:val="25"/>
              <w:spacing w:line="440" w:lineRule="exact"/>
              <w:ind w:firstLine="0"/>
              <w:rPr>
                <w:rFonts w:ascii="Times New Roman" w:hAnsi="Times New Roman"/>
              </w:rPr>
            </w:pPr>
            <w:r>
              <w:rPr>
                <w:rFonts w:hint="eastAsia" w:ascii="Times New Roman" w:hAnsi="Times New Roman"/>
              </w:rPr>
              <w:t>大同市欣远煤焦化有限责任公司</w:t>
            </w:r>
          </w:p>
        </w:tc>
      </w:tr>
      <w:tr w14:paraId="489F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63759BC">
            <w:pPr>
              <w:pStyle w:val="25"/>
              <w:spacing w:line="440" w:lineRule="exact"/>
              <w:ind w:firstLine="0"/>
              <w:rPr>
                <w:rFonts w:ascii="Times New Roman" w:hAnsi="Times New Roman"/>
              </w:rPr>
            </w:pPr>
            <w:r>
              <w:rPr>
                <w:rFonts w:hint="eastAsia" w:ascii="Times New Roman" w:hAnsi="Times New Roman"/>
              </w:rPr>
              <w:t>6</w:t>
            </w:r>
          </w:p>
        </w:tc>
        <w:tc>
          <w:tcPr>
            <w:tcW w:w="2552" w:type="dxa"/>
            <w:tcBorders>
              <w:top w:val="single" w:color="auto" w:sz="4" w:space="0"/>
              <w:left w:val="single" w:color="auto" w:sz="4" w:space="0"/>
              <w:bottom w:val="single" w:color="auto" w:sz="4" w:space="0"/>
              <w:right w:val="single" w:color="auto" w:sz="4" w:space="0"/>
            </w:tcBorders>
            <w:vAlign w:val="center"/>
          </w:tcPr>
          <w:p w14:paraId="1C53FC62">
            <w:pPr>
              <w:pStyle w:val="25"/>
              <w:spacing w:line="440" w:lineRule="exact"/>
              <w:ind w:firstLine="0"/>
              <w:rPr>
                <w:rFonts w:ascii="Times New Roman" w:hAnsi="Times New Roman"/>
              </w:rPr>
            </w:pPr>
            <w:r>
              <w:rPr>
                <w:rFonts w:hint="eastAsia" w:ascii="Times New Roman" w:hAnsi="Times New Roman"/>
              </w:rPr>
              <w:t>大同市</w:t>
            </w:r>
          </w:p>
        </w:tc>
        <w:tc>
          <w:tcPr>
            <w:tcW w:w="2835" w:type="dxa"/>
            <w:tcBorders>
              <w:top w:val="single" w:color="auto" w:sz="4" w:space="0"/>
              <w:left w:val="single" w:color="auto" w:sz="4" w:space="0"/>
              <w:bottom w:val="single" w:color="auto" w:sz="4" w:space="0"/>
              <w:right w:val="single" w:color="auto" w:sz="4" w:space="0"/>
            </w:tcBorders>
            <w:vAlign w:val="center"/>
          </w:tcPr>
          <w:p w14:paraId="315F31AA">
            <w:pPr>
              <w:pStyle w:val="25"/>
              <w:spacing w:line="440" w:lineRule="exact"/>
              <w:ind w:firstLine="0"/>
              <w:rPr>
                <w:rFonts w:ascii="Times New Roman" w:hAnsi="Times New Roman"/>
              </w:rPr>
            </w:pPr>
            <w:r>
              <w:rPr>
                <w:rFonts w:hint="eastAsia" w:ascii="Times New Roman" w:hAnsi="Times New Roman"/>
              </w:rPr>
              <w:t>云冈区</w:t>
            </w:r>
          </w:p>
        </w:tc>
        <w:tc>
          <w:tcPr>
            <w:tcW w:w="7432" w:type="dxa"/>
            <w:vAlign w:val="center"/>
          </w:tcPr>
          <w:p w14:paraId="301A6196">
            <w:pPr>
              <w:spacing w:line="440" w:lineRule="exact"/>
              <w:rPr>
                <w:rFonts w:ascii="Times New Roman" w:hAnsi="Times New Roman" w:eastAsia="仿宋_GB2312"/>
                <w:sz w:val="32"/>
              </w:rPr>
            </w:pPr>
            <w:r>
              <w:rPr>
                <w:rFonts w:hint="eastAsia" w:ascii="Times New Roman" w:hAnsi="Times New Roman" w:eastAsia="仿宋_GB2312"/>
                <w:sz w:val="32"/>
              </w:rPr>
              <w:t>大同煤矿集团有限责任公司煤气厂</w:t>
            </w:r>
          </w:p>
        </w:tc>
      </w:tr>
      <w:tr w14:paraId="7BD9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4697AEA">
            <w:pPr>
              <w:pStyle w:val="25"/>
              <w:spacing w:line="440" w:lineRule="exact"/>
              <w:ind w:firstLine="0"/>
              <w:rPr>
                <w:rFonts w:ascii="Times New Roman" w:hAnsi="Times New Roman"/>
              </w:rPr>
            </w:pPr>
            <w:r>
              <w:rPr>
                <w:rFonts w:hint="eastAsia" w:ascii="Times New Roman" w:hAnsi="Times New Roman"/>
              </w:rPr>
              <w:t>7</w:t>
            </w:r>
          </w:p>
        </w:tc>
        <w:tc>
          <w:tcPr>
            <w:tcW w:w="2552" w:type="dxa"/>
            <w:tcBorders>
              <w:top w:val="single" w:color="auto" w:sz="4" w:space="0"/>
              <w:left w:val="single" w:color="auto" w:sz="4" w:space="0"/>
              <w:bottom w:val="single" w:color="auto" w:sz="4" w:space="0"/>
              <w:right w:val="single" w:color="auto" w:sz="4" w:space="0"/>
            </w:tcBorders>
            <w:vAlign w:val="center"/>
          </w:tcPr>
          <w:p w14:paraId="79B6DA5A">
            <w:pPr>
              <w:pStyle w:val="25"/>
              <w:spacing w:line="440" w:lineRule="exact"/>
              <w:ind w:firstLine="0"/>
              <w:rPr>
                <w:rFonts w:ascii="Times New Roman" w:hAnsi="Times New Roman"/>
              </w:rPr>
            </w:pPr>
            <w:r>
              <w:rPr>
                <w:rFonts w:hint="eastAsia" w:ascii="Times New Roman" w:hAnsi="Times New Roman"/>
              </w:rPr>
              <w:t>大同市</w:t>
            </w:r>
          </w:p>
        </w:tc>
        <w:tc>
          <w:tcPr>
            <w:tcW w:w="2835" w:type="dxa"/>
            <w:tcBorders>
              <w:top w:val="single" w:color="auto" w:sz="4" w:space="0"/>
              <w:left w:val="single" w:color="auto" w:sz="4" w:space="0"/>
              <w:bottom w:val="single" w:color="auto" w:sz="4" w:space="0"/>
              <w:right w:val="single" w:color="auto" w:sz="4" w:space="0"/>
            </w:tcBorders>
            <w:vAlign w:val="center"/>
          </w:tcPr>
          <w:p w14:paraId="4406DCE2">
            <w:pPr>
              <w:pStyle w:val="25"/>
              <w:spacing w:line="440" w:lineRule="exact"/>
              <w:ind w:firstLine="0"/>
              <w:rPr>
                <w:rFonts w:ascii="Times New Roman" w:hAnsi="Times New Roman"/>
              </w:rPr>
            </w:pPr>
            <w:r>
              <w:rPr>
                <w:rFonts w:hint="eastAsia" w:ascii="Times New Roman" w:hAnsi="Times New Roman"/>
              </w:rPr>
              <w:t>云冈区</w:t>
            </w:r>
          </w:p>
        </w:tc>
        <w:tc>
          <w:tcPr>
            <w:tcW w:w="7432" w:type="dxa"/>
            <w:vAlign w:val="center"/>
          </w:tcPr>
          <w:p w14:paraId="4D4EF615">
            <w:pPr>
              <w:pStyle w:val="25"/>
              <w:spacing w:line="440" w:lineRule="exact"/>
              <w:ind w:firstLine="0"/>
              <w:rPr>
                <w:rFonts w:ascii="Times New Roman" w:hAnsi="Times New Roman"/>
              </w:rPr>
            </w:pPr>
            <w:r>
              <w:rPr>
                <w:rFonts w:hint="eastAsia" w:ascii="Times New Roman" w:hAnsi="Times New Roman"/>
              </w:rPr>
              <w:t>大同市泉福钢厂</w:t>
            </w:r>
          </w:p>
        </w:tc>
      </w:tr>
      <w:tr w14:paraId="245E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BB47C6D">
            <w:pPr>
              <w:pStyle w:val="25"/>
              <w:spacing w:line="440" w:lineRule="exact"/>
              <w:ind w:firstLine="0"/>
              <w:rPr>
                <w:rFonts w:ascii="Times New Roman" w:hAnsi="Times New Roman"/>
              </w:rPr>
            </w:pPr>
            <w:r>
              <w:rPr>
                <w:rFonts w:hint="eastAsia" w:ascii="Times New Roman" w:hAnsi="Times New Roman"/>
              </w:rPr>
              <w:t>8</w:t>
            </w:r>
          </w:p>
        </w:tc>
        <w:tc>
          <w:tcPr>
            <w:tcW w:w="2552" w:type="dxa"/>
            <w:tcBorders>
              <w:top w:val="single" w:color="auto" w:sz="4" w:space="0"/>
              <w:left w:val="single" w:color="auto" w:sz="4" w:space="0"/>
              <w:bottom w:val="single" w:color="auto" w:sz="4" w:space="0"/>
              <w:right w:val="single" w:color="auto" w:sz="4" w:space="0"/>
            </w:tcBorders>
            <w:vAlign w:val="center"/>
          </w:tcPr>
          <w:p w14:paraId="5ED2E9AD">
            <w:pPr>
              <w:pStyle w:val="25"/>
              <w:spacing w:line="440" w:lineRule="exact"/>
              <w:ind w:firstLine="0"/>
              <w:rPr>
                <w:rFonts w:ascii="Times New Roman" w:hAnsi="Times New Roman"/>
              </w:rPr>
            </w:pPr>
            <w:r>
              <w:rPr>
                <w:rFonts w:hint="eastAsia" w:ascii="Times New Roman" w:hAnsi="Times New Roman"/>
              </w:rPr>
              <w:t>大同市</w:t>
            </w:r>
          </w:p>
        </w:tc>
        <w:tc>
          <w:tcPr>
            <w:tcW w:w="2835" w:type="dxa"/>
            <w:tcBorders>
              <w:top w:val="single" w:color="auto" w:sz="4" w:space="0"/>
              <w:left w:val="single" w:color="auto" w:sz="4" w:space="0"/>
              <w:bottom w:val="single" w:color="auto" w:sz="4" w:space="0"/>
              <w:right w:val="single" w:color="auto" w:sz="4" w:space="0"/>
            </w:tcBorders>
            <w:vAlign w:val="center"/>
          </w:tcPr>
          <w:p w14:paraId="1B84A1B2">
            <w:pPr>
              <w:pStyle w:val="25"/>
              <w:spacing w:line="440" w:lineRule="exact"/>
              <w:ind w:firstLine="0"/>
              <w:rPr>
                <w:rFonts w:ascii="Times New Roman" w:hAnsi="Times New Roman"/>
              </w:rPr>
            </w:pPr>
            <w:r>
              <w:rPr>
                <w:rFonts w:hint="eastAsia" w:ascii="Times New Roman" w:hAnsi="Times New Roman"/>
              </w:rPr>
              <w:t>云冈区</w:t>
            </w:r>
          </w:p>
        </w:tc>
        <w:tc>
          <w:tcPr>
            <w:tcW w:w="7432" w:type="dxa"/>
            <w:vAlign w:val="center"/>
          </w:tcPr>
          <w:p w14:paraId="63DD340F">
            <w:pPr>
              <w:pStyle w:val="25"/>
              <w:spacing w:line="440" w:lineRule="exact"/>
              <w:ind w:firstLine="0"/>
              <w:rPr>
                <w:rFonts w:ascii="Times New Roman" w:hAnsi="Times New Roman"/>
              </w:rPr>
            </w:pPr>
            <w:r>
              <w:rPr>
                <w:rFonts w:hint="eastAsia" w:ascii="Times New Roman" w:hAnsi="Times New Roman"/>
              </w:rPr>
              <w:t>大同煤矿集团有限责任公司化工厂（旧址）</w:t>
            </w:r>
          </w:p>
        </w:tc>
      </w:tr>
      <w:tr w14:paraId="053B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19BA5D9">
            <w:pPr>
              <w:pStyle w:val="25"/>
              <w:spacing w:line="440" w:lineRule="exact"/>
              <w:ind w:firstLine="0"/>
              <w:rPr>
                <w:rFonts w:ascii="Times New Roman" w:hAnsi="Times New Roman"/>
              </w:rPr>
            </w:pPr>
            <w:r>
              <w:rPr>
                <w:rFonts w:hint="eastAsia" w:ascii="Times New Roman" w:hAnsi="Times New Roman"/>
              </w:rPr>
              <w:t>9</w:t>
            </w:r>
          </w:p>
        </w:tc>
        <w:tc>
          <w:tcPr>
            <w:tcW w:w="2552" w:type="dxa"/>
            <w:tcBorders>
              <w:top w:val="single" w:color="auto" w:sz="4" w:space="0"/>
              <w:left w:val="single" w:color="auto" w:sz="4" w:space="0"/>
              <w:bottom w:val="single" w:color="auto" w:sz="4" w:space="0"/>
              <w:right w:val="single" w:color="auto" w:sz="4" w:space="0"/>
            </w:tcBorders>
            <w:vAlign w:val="center"/>
          </w:tcPr>
          <w:p w14:paraId="2EF0538A">
            <w:pPr>
              <w:pStyle w:val="25"/>
              <w:spacing w:line="440" w:lineRule="exact"/>
              <w:ind w:firstLine="0"/>
              <w:rPr>
                <w:rFonts w:ascii="Times New Roman" w:hAnsi="Times New Roman"/>
              </w:rPr>
            </w:pPr>
            <w:r>
              <w:rPr>
                <w:rFonts w:hint="eastAsia" w:ascii="Times New Roman" w:hAnsi="Times New Roman"/>
              </w:rPr>
              <w:t>大同市</w:t>
            </w:r>
          </w:p>
        </w:tc>
        <w:tc>
          <w:tcPr>
            <w:tcW w:w="2835" w:type="dxa"/>
            <w:tcBorders>
              <w:top w:val="single" w:color="auto" w:sz="4" w:space="0"/>
              <w:left w:val="single" w:color="auto" w:sz="4" w:space="0"/>
              <w:bottom w:val="single" w:color="auto" w:sz="4" w:space="0"/>
              <w:right w:val="single" w:color="auto" w:sz="4" w:space="0"/>
            </w:tcBorders>
            <w:vAlign w:val="center"/>
          </w:tcPr>
          <w:p w14:paraId="7B27A17E">
            <w:pPr>
              <w:pStyle w:val="25"/>
              <w:spacing w:line="440" w:lineRule="exact"/>
              <w:ind w:firstLine="0"/>
              <w:rPr>
                <w:rFonts w:ascii="Times New Roman" w:hAnsi="Times New Roman"/>
              </w:rPr>
            </w:pPr>
            <w:r>
              <w:rPr>
                <w:rFonts w:hint="eastAsia" w:ascii="Times New Roman" w:hAnsi="Times New Roman"/>
              </w:rPr>
              <w:t>云冈区</w:t>
            </w:r>
          </w:p>
        </w:tc>
        <w:tc>
          <w:tcPr>
            <w:tcW w:w="7432" w:type="dxa"/>
            <w:vAlign w:val="center"/>
          </w:tcPr>
          <w:p w14:paraId="1C55A9C0">
            <w:pPr>
              <w:pStyle w:val="25"/>
              <w:spacing w:line="440" w:lineRule="exact"/>
              <w:ind w:firstLine="0"/>
              <w:rPr>
                <w:rFonts w:ascii="Times New Roman" w:hAnsi="Times New Roman"/>
              </w:rPr>
            </w:pPr>
            <w:r>
              <w:rPr>
                <w:rFonts w:hint="eastAsia" w:ascii="Times New Roman" w:hAnsi="Times New Roman"/>
              </w:rPr>
              <w:t>大同市云冈区三圣纤纺织助剂有限公司</w:t>
            </w:r>
          </w:p>
        </w:tc>
      </w:tr>
      <w:tr w14:paraId="5D326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63BAA3C">
            <w:pPr>
              <w:pStyle w:val="25"/>
              <w:spacing w:line="440" w:lineRule="exact"/>
              <w:ind w:firstLine="0"/>
              <w:rPr>
                <w:rFonts w:ascii="Times New Roman" w:hAnsi="Times New Roman"/>
              </w:rPr>
            </w:pPr>
            <w:r>
              <w:rPr>
                <w:rFonts w:hint="eastAsia" w:ascii="Times New Roman" w:hAnsi="Times New Roman"/>
              </w:rPr>
              <w:t>1</w:t>
            </w:r>
            <w:r>
              <w:rPr>
                <w:rFonts w:ascii="Times New Roman" w:hAnsi="Times New Roman"/>
              </w:rPr>
              <w:t>0</w:t>
            </w:r>
          </w:p>
        </w:tc>
        <w:tc>
          <w:tcPr>
            <w:tcW w:w="2552" w:type="dxa"/>
            <w:tcBorders>
              <w:top w:val="single" w:color="auto" w:sz="4" w:space="0"/>
              <w:left w:val="single" w:color="auto" w:sz="4" w:space="0"/>
              <w:bottom w:val="single" w:color="auto" w:sz="4" w:space="0"/>
              <w:right w:val="single" w:color="auto" w:sz="4" w:space="0"/>
            </w:tcBorders>
            <w:vAlign w:val="center"/>
          </w:tcPr>
          <w:p w14:paraId="6CCCB157">
            <w:pPr>
              <w:pStyle w:val="25"/>
              <w:spacing w:line="440" w:lineRule="exact"/>
              <w:ind w:firstLine="0"/>
              <w:rPr>
                <w:rFonts w:ascii="Times New Roman" w:hAnsi="Times New Roman"/>
              </w:rPr>
            </w:pPr>
            <w:r>
              <w:rPr>
                <w:rFonts w:hint="eastAsia" w:ascii="Times New Roman" w:hAnsi="Times New Roman"/>
              </w:rPr>
              <w:t>大同市</w:t>
            </w:r>
          </w:p>
        </w:tc>
        <w:tc>
          <w:tcPr>
            <w:tcW w:w="2835" w:type="dxa"/>
            <w:tcBorders>
              <w:top w:val="single" w:color="auto" w:sz="4" w:space="0"/>
              <w:left w:val="single" w:color="auto" w:sz="4" w:space="0"/>
              <w:bottom w:val="single" w:color="auto" w:sz="4" w:space="0"/>
              <w:right w:val="single" w:color="auto" w:sz="4" w:space="0"/>
            </w:tcBorders>
            <w:vAlign w:val="center"/>
          </w:tcPr>
          <w:p w14:paraId="2D356C00">
            <w:pPr>
              <w:pStyle w:val="25"/>
              <w:spacing w:line="440" w:lineRule="exact"/>
              <w:ind w:firstLine="0"/>
              <w:rPr>
                <w:rFonts w:ascii="Times New Roman" w:hAnsi="Times New Roman"/>
                <w:szCs w:val="32"/>
              </w:rPr>
            </w:pPr>
            <w:r>
              <w:rPr>
                <w:rFonts w:hint="eastAsia" w:ascii="Times New Roman" w:hAnsi="Times New Roman"/>
                <w:szCs w:val="32"/>
              </w:rPr>
              <w:t>云冈区</w:t>
            </w:r>
          </w:p>
        </w:tc>
        <w:tc>
          <w:tcPr>
            <w:tcW w:w="7432" w:type="dxa"/>
            <w:vAlign w:val="center"/>
          </w:tcPr>
          <w:p w14:paraId="6BBC79FE">
            <w:pPr>
              <w:spacing w:line="440" w:lineRule="exact"/>
              <w:jc w:val="center"/>
              <w:rPr>
                <w:rFonts w:ascii="Times New Roman" w:hAnsi="Times New Roman" w:eastAsia="仿宋_GB2312"/>
                <w:sz w:val="32"/>
                <w:szCs w:val="32"/>
              </w:rPr>
            </w:pPr>
            <w:r>
              <w:rPr>
                <w:rFonts w:hint="eastAsia" w:ascii="Times New Roman" w:hAnsi="Times New Roman" w:eastAsia="仿宋_GB2312"/>
                <w:sz w:val="32"/>
                <w:szCs w:val="32"/>
              </w:rPr>
              <w:t>大同市云冈区同辉兴旺金属制品有限责任公司</w:t>
            </w:r>
          </w:p>
        </w:tc>
      </w:tr>
    </w:tbl>
    <w:p w14:paraId="7E377297">
      <w:pPr>
        <w:pStyle w:val="25"/>
        <w:rPr>
          <w:rFonts w:ascii="Times New Roman" w:hAnsi="Times New Roman"/>
        </w:rPr>
      </w:pPr>
    </w:p>
    <w:p w14:paraId="6DDD37E6">
      <w:pPr>
        <w:pStyle w:val="25"/>
        <w:rPr>
          <w:rFonts w:ascii="Times New Roman" w:hAnsi="Times New Roman"/>
        </w:rPr>
      </w:pPr>
    </w:p>
    <w:p w14:paraId="4D9879B4">
      <w:pPr>
        <w:pStyle w:val="25"/>
        <w:rPr>
          <w:rFonts w:ascii="Times New Roman" w:hAnsi="Times New Roman"/>
        </w:rPr>
        <w:sectPr>
          <w:pgSz w:w="16838" w:h="11906" w:orient="landscape"/>
          <w:pgMar w:top="1701" w:right="1440" w:bottom="1701" w:left="1440" w:header="851" w:footer="850" w:gutter="0"/>
          <w:cols w:space="425" w:num="1"/>
          <w:docGrid w:type="lines" w:linePitch="312" w:charSpace="0"/>
        </w:sectPr>
      </w:pPr>
    </w:p>
    <w:bookmarkEnd w:id="116"/>
    <w:p w14:paraId="0A13F530">
      <w:pPr>
        <w:pStyle w:val="27"/>
        <w:rPr>
          <w:rFonts w:ascii="Times New Roman" w:hAnsi="Times New Roman"/>
        </w:rPr>
      </w:pPr>
      <w:bookmarkStart w:id="127" w:name="_Toc205835961"/>
      <w:r>
        <w:rPr>
          <w:rFonts w:hint="eastAsia" w:ascii="Times New Roman" w:hAnsi="Times New Roman"/>
        </w:rPr>
        <w:t>附图1云冈区区位及行政区划图</w:t>
      </w:r>
      <w:bookmarkEnd w:id="127"/>
    </w:p>
    <w:p w14:paraId="6B23D25F">
      <w:pPr>
        <w:pStyle w:val="25"/>
        <w:spacing w:line="240" w:lineRule="auto"/>
        <w:ind w:firstLine="0"/>
        <w:jc w:val="center"/>
        <w:rPr>
          <w:rFonts w:ascii="Times New Roman" w:hAnsi="Times New Roman"/>
        </w:rPr>
      </w:pPr>
      <w:r>
        <w:rPr>
          <w:rFonts w:ascii="Times New Roman" w:hAnsi="Times New Roman"/>
        </w:rPr>
        <w:drawing>
          <wp:inline distT="0" distB="0" distL="0" distR="0">
            <wp:extent cx="5363845" cy="835152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82321" cy="8380383"/>
                    </a:xfrm>
                    <a:prstGeom prst="rect">
                      <a:avLst/>
                    </a:prstGeom>
                    <a:noFill/>
                  </pic:spPr>
                </pic:pic>
              </a:graphicData>
            </a:graphic>
          </wp:inline>
        </w:drawing>
      </w:r>
    </w:p>
    <w:p w14:paraId="4C55CB4E">
      <w:pPr>
        <w:widowControl/>
        <w:spacing w:before="100" w:beforeAutospacing="1" w:after="100" w:afterAutospacing="1"/>
        <w:jc w:val="left"/>
        <w:rPr>
          <w:rFonts w:ascii="Times New Roman" w:hAnsi="Times New Roman" w:eastAsia="宋体" w:cs="宋体"/>
          <w:kern w:val="0"/>
          <w:sz w:val="24"/>
          <w:szCs w:val="24"/>
        </w:rPr>
      </w:pPr>
      <w:r>
        <w:rPr>
          <w:rFonts w:ascii="Times New Roman" w:hAnsi="Times New Roman" w:eastAsia="宋体" w:cs="宋体"/>
          <w:kern w:val="0"/>
          <w:sz w:val="24"/>
          <w:szCs w:val="24"/>
        </w:rPr>
        <w:drawing>
          <wp:inline distT="0" distB="0" distL="0" distR="0">
            <wp:extent cx="7477760" cy="5417185"/>
            <wp:effectExtent l="1587" t="0" r="0" b="0"/>
            <wp:docPr id="3" name="图片 3" descr="C:\Users\Administrator\Desktop\意见\审查意见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意见\审查意见_页面_3.jpg"/>
                    <pic:cNvPicPr>
                      <a:picLocks noChangeAspect="1" noChangeArrowheads="1"/>
                    </pic:cNvPicPr>
                  </pic:nvPicPr>
                  <pic:blipFill>
                    <a:blip r:embed="rId9" cstate="print">
                      <a:extLst>
                        <a:ext uri="{28A0092B-C50C-407E-A947-70E740481C1C}">
                          <a14:useLocalDpi xmlns:a14="http://schemas.microsoft.com/office/drawing/2010/main" val="0"/>
                        </a:ext>
                      </a:extLst>
                    </a:blip>
                    <a:srcRect r="2409"/>
                    <a:stretch>
                      <a:fillRect/>
                    </a:stretch>
                  </pic:blipFill>
                  <pic:spPr>
                    <a:xfrm rot="16200000">
                      <a:off x="0" y="0"/>
                      <a:ext cx="7482656" cy="5421159"/>
                    </a:xfrm>
                    <a:prstGeom prst="rect">
                      <a:avLst/>
                    </a:prstGeom>
                    <a:noFill/>
                    <a:ln>
                      <a:noFill/>
                    </a:ln>
                  </pic:spPr>
                </pic:pic>
              </a:graphicData>
            </a:graphic>
          </wp:inline>
        </w:drawing>
      </w:r>
    </w:p>
    <w:p w14:paraId="52F999FC">
      <w:pPr>
        <w:pStyle w:val="25"/>
        <w:rPr>
          <w:rFonts w:ascii="Times New Roman" w:hAnsi="Times New Roman"/>
        </w:rPr>
      </w:pPr>
    </w:p>
    <w:sectPr>
      <w:pgSz w:w="11906" w:h="16838"/>
      <w:pgMar w:top="1134" w:right="1701" w:bottom="1134" w:left="1701"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7F" w:usb3="00000000" w:csb0="003F01FF" w:csb1="00000000"/>
  </w:font>
  <w:font w:name="方正小标宋简体">
    <w:altName w:val="黑体"/>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0A0D0">
    <w:pPr>
      <w:pStyle w:val="10"/>
      <w:jc w:val="center"/>
    </w:pPr>
  </w:p>
  <w:p w14:paraId="2683135F">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7017573"/>
    </w:sdtPr>
    <w:sdtContent>
      <w:p w14:paraId="54E081A0">
        <w:pPr>
          <w:pStyle w:val="10"/>
          <w:jc w:val="center"/>
        </w:pPr>
        <w:r>
          <w:fldChar w:fldCharType="begin"/>
        </w:r>
        <w:r>
          <w:instrText xml:space="preserve">PAGE   \* MERGEFORMAT</w:instrText>
        </w:r>
        <w:r>
          <w:fldChar w:fldCharType="separate"/>
        </w:r>
        <w:r>
          <w:rPr>
            <w:lang w:val="zh-CN"/>
          </w:rPr>
          <w:t>14</w:t>
        </w:r>
        <w:r>
          <w:fldChar w:fldCharType="end"/>
        </w:r>
      </w:p>
    </w:sdtContent>
  </w:sdt>
  <w:p w14:paraId="5E4CD3F3">
    <w:pPr>
      <w:pStyle w:val="1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DF"/>
    <w:rsid w:val="00000423"/>
    <w:rsid w:val="000065B4"/>
    <w:rsid w:val="00011403"/>
    <w:rsid w:val="00012110"/>
    <w:rsid w:val="000141D2"/>
    <w:rsid w:val="0001646C"/>
    <w:rsid w:val="00022B83"/>
    <w:rsid w:val="0002637C"/>
    <w:rsid w:val="00026C9A"/>
    <w:rsid w:val="00031EC6"/>
    <w:rsid w:val="00033E18"/>
    <w:rsid w:val="00037076"/>
    <w:rsid w:val="00037BAD"/>
    <w:rsid w:val="000414CD"/>
    <w:rsid w:val="00063CBF"/>
    <w:rsid w:val="00071767"/>
    <w:rsid w:val="00071FD1"/>
    <w:rsid w:val="00073890"/>
    <w:rsid w:val="00075CDC"/>
    <w:rsid w:val="00077A5C"/>
    <w:rsid w:val="00080D15"/>
    <w:rsid w:val="00081AFA"/>
    <w:rsid w:val="0008768A"/>
    <w:rsid w:val="000879B8"/>
    <w:rsid w:val="00090250"/>
    <w:rsid w:val="000906E0"/>
    <w:rsid w:val="0009259E"/>
    <w:rsid w:val="00096018"/>
    <w:rsid w:val="000976DB"/>
    <w:rsid w:val="00097B95"/>
    <w:rsid w:val="000A2767"/>
    <w:rsid w:val="000A286C"/>
    <w:rsid w:val="000A2B72"/>
    <w:rsid w:val="000A5204"/>
    <w:rsid w:val="000C0C22"/>
    <w:rsid w:val="000C1E88"/>
    <w:rsid w:val="000C2BCB"/>
    <w:rsid w:val="000C5816"/>
    <w:rsid w:val="000D0D67"/>
    <w:rsid w:val="000D23E1"/>
    <w:rsid w:val="000D259A"/>
    <w:rsid w:val="000D25C8"/>
    <w:rsid w:val="000D26D2"/>
    <w:rsid w:val="000D3D86"/>
    <w:rsid w:val="000D3F00"/>
    <w:rsid w:val="000D40C9"/>
    <w:rsid w:val="000D6CC2"/>
    <w:rsid w:val="000D78AD"/>
    <w:rsid w:val="000D78B7"/>
    <w:rsid w:val="000E0113"/>
    <w:rsid w:val="000E793A"/>
    <w:rsid w:val="000F2948"/>
    <w:rsid w:val="000F3F85"/>
    <w:rsid w:val="00100AAA"/>
    <w:rsid w:val="00104412"/>
    <w:rsid w:val="00106AA1"/>
    <w:rsid w:val="0010758B"/>
    <w:rsid w:val="001107B6"/>
    <w:rsid w:val="00110B78"/>
    <w:rsid w:val="0011302F"/>
    <w:rsid w:val="001157A3"/>
    <w:rsid w:val="001218C2"/>
    <w:rsid w:val="00122548"/>
    <w:rsid w:val="001258A6"/>
    <w:rsid w:val="00125F4A"/>
    <w:rsid w:val="001268E2"/>
    <w:rsid w:val="00133EF7"/>
    <w:rsid w:val="0014190E"/>
    <w:rsid w:val="00142042"/>
    <w:rsid w:val="001428BA"/>
    <w:rsid w:val="00143C04"/>
    <w:rsid w:val="0014416C"/>
    <w:rsid w:val="00147A21"/>
    <w:rsid w:val="00147FAB"/>
    <w:rsid w:val="00150BC2"/>
    <w:rsid w:val="0015487F"/>
    <w:rsid w:val="00155A1C"/>
    <w:rsid w:val="0016610B"/>
    <w:rsid w:val="00170113"/>
    <w:rsid w:val="001731FE"/>
    <w:rsid w:val="00173D77"/>
    <w:rsid w:val="001756FD"/>
    <w:rsid w:val="001773DB"/>
    <w:rsid w:val="00177AB1"/>
    <w:rsid w:val="0018105E"/>
    <w:rsid w:val="00196D1E"/>
    <w:rsid w:val="001A3190"/>
    <w:rsid w:val="001A455A"/>
    <w:rsid w:val="001A4723"/>
    <w:rsid w:val="001B02B3"/>
    <w:rsid w:val="001B24E3"/>
    <w:rsid w:val="001B2803"/>
    <w:rsid w:val="001B307F"/>
    <w:rsid w:val="001B5558"/>
    <w:rsid w:val="001C0E02"/>
    <w:rsid w:val="001C5EEC"/>
    <w:rsid w:val="001D01C2"/>
    <w:rsid w:val="001D0DEA"/>
    <w:rsid w:val="001D1A40"/>
    <w:rsid w:val="001D31FC"/>
    <w:rsid w:val="001E1C98"/>
    <w:rsid w:val="001E471F"/>
    <w:rsid w:val="001E6E79"/>
    <w:rsid w:val="001F169C"/>
    <w:rsid w:val="001F2CCA"/>
    <w:rsid w:val="001F3E48"/>
    <w:rsid w:val="001F6571"/>
    <w:rsid w:val="002007E4"/>
    <w:rsid w:val="0022010D"/>
    <w:rsid w:val="00221665"/>
    <w:rsid w:val="00222EE5"/>
    <w:rsid w:val="0022403A"/>
    <w:rsid w:val="00226FBB"/>
    <w:rsid w:val="0023160F"/>
    <w:rsid w:val="00232EFA"/>
    <w:rsid w:val="002343CE"/>
    <w:rsid w:val="00237902"/>
    <w:rsid w:val="002402CB"/>
    <w:rsid w:val="002417B7"/>
    <w:rsid w:val="00242976"/>
    <w:rsid w:val="00242CDC"/>
    <w:rsid w:val="0024367B"/>
    <w:rsid w:val="00243C80"/>
    <w:rsid w:val="00245428"/>
    <w:rsid w:val="00245E93"/>
    <w:rsid w:val="00246AB6"/>
    <w:rsid w:val="00246D69"/>
    <w:rsid w:val="00250D2A"/>
    <w:rsid w:val="00251D85"/>
    <w:rsid w:val="002559EF"/>
    <w:rsid w:val="00257064"/>
    <w:rsid w:val="0026209B"/>
    <w:rsid w:val="00262630"/>
    <w:rsid w:val="0026537F"/>
    <w:rsid w:val="00265639"/>
    <w:rsid w:val="00265666"/>
    <w:rsid w:val="00266E83"/>
    <w:rsid w:val="00275E23"/>
    <w:rsid w:val="00281CF2"/>
    <w:rsid w:val="0028326C"/>
    <w:rsid w:val="00290671"/>
    <w:rsid w:val="00295978"/>
    <w:rsid w:val="002A3ABA"/>
    <w:rsid w:val="002A3FD7"/>
    <w:rsid w:val="002A6C5F"/>
    <w:rsid w:val="002B23C2"/>
    <w:rsid w:val="002B2DA9"/>
    <w:rsid w:val="002B34C6"/>
    <w:rsid w:val="002B4B90"/>
    <w:rsid w:val="002C0AF7"/>
    <w:rsid w:val="002C300D"/>
    <w:rsid w:val="002C4D31"/>
    <w:rsid w:val="002C4DA8"/>
    <w:rsid w:val="002C5832"/>
    <w:rsid w:val="002C67A1"/>
    <w:rsid w:val="002D4EC3"/>
    <w:rsid w:val="002D6F9B"/>
    <w:rsid w:val="002D7DA0"/>
    <w:rsid w:val="002E0531"/>
    <w:rsid w:val="002E1901"/>
    <w:rsid w:val="002E43D7"/>
    <w:rsid w:val="002E53EB"/>
    <w:rsid w:val="002F00CE"/>
    <w:rsid w:val="002F081B"/>
    <w:rsid w:val="002F39F4"/>
    <w:rsid w:val="002F7497"/>
    <w:rsid w:val="002F7B64"/>
    <w:rsid w:val="00304BA1"/>
    <w:rsid w:val="00305021"/>
    <w:rsid w:val="003065C6"/>
    <w:rsid w:val="003075BE"/>
    <w:rsid w:val="00310EF2"/>
    <w:rsid w:val="00311D2A"/>
    <w:rsid w:val="00312F15"/>
    <w:rsid w:val="00316217"/>
    <w:rsid w:val="00317D2F"/>
    <w:rsid w:val="00320760"/>
    <w:rsid w:val="003234F9"/>
    <w:rsid w:val="00325DA2"/>
    <w:rsid w:val="003268F3"/>
    <w:rsid w:val="00330866"/>
    <w:rsid w:val="00330F69"/>
    <w:rsid w:val="003341C9"/>
    <w:rsid w:val="00335D59"/>
    <w:rsid w:val="0033708B"/>
    <w:rsid w:val="00346C90"/>
    <w:rsid w:val="003529AA"/>
    <w:rsid w:val="00352E9B"/>
    <w:rsid w:val="003551BF"/>
    <w:rsid w:val="00357290"/>
    <w:rsid w:val="00362F52"/>
    <w:rsid w:val="00363866"/>
    <w:rsid w:val="0036571F"/>
    <w:rsid w:val="00365CED"/>
    <w:rsid w:val="0037408D"/>
    <w:rsid w:val="00377142"/>
    <w:rsid w:val="00377AC6"/>
    <w:rsid w:val="00377AC9"/>
    <w:rsid w:val="00381E48"/>
    <w:rsid w:val="0038235E"/>
    <w:rsid w:val="00385BDF"/>
    <w:rsid w:val="00394798"/>
    <w:rsid w:val="0039762D"/>
    <w:rsid w:val="003A0F74"/>
    <w:rsid w:val="003A5E8D"/>
    <w:rsid w:val="003B0AF0"/>
    <w:rsid w:val="003B2348"/>
    <w:rsid w:val="003B4514"/>
    <w:rsid w:val="003B5101"/>
    <w:rsid w:val="003C111D"/>
    <w:rsid w:val="003C1BD8"/>
    <w:rsid w:val="003C1F05"/>
    <w:rsid w:val="003C27F3"/>
    <w:rsid w:val="003C2840"/>
    <w:rsid w:val="003C3917"/>
    <w:rsid w:val="003C66D8"/>
    <w:rsid w:val="003C6F6B"/>
    <w:rsid w:val="003D47C5"/>
    <w:rsid w:val="003D694F"/>
    <w:rsid w:val="003E43D8"/>
    <w:rsid w:val="003E541A"/>
    <w:rsid w:val="003E567C"/>
    <w:rsid w:val="003E5FA8"/>
    <w:rsid w:val="003F2F88"/>
    <w:rsid w:val="003F5D12"/>
    <w:rsid w:val="004012D0"/>
    <w:rsid w:val="004024B7"/>
    <w:rsid w:val="00404D19"/>
    <w:rsid w:val="00405DF1"/>
    <w:rsid w:val="00411DED"/>
    <w:rsid w:val="00414ABA"/>
    <w:rsid w:val="004154DA"/>
    <w:rsid w:val="004160CE"/>
    <w:rsid w:val="00423996"/>
    <w:rsid w:val="00423E9C"/>
    <w:rsid w:val="00425C73"/>
    <w:rsid w:val="00426590"/>
    <w:rsid w:val="00427F11"/>
    <w:rsid w:val="00430B01"/>
    <w:rsid w:val="00432107"/>
    <w:rsid w:val="004332D1"/>
    <w:rsid w:val="0044173B"/>
    <w:rsid w:val="0044387A"/>
    <w:rsid w:val="00456BB1"/>
    <w:rsid w:val="00456D00"/>
    <w:rsid w:val="00461E9F"/>
    <w:rsid w:val="00462F31"/>
    <w:rsid w:val="00464817"/>
    <w:rsid w:val="0046578A"/>
    <w:rsid w:val="004820F0"/>
    <w:rsid w:val="00482E09"/>
    <w:rsid w:val="004869E0"/>
    <w:rsid w:val="00486A87"/>
    <w:rsid w:val="00487B27"/>
    <w:rsid w:val="00492112"/>
    <w:rsid w:val="00492215"/>
    <w:rsid w:val="00496184"/>
    <w:rsid w:val="004A0831"/>
    <w:rsid w:val="004A0B94"/>
    <w:rsid w:val="004A5354"/>
    <w:rsid w:val="004A69AB"/>
    <w:rsid w:val="004B20D3"/>
    <w:rsid w:val="004C0EEB"/>
    <w:rsid w:val="004C22A2"/>
    <w:rsid w:val="004C428B"/>
    <w:rsid w:val="004C4D13"/>
    <w:rsid w:val="004E024B"/>
    <w:rsid w:val="004E27D9"/>
    <w:rsid w:val="004E7061"/>
    <w:rsid w:val="004E75DE"/>
    <w:rsid w:val="004F3309"/>
    <w:rsid w:val="005048B9"/>
    <w:rsid w:val="00504B65"/>
    <w:rsid w:val="005062DB"/>
    <w:rsid w:val="00512C89"/>
    <w:rsid w:val="00513C7C"/>
    <w:rsid w:val="00515BC5"/>
    <w:rsid w:val="00517DEF"/>
    <w:rsid w:val="00523378"/>
    <w:rsid w:val="00530D9C"/>
    <w:rsid w:val="00530FC9"/>
    <w:rsid w:val="00532121"/>
    <w:rsid w:val="00533862"/>
    <w:rsid w:val="005353BA"/>
    <w:rsid w:val="005409C7"/>
    <w:rsid w:val="00540B6D"/>
    <w:rsid w:val="00541691"/>
    <w:rsid w:val="005474A3"/>
    <w:rsid w:val="00554F2B"/>
    <w:rsid w:val="00556119"/>
    <w:rsid w:val="00557C8C"/>
    <w:rsid w:val="00565087"/>
    <w:rsid w:val="005655F6"/>
    <w:rsid w:val="00567FAC"/>
    <w:rsid w:val="005759EB"/>
    <w:rsid w:val="00583EB5"/>
    <w:rsid w:val="0058423F"/>
    <w:rsid w:val="005860E5"/>
    <w:rsid w:val="0059121E"/>
    <w:rsid w:val="005924A6"/>
    <w:rsid w:val="00595A99"/>
    <w:rsid w:val="00595CF3"/>
    <w:rsid w:val="005A01D7"/>
    <w:rsid w:val="005A1F9E"/>
    <w:rsid w:val="005A2678"/>
    <w:rsid w:val="005A52D7"/>
    <w:rsid w:val="005B056C"/>
    <w:rsid w:val="005B3712"/>
    <w:rsid w:val="005B5149"/>
    <w:rsid w:val="005C16F2"/>
    <w:rsid w:val="005D119E"/>
    <w:rsid w:val="005D127A"/>
    <w:rsid w:val="005D4EBB"/>
    <w:rsid w:val="005E0964"/>
    <w:rsid w:val="005E1726"/>
    <w:rsid w:val="005E2194"/>
    <w:rsid w:val="005E2A82"/>
    <w:rsid w:val="005E5E33"/>
    <w:rsid w:val="005F60E4"/>
    <w:rsid w:val="00606429"/>
    <w:rsid w:val="00607014"/>
    <w:rsid w:val="006118A1"/>
    <w:rsid w:val="00613791"/>
    <w:rsid w:val="00615232"/>
    <w:rsid w:val="00615824"/>
    <w:rsid w:val="006160BD"/>
    <w:rsid w:val="00617EC7"/>
    <w:rsid w:val="006204CD"/>
    <w:rsid w:val="00621360"/>
    <w:rsid w:val="006222A7"/>
    <w:rsid w:val="00623820"/>
    <w:rsid w:val="00625111"/>
    <w:rsid w:val="0064520F"/>
    <w:rsid w:val="0064521A"/>
    <w:rsid w:val="0064678E"/>
    <w:rsid w:val="006517CD"/>
    <w:rsid w:val="00651C65"/>
    <w:rsid w:val="00660F57"/>
    <w:rsid w:val="006638C7"/>
    <w:rsid w:val="00665DDE"/>
    <w:rsid w:val="0066687E"/>
    <w:rsid w:val="00671777"/>
    <w:rsid w:val="00671D44"/>
    <w:rsid w:val="006760BA"/>
    <w:rsid w:val="006761F7"/>
    <w:rsid w:val="00676753"/>
    <w:rsid w:val="0068147E"/>
    <w:rsid w:val="00683AE6"/>
    <w:rsid w:val="00686C06"/>
    <w:rsid w:val="00687EC4"/>
    <w:rsid w:val="00693EA2"/>
    <w:rsid w:val="00694529"/>
    <w:rsid w:val="006958D8"/>
    <w:rsid w:val="006967CE"/>
    <w:rsid w:val="00697842"/>
    <w:rsid w:val="00697881"/>
    <w:rsid w:val="006A1C69"/>
    <w:rsid w:val="006A25F9"/>
    <w:rsid w:val="006A3236"/>
    <w:rsid w:val="006A393B"/>
    <w:rsid w:val="006B04A9"/>
    <w:rsid w:val="006B5593"/>
    <w:rsid w:val="006B6A09"/>
    <w:rsid w:val="006B6F43"/>
    <w:rsid w:val="006B7A31"/>
    <w:rsid w:val="006C4BC2"/>
    <w:rsid w:val="006C6AFB"/>
    <w:rsid w:val="006D1FFE"/>
    <w:rsid w:val="006D6ADC"/>
    <w:rsid w:val="006E175E"/>
    <w:rsid w:val="006E18B0"/>
    <w:rsid w:val="006E2B45"/>
    <w:rsid w:val="006E3E97"/>
    <w:rsid w:val="006E4A26"/>
    <w:rsid w:val="006F128B"/>
    <w:rsid w:val="006F1AAB"/>
    <w:rsid w:val="006F2426"/>
    <w:rsid w:val="007001E3"/>
    <w:rsid w:val="00700F60"/>
    <w:rsid w:val="007019DB"/>
    <w:rsid w:val="00714CA2"/>
    <w:rsid w:val="00715801"/>
    <w:rsid w:val="007208C7"/>
    <w:rsid w:val="00723BAB"/>
    <w:rsid w:val="00725E4C"/>
    <w:rsid w:val="00731315"/>
    <w:rsid w:val="00734410"/>
    <w:rsid w:val="00737BA4"/>
    <w:rsid w:val="007479E3"/>
    <w:rsid w:val="0075319B"/>
    <w:rsid w:val="007655FE"/>
    <w:rsid w:val="00766EC4"/>
    <w:rsid w:val="00772C9F"/>
    <w:rsid w:val="0077378C"/>
    <w:rsid w:val="00776ED8"/>
    <w:rsid w:val="00781141"/>
    <w:rsid w:val="00786C7D"/>
    <w:rsid w:val="00787995"/>
    <w:rsid w:val="007908AC"/>
    <w:rsid w:val="00791482"/>
    <w:rsid w:val="00792688"/>
    <w:rsid w:val="00792E0D"/>
    <w:rsid w:val="00795248"/>
    <w:rsid w:val="00795D7B"/>
    <w:rsid w:val="007A30A2"/>
    <w:rsid w:val="007A528C"/>
    <w:rsid w:val="007A5B35"/>
    <w:rsid w:val="007B169D"/>
    <w:rsid w:val="007B7581"/>
    <w:rsid w:val="007C1B2D"/>
    <w:rsid w:val="007C25D0"/>
    <w:rsid w:val="007C3EB8"/>
    <w:rsid w:val="007C447E"/>
    <w:rsid w:val="007D281B"/>
    <w:rsid w:val="007D5360"/>
    <w:rsid w:val="007D5E14"/>
    <w:rsid w:val="007E155C"/>
    <w:rsid w:val="007E35F8"/>
    <w:rsid w:val="007E7D05"/>
    <w:rsid w:val="007F149B"/>
    <w:rsid w:val="007F5AD4"/>
    <w:rsid w:val="007F5EC4"/>
    <w:rsid w:val="007F65FF"/>
    <w:rsid w:val="007F68C6"/>
    <w:rsid w:val="008065AA"/>
    <w:rsid w:val="00811BB5"/>
    <w:rsid w:val="00812872"/>
    <w:rsid w:val="00815D80"/>
    <w:rsid w:val="00817B5F"/>
    <w:rsid w:val="0082017D"/>
    <w:rsid w:val="00822F7A"/>
    <w:rsid w:val="008242A3"/>
    <w:rsid w:val="00824B1D"/>
    <w:rsid w:val="0082596C"/>
    <w:rsid w:val="00830518"/>
    <w:rsid w:val="00832A60"/>
    <w:rsid w:val="00837479"/>
    <w:rsid w:val="00840634"/>
    <w:rsid w:val="00841851"/>
    <w:rsid w:val="00841B36"/>
    <w:rsid w:val="00845AC6"/>
    <w:rsid w:val="00860680"/>
    <w:rsid w:val="00866843"/>
    <w:rsid w:val="00872F34"/>
    <w:rsid w:val="00875B2B"/>
    <w:rsid w:val="00883F06"/>
    <w:rsid w:val="00884A5B"/>
    <w:rsid w:val="00885455"/>
    <w:rsid w:val="00887616"/>
    <w:rsid w:val="0089357C"/>
    <w:rsid w:val="008959C2"/>
    <w:rsid w:val="00897D33"/>
    <w:rsid w:val="008A39EB"/>
    <w:rsid w:val="008A3BF9"/>
    <w:rsid w:val="008B4D58"/>
    <w:rsid w:val="008B6FBA"/>
    <w:rsid w:val="008C2C9B"/>
    <w:rsid w:val="008C5E0B"/>
    <w:rsid w:val="008D1980"/>
    <w:rsid w:val="008D2315"/>
    <w:rsid w:val="008D542E"/>
    <w:rsid w:val="008D74A2"/>
    <w:rsid w:val="008E4E0E"/>
    <w:rsid w:val="008E5E7B"/>
    <w:rsid w:val="008E6EC0"/>
    <w:rsid w:val="008F175F"/>
    <w:rsid w:val="008F7552"/>
    <w:rsid w:val="009016C9"/>
    <w:rsid w:val="009035E0"/>
    <w:rsid w:val="00903833"/>
    <w:rsid w:val="00904E6B"/>
    <w:rsid w:val="00905D8F"/>
    <w:rsid w:val="00907CAE"/>
    <w:rsid w:val="0091334B"/>
    <w:rsid w:val="009175C3"/>
    <w:rsid w:val="00917B7C"/>
    <w:rsid w:val="00917EF1"/>
    <w:rsid w:val="009201EA"/>
    <w:rsid w:val="00920243"/>
    <w:rsid w:val="00920C4D"/>
    <w:rsid w:val="0092398E"/>
    <w:rsid w:val="009242FB"/>
    <w:rsid w:val="00925C5F"/>
    <w:rsid w:val="0092629B"/>
    <w:rsid w:val="00930B59"/>
    <w:rsid w:val="00930B68"/>
    <w:rsid w:val="009310A5"/>
    <w:rsid w:val="0093124A"/>
    <w:rsid w:val="009315AE"/>
    <w:rsid w:val="00933D9B"/>
    <w:rsid w:val="00934EAE"/>
    <w:rsid w:val="00934F78"/>
    <w:rsid w:val="009366D2"/>
    <w:rsid w:val="009417B4"/>
    <w:rsid w:val="00941FB2"/>
    <w:rsid w:val="009428B9"/>
    <w:rsid w:val="00945C65"/>
    <w:rsid w:val="00946F31"/>
    <w:rsid w:val="00947A92"/>
    <w:rsid w:val="0095008F"/>
    <w:rsid w:val="00954148"/>
    <w:rsid w:val="00954A08"/>
    <w:rsid w:val="009568C1"/>
    <w:rsid w:val="00957D46"/>
    <w:rsid w:val="00963043"/>
    <w:rsid w:val="00963F0F"/>
    <w:rsid w:val="00963FF4"/>
    <w:rsid w:val="00966E2B"/>
    <w:rsid w:val="00970214"/>
    <w:rsid w:val="00975057"/>
    <w:rsid w:val="009769BD"/>
    <w:rsid w:val="0098021C"/>
    <w:rsid w:val="009812F5"/>
    <w:rsid w:val="00984E54"/>
    <w:rsid w:val="00993F10"/>
    <w:rsid w:val="00994E2B"/>
    <w:rsid w:val="00997940"/>
    <w:rsid w:val="009A0124"/>
    <w:rsid w:val="009B2E26"/>
    <w:rsid w:val="009B32B9"/>
    <w:rsid w:val="009B3B5B"/>
    <w:rsid w:val="009B3BF3"/>
    <w:rsid w:val="009B4E4A"/>
    <w:rsid w:val="009C61D9"/>
    <w:rsid w:val="009C7D0D"/>
    <w:rsid w:val="009D169A"/>
    <w:rsid w:val="009D26B3"/>
    <w:rsid w:val="009D414A"/>
    <w:rsid w:val="009E30EA"/>
    <w:rsid w:val="009E69B3"/>
    <w:rsid w:val="009E7C59"/>
    <w:rsid w:val="009F1082"/>
    <w:rsid w:val="009F1B9F"/>
    <w:rsid w:val="009F3FA8"/>
    <w:rsid w:val="009F6B21"/>
    <w:rsid w:val="009F6E99"/>
    <w:rsid w:val="00A00B85"/>
    <w:rsid w:val="00A043F9"/>
    <w:rsid w:val="00A07512"/>
    <w:rsid w:val="00A10D3F"/>
    <w:rsid w:val="00A144B1"/>
    <w:rsid w:val="00A2050C"/>
    <w:rsid w:val="00A20BC6"/>
    <w:rsid w:val="00A22210"/>
    <w:rsid w:val="00A23321"/>
    <w:rsid w:val="00A23D5A"/>
    <w:rsid w:val="00A30626"/>
    <w:rsid w:val="00A34C7C"/>
    <w:rsid w:val="00A35580"/>
    <w:rsid w:val="00A36517"/>
    <w:rsid w:val="00A41630"/>
    <w:rsid w:val="00A44A86"/>
    <w:rsid w:val="00A45190"/>
    <w:rsid w:val="00A5082C"/>
    <w:rsid w:val="00A52C0E"/>
    <w:rsid w:val="00A56756"/>
    <w:rsid w:val="00A56B85"/>
    <w:rsid w:val="00A62528"/>
    <w:rsid w:val="00A633C8"/>
    <w:rsid w:val="00A65FB5"/>
    <w:rsid w:val="00A67B31"/>
    <w:rsid w:val="00A705D0"/>
    <w:rsid w:val="00A7191C"/>
    <w:rsid w:val="00A72845"/>
    <w:rsid w:val="00A7437C"/>
    <w:rsid w:val="00A77887"/>
    <w:rsid w:val="00A77932"/>
    <w:rsid w:val="00A800C3"/>
    <w:rsid w:val="00A82D00"/>
    <w:rsid w:val="00A85160"/>
    <w:rsid w:val="00A85C50"/>
    <w:rsid w:val="00A87BA1"/>
    <w:rsid w:val="00A91F39"/>
    <w:rsid w:val="00A93CB3"/>
    <w:rsid w:val="00AA091C"/>
    <w:rsid w:val="00AA10FB"/>
    <w:rsid w:val="00AA5145"/>
    <w:rsid w:val="00AA6388"/>
    <w:rsid w:val="00AA788D"/>
    <w:rsid w:val="00AB4832"/>
    <w:rsid w:val="00AB5AA7"/>
    <w:rsid w:val="00AB695D"/>
    <w:rsid w:val="00AC12ED"/>
    <w:rsid w:val="00AC1B1D"/>
    <w:rsid w:val="00AC350C"/>
    <w:rsid w:val="00AC3EE1"/>
    <w:rsid w:val="00AC4BB9"/>
    <w:rsid w:val="00AC501D"/>
    <w:rsid w:val="00AC5245"/>
    <w:rsid w:val="00AC5C06"/>
    <w:rsid w:val="00AC62A4"/>
    <w:rsid w:val="00AD1AFE"/>
    <w:rsid w:val="00AD3E98"/>
    <w:rsid w:val="00AD4D87"/>
    <w:rsid w:val="00AD5C2C"/>
    <w:rsid w:val="00AE47C1"/>
    <w:rsid w:val="00AF0700"/>
    <w:rsid w:val="00AF6C4B"/>
    <w:rsid w:val="00B01765"/>
    <w:rsid w:val="00B02339"/>
    <w:rsid w:val="00B0314C"/>
    <w:rsid w:val="00B139EA"/>
    <w:rsid w:val="00B161B9"/>
    <w:rsid w:val="00B17095"/>
    <w:rsid w:val="00B20AB9"/>
    <w:rsid w:val="00B21E9F"/>
    <w:rsid w:val="00B228DF"/>
    <w:rsid w:val="00B23BB3"/>
    <w:rsid w:val="00B261FA"/>
    <w:rsid w:val="00B2775E"/>
    <w:rsid w:val="00B30E9F"/>
    <w:rsid w:val="00B32420"/>
    <w:rsid w:val="00B32475"/>
    <w:rsid w:val="00B32D7B"/>
    <w:rsid w:val="00B33815"/>
    <w:rsid w:val="00B35581"/>
    <w:rsid w:val="00B36545"/>
    <w:rsid w:val="00B373E2"/>
    <w:rsid w:val="00B41B70"/>
    <w:rsid w:val="00B426F2"/>
    <w:rsid w:val="00B4614C"/>
    <w:rsid w:val="00B520B4"/>
    <w:rsid w:val="00B549C1"/>
    <w:rsid w:val="00B56FE2"/>
    <w:rsid w:val="00B60384"/>
    <w:rsid w:val="00B614D2"/>
    <w:rsid w:val="00B62210"/>
    <w:rsid w:val="00B70D39"/>
    <w:rsid w:val="00B73D41"/>
    <w:rsid w:val="00B75DA9"/>
    <w:rsid w:val="00B82159"/>
    <w:rsid w:val="00B823A1"/>
    <w:rsid w:val="00B82D58"/>
    <w:rsid w:val="00B86A16"/>
    <w:rsid w:val="00B873B1"/>
    <w:rsid w:val="00B92383"/>
    <w:rsid w:val="00B929CD"/>
    <w:rsid w:val="00B938F3"/>
    <w:rsid w:val="00B96270"/>
    <w:rsid w:val="00B9797C"/>
    <w:rsid w:val="00BA04D3"/>
    <w:rsid w:val="00BB43D6"/>
    <w:rsid w:val="00BC1499"/>
    <w:rsid w:val="00BC3A49"/>
    <w:rsid w:val="00BC6084"/>
    <w:rsid w:val="00BC7D7C"/>
    <w:rsid w:val="00BD2D5B"/>
    <w:rsid w:val="00BD4204"/>
    <w:rsid w:val="00BD5A48"/>
    <w:rsid w:val="00BE0145"/>
    <w:rsid w:val="00BE143C"/>
    <w:rsid w:val="00BE214D"/>
    <w:rsid w:val="00BE25DE"/>
    <w:rsid w:val="00BE39E4"/>
    <w:rsid w:val="00BE3EF3"/>
    <w:rsid w:val="00BE4347"/>
    <w:rsid w:val="00BE46D8"/>
    <w:rsid w:val="00BE5303"/>
    <w:rsid w:val="00BF024F"/>
    <w:rsid w:val="00BF54D9"/>
    <w:rsid w:val="00BF6348"/>
    <w:rsid w:val="00C02577"/>
    <w:rsid w:val="00C02C54"/>
    <w:rsid w:val="00C0329F"/>
    <w:rsid w:val="00C03671"/>
    <w:rsid w:val="00C03ADC"/>
    <w:rsid w:val="00C055B4"/>
    <w:rsid w:val="00C06750"/>
    <w:rsid w:val="00C10C34"/>
    <w:rsid w:val="00C10FF7"/>
    <w:rsid w:val="00C123A6"/>
    <w:rsid w:val="00C2162F"/>
    <w:rsid w:val="00C228FA"/>
    <w:rsid w:val="00C310F6"/>
    <w:rsid w:val="00C33E68"/>
    <w:rsid w:val="00C34E07"/>
    <w:rsid w:val="00C4274A"/>
    <w:rsid w:val="00C450F1"/>
    <w:rsid w:val="00C50798"/>
    <w:rsid w:val="00C51312"/>
    <w:rsid w:val="00C520FB"/>
    <w:rsid w:val="00C52BBE"/>
    <w:rsid w:val="00C55853"/>
    <w:rsid w:val="00C57819"/>
    <w:rsid w:val="00C57E8D"/>
    <w:rsid w:val="00C60F81"/>
    <w:rsid w:val="00C630DF"/>
    <w:rsid w:val="00C71A95"/>
    <w:rsid w:val="00C76CC7"/>
    <w:rsid w:val="00C8194E"/>
    <w:rsid w:val="00C84FDD"/>
    <w:rsid w:val="00C91C2F"/>
    <w:rsid w:val="00C931BD"/>
    <w:rsid w:val="00C9583C"/>
    <w:rsid w:val="00C95F4C"/>
    <w:rsid w:val="00CA22DE"/>
    <w:rsid w:val="00CB0823"/>
    <w:rsid w:val="00CB3D77"/>
    <w:rsid w:val="00CB4A0A"/>
    <w:rsid w:val="00CB52AF"/>
    <w:rsid w:val="00CB5506"/>
    <w:rsid w:val="00CC05EC"/>
    <w:rsid w:val="00CC1F38"/>
    <w:rsid w:val="00CC539B"/>
    <w:rsid w:val="00CC62D2"/>
    <w:rsid w:val="00CC6D0E"/>
    <w:rsid w:val="00CD2D28"/>
    <w:rsid w:val="00CD46C9"/>
    <w:rsid w:val="00CD5AF2"/>
    <w:rsid w:val="00CD5E31"/>
    <w:rsid w:val="00CD6A17"/>
    <w:rsid w:val="00CD77B4"/>
    <w:rsid w:val="00CE110F"/>
    <w:rsid w:val="00CE287F"/>
    <w:rsid w:val="00CE483A"/>
    <w:rsid w:val="00CE4A61"/>
    <w:rsid w:val="00CF15AC"/>
    <w:rsid w:val="00CF3D2F"/>
    <w:rsid w:val="00CF4504"/>
    <w:rsid w:val="00CF5EB6"/>
    <w:rsid w:val="00CF7E83"/>
    <w:rsid w:val="00D0304F"/>
    <w:rsid w:val="00D03B47"/>
    <w:rsid w:val="00D0410F"/>
    <w:rsid w:val="00D07920"/>
    <w:rsid w:val="00D14E86"/>
    <w:rsid w:val="00D15452"/>
    <w:rsid w:val="00D1592D"/>
    <w:rsid w:val="00D174DF"/>
    <w:rsid w:val="00D20917"/>
    <w:rsid w:val="00D20928"/>
    <w:rsid w:val="00D23093"/>
    <w:rsid w:val="00D25E64"/>
    <w:rsid w:val="00D26C3A"/>
    <w:rsid w:val="00D31A3A"/>
    <w:rsid w:val="00D33BAA"/>
    <w:rsid w:val="00D419EE"/>
    <w:rsid w:val="00D4376C"/>
    <w:rsid w:val="00D45979"/>
    <w:rsid w:val="00D45D0A"/>
    <w:rsid w:val="00D520C6"/>
    <w:rsid w:val="00D54805"/>
    <w:rsid w:val="00D54E42"/>
    <w:rsid w:val="00D60FBC"/>
    <w:rsid w:val="00D61542"/>
    <w:rsid w:val="00D63FE2"/>
    <w:rsid w:val="00D641D0"/>
    <w:rsid w:val="00D70D00"/>
    <w:rsid w:val="00D74657"/>
    <w:rsid w:val="00D80663"/>
    <w:rsid w:val="00D81380"/>
    <w:rsid w:val="00D83B98"/>
    <w:rsid w:val="00D92196"/>
    <w:rsid w:val="00D95527"/>
    <w:rsid w:val="00D96016"/>
    <w:rsid w:val="00DA0402"/>
    <w:rsid w:val="00DA4CDF"/>
    <w:rsid w:val="00DA4FF4"/>
    <w:rsid w:val="00DA6923"/>
    <w:rsid w:val="00DB3B22"/>
    <w:rsid w:val="00DB4362"/>
    <w:rsid w:val="00DB662B"/>
    <w:rsid w:val="00DB7737"/>
    <w:rsid w:val="00DC22D0"/>
    <w:rsid w:val="00DD14DF"/>
    <w:rsid w:val="00DD2A28"/>
    <w:rsid w:val="00DD3E99"/>
    <w:rsid w:val="00DE09BD"/>
    <w:rsid w:val="00DE216D"/>
    <w:rsid w:val="00DE2B1B"/>
    <w:rsid w:val="00DE4A79"/>
    <w:rsid w:val="00DE52C6"/>
    <w:rsid w:val="00DF3C5E"/>
    <w:rsid w:val="00DF592A"/>
    <w:rsid w:val="00DF6645"/>
    <w:rsid w:val="00E012F2"/>
    <w:rsid w:val="00E022D3"/>
    <w:rsid w:val="00E02A8A"/>
    <w:rsid w:val="00E038E2"/>
    <w:rsid w:val="00E03ACC"/>
    <w:rsid w:val="00E111C5"/>
    <w:rsid w:val="00E125BF"/>
    <w:rsid w:val="00E126FA"/>
    <w:rsid w:val="00E170CA"/>
    <w:rsid w:val="00E20311"/>
    <w:rsid w:val="00E23B85"/>
    <w:rsid w:val="00E26558"/>
    <w:rsid w:val="00E31B46"/>
    <w:rsid w:val="00E31D92"/>
    <w:rsid w:val="00E324CF"/>
    <w:rsid w:val="00E456A5"/>
    <w:rsid w:val="00E5274F"/>
    <w:rsid w:val="00E544F4"/>
    <w:rsid w:val="00E55328"/>
    <w:rsid w:val="00E56A32"/>
    <w:rsid w:val="00E56A75"/>
    <w:rsid w:val="00E63654"/>
    <w:rsid w:val="00E702DA"/>
    <w:rsid w:val="00E72838"/>
    <w:rsid w:val="00E73196"/>
    <w:rsid w:val="00E733D0"/>
    <w:rsid w:val="00E84823"/>
    <w:rsid w:val="00E85C1E"/>
    <w:rsid w:val="00E85C6D"/>
    <w:rsid w:val="00E962D5"/>
    <w:rsid w:val="00E97448"/>
    <w:rsid w:val="00EA0CAA"/>
    <w:rsid w:val="00EA1152"/>
    <w:rsid w:val="00EA4440"/>
    <w:rsid w:val="00EA5EE8"/>
    <w:rsid w:val="00EA67F5"/>
    <w:rsid w:val="00EB3D6D"/>
    <w:rsid w:val="00EB41BB"/>
    <w:rsid w:val="00EB743C"/>
    <w:rsid w:val="00EC15CE"/>
    <w:rsid w:val="00EC1B91"/>
    <w:rsid w:val="00EC5416"/>
    <w:rsid w:val="00EC6B46"/>
    <w:rsid w:val="00EC7A6E"/>
    <w:rsid w:val="00ED3428"/>
    <w:rsid w:val="00ED55BE"/>
    <w:rsid w:val="00ED7CEE"/>
    <w:rsid w:val="00EE14BC"/>
    <w:rsid w:val="00EF276C"/>
    <w:rsid w:val="00EF4F89"/>
    <w:rsid w:val="00EF6F19"/>
    <w:rsid w:val="00F0152D"/>
    <w:rsid w:val="00F02F30"/>
    <w:rsid w:val="00F04C72"/>
    <w:rsid w:val="00F068B8"/>
    <w:rsid w:val="00F13A85"/>
    <w:rsid w:val="00F15169"/>
    <w:rsid w:val="00F15BB7"/>
    <w:rsid w:val="00F17208"/>
    <w:rsid w:val="00F214D2"/>
    <w:rsid w:val="00F22B0E"/>
    <w:rsid w:val="00F25112"/>
    <w:rsid w:val="00F2718C"/>
    <w:rsid w:val="00F3164B"/>
    <w:rsid w:val="00F377AA"/>
    <w:rsid w:val="00F47F67"/>
    <w:rsid w:val="00F5191E"/>
    <w:rsid w:val="00F53451"/>
    <w:rsid w:val="00F53F7D"/>
    <w:rsid w:val="00F562F1"/>
    <w:rsid w:val="00F5672E"/>
    <w:rsid w:val="00F56AF8"/>
    <w:rsid w:val="00F642A5"/>
    <w:rsid w:val="00F6573F"/>
    <w:rsid w:val="00F6640D"/>
    <w:rsid w:val="00F72283"/>
    <w:rsid w:val="00F72AE5"/>
    <w:rsid w:val="00F74B96"/>
    <w:rsid w:val="00F76B98"/>
    <w:rsid w:val="00F80A97"/>
    <w:rsid w:val="00F81917"/>
    <w:rsid w:val="00F841D7"/>
    <w:rsid w:val="00F861ED"/>
    <w:rsid w:val="00F91A27"/>
    <w:rsid w:val="00F91C7C"/>
    <w:rsid w:val="00F91ECE"/>
    <w:rsid w:val="00F9376A"/>
    <w:rsid w:val="00F94AE1"/>
    <w:rsid w:val="00F9590C"/>
    <w:rsid w:val="00F968A7"/>
    <w:rsid w:val="00F96C8D"/>
    <w:rsid w:val="00FA11B1"/>
    <w:rsid w:val="00FA6FA7"/>
    <w:rsid w:val="00FB0573"/>
    <w:rsid w:val="00FB5D33"/>
    <w:rsid w:val="00FC25BF"/>
    <w:rsid w:val="00FD0A48"/>
    <w:rsid w:val="00FD10DF"/>
    <w:rsid w:val="00FD1CDC"/>
    <w:rsid w:val="00FD2838"/>
    <w:rsid w:val="00FD2B60"/>
    <w:rsid w:val="00FD6547"/>
    <w:rsid w:val="00FE0C28"/>
    <w:rsid w:val="00FE16F5"/>
    <w:rsid w:val="00FE2DF0"/>
    <w:rsid w:val="00FE40E4"/>
    <w:rsid w:val="00FE4280"/>
    <w:rsid w:val="00FE5D08"/>
    <w:rsid w:val="00FE6933"/>
    <w:rsid w:val="00FF40E0"/>
    <w:rsid w:val="00FF5509"/>
    <w:rsid w:val="00FF6EC3"/>
    <w:rsid w:val="00FF7684"/>
    <w:rsid w:val="32C739DA"/>
    <w:rsid w:val="477261B2"/>
    <w:rsid w:val="4F0B1E25"/>
    <w:rsid w:val="512B34CD"/>
    <w:rsid w:val="55A415BB"/>
    <w:rsid w:val="5E644AD5"/>
    <w:rsid w:val="5EC17F8C"/>
    <w:rsid w:val="60A761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29"/>
    <w:semiHidden/>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33"/>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Normal Indent"/>
    <w:basedOn w:val="1"/>
    <w:qFormat/>
    <w:uiPriority w:val="0"/>
    <w:pPr>
      <w:spacing w:line="360" w:lineRule="auto"/>
      <w:ind w:firstLine="420" w:firstLineChars="200"/>
    </w:pPr>
    <w:rPr>
      <w:rFonts w:eastAsia="仿宋_GB2312"/>
    </w:rPr>
  </w:style>
  <w:style w:type="paragraph" w:styleId="6">
    <w:name w:val="annotation text"/>
    <w:basedOn w:val="1"/>
    <w:link w:val="39"/>
    <w:semiHidden/>
    <w:unhideWhenUsed/>
    <w:uiPriority w:val="99"/>
    <w:pPr>
      <w:jc w:val="left"/>
    </w:pPr>
  </w:style>
  <w:style w:type="paragraph" w:styleId="7">
    <w:name w:val="Body Text"/>
    <w:basedOn w:val="1"/>
    <w:link w:val="36"/>
    <w:qFormat/>
    <w:uiPriority w:val="1"/>
    <w:pPr>
      <w:autoSpaceDE w:val="0"/>
      <w:autoSpaceDN w:val="0"/>
      <w:adjustRightInd w:val="0"/>
      <w:spacing w:line="580" w:lineRule="exact"/>
      <w:ind w:left="40"/>
      <w:jc w:val="left"/>
    </w:pPr>
    <w:rPr>
      <w:rFonts w:ascii="Arial Unicode MS" w:hAnsi="Times New Roman" w:eastAsia="Arial Unicode MS" w:cs="Arial Unicode MS"/>
      <w:kern w:val="0"/>
      <w:sz w:val="40"/>
      <w:szCs w:val="40"/>
    </w:rPr>
  </w:style>
  <w:style w:type="paragraph" w:styleId="8">
    <w:name w:val="toc 3"/>
    <w:basedOn w:val="1"/>
    <w:next w:val="1"/>
    <w:autoRedefine/>
    <w:unhideWhenUsed/>
    <w:qFormat/>
    <w:uiPriority w:val="39"/>
    <w:pPr>
      <w:ind w:left="840" w:leftChars="400"/>
    </w:pPr>
  </w:style>
  <w:style w:type="paragraph" w:styleId="9">
    <w:name w:val="Balloon Text"/>
    <w:basedOn w:val="1"/>
    <w:link w:val="38"/>
    <w:semiHidden/>
    <w:unhideWhenUsed/>
    <w:qFormat/>
    <w:uiPriority w:val="99"/>
    <w:rPr>
      <w:sz w:val="18"/>
      <w:szCs w:val="18"/>
    </w:rPr>
  </w:style>
  <w:style w:type="paragraph" w:styleId="10">
    <w:name w:val="footer"/>
    <w:basedOn w:val="1"/>
    <w:link w:val="35"/>
    <w:unhideWhenUsed/>
    <w:qFormat/>
    <w:uiPriority w:val="99"/>
    <w:pPr>
      <w:tabs>
        <w:tab w:val="center" w:pos="4153"/>
        <w:tab w:val="right" w:pos="8306"/>
      </w:tabs>
      <w:snapToGrid w:val="0"/>
      <w:jc w:val="left"/>
    </w:pPr>
    <w:rPr>
      <w:sz w:val="18"/>
      <w:szCs w:val="18"/>
    </w:rPr>
  </w:style>
  <w:style w:type="paragraph" w:styleId="11">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tabs>
        <w:tab w:val="right" w:leader="dot" w:pos="8494"/>
      </w:tabs>
      <w:ind w:left="420" w:leftChars="200"/>
    </w:pPr>
    <w:rPr>
      <w:rFonts w:ascii="仿宋" w:hAnsi="仿宋" w:eastAsia="仿宋"/>
      <w:sz w:val="32"/>
      <w:szCs w:val="32"/>
    </w:r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annotation subject"/>
    <w:basedOn w:val="6"/>
    <w:next w:val="6"/>
    <w:link w:val="40"/>
    <w:semiHidden/>
    <w:unhideWhenUsed/>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styleId="20">
    <w:name w:val="annotation reference"/>
    <w:basedOn w:val="18"/>
    <w:semiHidden/>
    <w:unhideWhenUsed/>
    <w:uiPriority w:val="99"/>
    <w:rPr>
      <w:sz w:val="21"/>
      <w:szCs w:val="21"/>
    </w:rPr>
  </w:style>
  <w:style w:type="paragraph" w:customStyle="1" w:styleId="21">
    <w:name w:val="1级标题"/>
    <w:basedOn w:val="2"/>
    <w:link w:val="23"/>
    <w:qFormat/>
    <w:uiPriority w:val="0"/>
    <w:pPr>
      <w:spacing w:before="50" w:beforeLines="50" w:after="50" w:afterLines="50" w:line="680" w:lineRule="exact"/>
      <w:jc w:val="center"/>
    </w:pPr>
    <w:rPr>
      <w:rFonts w:ascii="仿宋_GB2312" w:hAnsi="仿宋_GB2312" w:eastAsia="方正小标宋简体"/>
      <w:b w:val="0"/>
      <w:color w:val="000000" w:themeColor="text1"/>
      <w14:textFill>
        <w14:solidFill>
          <w14:schemeClr w14:val="tx1"/>
        </w14:solidFill>
      </w14:textFill>
    </w:rPr>
  </w:style>
  <w:style w:type="paragraph" w:customStyle="1" w:styleId="22">
    <w:name w:val="2级标题"/>
    <w:basedOn w:val="21"/>
    <w:link w:val="26"/>
    <w:qFormat/>
    <w:uiPriority w:val="0"/>
    <w:pPr>
      <w:spacing w:before="0" w:beforeLines="0" w:after="0" w:afterLines="0"/>
      <w:jc w:val="left"/>
      <w:outlineLvl w:val="1"/>
    </w:pPr>
    <w:rPr>
      <w:rFonts w:ascii="Times New Roman" w:hAnsi="Times New Roman" w:eastAsia="黑体"/>
      <w:color w:val="auto"/>
      <w:sz w:val="32"/>
    </w:rPr>
  </w:style>
  <w:style w:type="character" w:customStyle="1" w:styleId="23">
    <w:name w:val="1级标题 字符"/>
    <w:basedOn w:val="18"/>
    <w:link w:val="21"/>
    <w:qFormat/>
    <w:uiPriority w:val="0"/>
    <w:rPr>
      <w:rFonts w:ascii="仿宋_GB2312" w:hAnsi="仿宋_GB2312" w:eastAsia="方正小标宋简体"/>
      <w:bCs/>
      <w:color w:val="000000" w:themeColor="text1"/>
      <w:kern w:val="44"/>
      <w:sz w:val="44"/>
      <w:szCs w:val="44"/>
      <w14:textFill>
        <w14:solidFill>
          <w14:schemeClr w14:val="tx1"/>
        </w14:solidFill>
      </w14:textFill>
    </w:rPr>
  </w:style>
  <w:style w:type="character" w:customStyle="1" w:styleId="24">
    <w:name w:val="标题 1 字符"/>
    <w:basedOn w:val="18"/>
    <w:link w:val="2"/>
    <w:qFormat/>
    <w:uiPriority w:val="9"/>
    <w:rPr>
      <w:b/>
      <w:bCs/>
      <w:kern w:val="44"/>
      <w:sz w:val="44"/>
      <w:szCs w:val="44"/>
    </w:rPr>
  </w:style>
  <w:style w:type="paragraph" w:customStyle="1" w:styleId="25">
    <w:name w:val="正文格式"/>
    <w:basedOn w:val="1"/>
    <w:link w:val="28"/>
    <w:qFormat/>
    <w:uiPriority w:val="0"/>
    <w:pPr>
      <w:spacing w:line="560" w:lineRule="exact"/>
      <w:ind w:firstLine="567"/>
    </w:pPr>
    <w:rPr>
      <w:rFonts w:ascii="仿宋_GB2312" w:hAnsi="仿宋_GB2312" w:eastAsia="仿宋_GB2312"/>
      <w:sz w:val="32"/>
    </w:rPr>
  </w:style>
  <w:style w:type="character" w:customStyle="1" w:styleId="26">
    <w:name w:val="2级标题 字符"/>
    <w:basedOn w:val="23"/>
    <w:link w:val="22"/>
    <w:qFormat/>
    <w:uiPriority w:val="0"/>
    <w:rPr>
      <w:rFonts w:ascii="Times New Roman" w:hAnsi="Times New Roman" w:eastAsia="黑体"/>
      <w:color w:val="000000" w:themeColor="text1"/>
      <w:kern w:val="44"/>
      <w:sz w:val="32"/>
      <w:szCs w:val="44"/>
      <w14:textFill>
        <w14:solidFill>
          <w14:schemeClr w14:val="tx1"/>
        </w14:solidFill>
      </w14:textFill>
    </w:rPr>
  </w:style>
  <w:style w:type="paragraph" w:customStyle="1" w:styleId="27">
    <w:name w:val="3级标题"/>
    <w:basedOn w:val="3"/>
    <w:link w:val="30"/>
    <w:qFormat/>
    <w:uiPriority w:val="0"/>
    <w:pPr>
      <w:spacing w:before="0" w:after="0" w:line="680" w:lineRule="exact"/>
      <w:jc w:val="left"/>
    </w:pPr>
    <w:rPr>
      <w:rFonts w:ascii="仿宋" w:hAnsi="仿宋" w:eastAsia="楷体"/>
    </w:rPr>
  </w:style>
  <w:style w:type="character" w:customStyle="1" w:styleId="28">
    <w:name w:val="正文格式 字符"/>
    <w:basedOn w:val="18"/>
    <w:link w:val="25"/>
    <w:qFormat/>
    <w:uiPriority w:val="0"/>
    <w:rPr>
      <w:rFonts w:ascii="仿宋_GB2312" w:hAnsi="仿宋_GB2312" w:eastAsia="仿宋_GB2312"/>
      <w:kern w:val="2"/>
      <w:sz w:val="32"/>
      <w:szCs w:val="22"/>
    </w:rPr>
  </w:style>
  <w:style w:type="character" w:customStyle="1" w:styleId="29">
    <w:name w:val="标题 3 字符"/>
    <w:basedOn w:val="18"/>
    <w:link w:val="3"/>
    <w:semiHidden/>
    <w:qFormat/>
    <w:uiPriority w:val="9"/>
    <w:rPr>
      <w:b/>
      <w:bCs/>
      <w:sz w:val="32"/>
      <w:szCs w:val="32"/>
    </w:rPr>
  </w:style>
  <w:style w:type="character" w:customStyle="1" w:styleId="30">
    <w:name w:val="3级标题 字符"/>
    <w:basedOn w:val="29"/>
    <w:link w:val="27"/>
    <w:qFormat/>
    <w:uiPriority w:val="0"/>
    <w:rPr>
      <w:rFonts w:ascii="仿宋" w:hAnsi="仿宋" w:eastAsia="楷体"/>
      <w:kern w:val="2"/>
      <w:sz w:val="32"/>
      <w:szCs w:val="32"/>
    </w:rPr>
  </w:style>
  <w:style w:type="paragraph" w:customStyle="1" w:styleId="31">
    <w:name w:val="4级标题"/>
    <w:basedOn w:val="4"/>
    <w:link w:val="32"/>
    <w:qFormat/>
    <w:uiPriority w:val="0"/>
    <w:pPr>
      <w:spacing w:before="0" w:after="0" w:line="680" w:lineRule="exact"/>
      <w:jc w:val="left"/>
    </w:pPr>
    <w:rPr>
      <w:rFonts w:ascii="仿宋" w:hAnsi="仿宋" w:eastAsia="仿宋"/>
      <w:color w:val="0000FF"/>
      <w:sz w:val="32"/>
    </w:rPr>
  </w:style>
  <w:style w:type="character" w:customStyle="1" w:styleId="32">
    <w:name w:val="4级标题 字符"/>
    <w:basedOn w:val="30"/>
    <w:link w:val="31"/>
    <w:qFormat/>
    <w:uiPriority w:val="0"/>
    <w:rPr>
      <w:rFonts w:ascii="仿宋" w:hAnsi="仿宋" w:eastAsia="仿宋" w:cstheme="majorBidi"/>
      <w:color w:val="0000FF"/>
      <w:kern w:val="2"/>
      <w:sz w:val="32"/>
      <w:szCs w:val="28"/>
    </w:rPr>
  </w:style>
  <w:style w:type="character" w:customStyle="1" w:styleId="33">
    <w:name w:val="标题 4 字符"/>
    <w:basedOn w:val="18"/>
    <w:link w:val="4"/>
    <w:semiHidden/>
    <w:qFormat/>
    <w:uiPriority w:val="9"/>
    <w:rPr>
      <w:rFonts w:asciiTheme="majorHAnsi" w:hAnsiTheme="majorHAnsi" w:eastAsiaTheme="majorEastAsia" w:cstheme="majorBidi"/>
      <w:b/>
      <w:bCs/>
      <w:sz w:val="28"/>
      <w:szCs w:val="28"/>
    </w:rPr>
  </w:style>
  <w:style w:type="character" w:customStyle="1" w:styleId="34">
    <w:name w:val="页眉 字符"/>
    <w:basedOn w:val="18"/>
    <w:link w:val="11"/>
    <w:qFormat/>
    <w:uiPriority w:val="99"/>
    <w:rPr>
      <w:sz w:val="18"/>
      <w:szCs w:val="18"/>
    </w:rPr>
  </w:style>
  <w:style w:type="character" w:customStyle="1" w:styleId="35">
    <w:name w:val="页脚 字符"/>
    <w:basedOn w:val="18"/>
    <w:link w:val="10"/>
    <w:qFormat/>
    <w:uiPriority w:val="99"/>
    <w:rPr>
      <w:sz w:val="18"/>
      <w:szCs w:val="18"/>
    </w:rPr>
  </w:style>
  <w:style w:type="character" w:customStyle="1" w:styleId="36">
    <w:name w:val="正文文本 字符"/>
    <w:basedOn w:val="18"/>
    <w:link w:val="7"/>
    <w:qFormat/>
    <w:uiPriority w:val="1"/>
    <w:rPr>
      <w:rFonts w:ascii="Arial Unicode MS" w:hAnsi="Times New Roman" w:eastAsia="Arial Unicode MS" w:cs="Arial Unicode MS"/>
      <w:kern w:val="0"/>
      <w:sz w:val="40"/>
      <w:szCs w:val="40"/>
    </w:rPr>
  </w:style>
  <w:style w:type="table" w:customStyle="1" w:styleId="37">
    <w:name w:val="网格型1"/>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8">
    <w:name w:val="批注框文本 字符"/>
    <w:basedOn w:val="18"/>
    <w:link w:val="9"/>
    <w:semiHidden/>
    <w:qFormat/>
    <w:uiPriority w:val="99"/>
    <w:rPr>
      <w:sz w:val="18"/>
      <w:szCs w:val="18"/>
    </w:rPr>
  </w:style>
  <w:style w:type="character" w:customStyle="1" w:styleId="39">
    <w:name w:val="批注文字 字符"/>
    <w:basedOn w:val="18"/>
    <w:link w:val="6"/>
    <w:semiHidden/>
    <w:uiPriority w:val="99"/>
    <w:rPr>
      <w:kern w:val="2"/>
      <w:sz w:val="21"/>
      <w:szCs w:val="22"/>
    </w:rPr>
  </w:style>
  <w:style w:type="character" w:customStyle="1" w:styleId="40">
    <w:name w:val="批注主题 字符"/>
    <w:basedOn w:val="39"/>
    <w:link w:val="15"/>
    <w:semiHidden/>
    <w:uiPriority w:val="99"/>
    <w:rPr>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6EDA9-0A4A-473A-9918-49F7A251DD6D}">
  <ds:schemaRefs/>
</ds:datastoreItem>
</file>

<file path=docProps/app.xml><?xml version="1.0" encoding="utf-8"?>
<Properties xmlns="http://schemas.openxmlformats.org/officeDocument/2006/extended-properties" xmlns:vt="http://schemas.openxmlformats.org/officeDocument/2006/docPropsVTypes">
  <Template>Normal.dotm</Template>
  <Pages>51</Pages>
  <Words>11049</Words>
  <Characters>11726</Characters>
  <Lines>166</Lines>
  <Paragraphs>46</Paragraphs>
  <TotalTime>92</TotalTime>
  <ScaleCrop>false</ScaleCrop>
  <LinksUpToDate>false</LinksUpToDate>
  <CharactersWithSpaces>11800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2024-11-21T03:56:00Z</dcterms:created>
  <dc:creator>Administrator</dc:creator>
  <cp:lastModifiedBy>宏伟</cp:lastModifiedBy>
  <cp:lastPrinted>2025-09-19T06:40:00Z</cp:lastPrinted>
  <dcterms:modified xsi:type="dcterms:W3CDTF">2025-12-22T02:46:21Z</dcterms:modified>
  <cp:revision>1766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eyJoZGlkIjoiNWMzNjA4YmMwMzQwMjYxYTc3MGU4Mjg3OTJjZmZkNTMiLCJ1c2VySWQiOiIxMTQxOTU3NDIzIn0=</vt:lpwstr>
  </property>
  <property fmtid="{D5CDD505-2E9C-101B-9397-08002B2CF9AE}" pid="3" name="KSOProductBuildVer">
    <vt:lpwstr>2052-12.1.0.24034</vt:lpwstr>
  </property>
  <property fmtid="{D5CDD505-2E9C-101B-9397-08002B2CF9AE}" pid="4" name="ICV">
    <vt:lpwstr>02700851E0BF4E3DBFB29780B27A4F61_12</vt:lpwstr>
  </property>
</Properties>
</file>