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07947B">
      <w:pPr>
        <w:pStyle w:val="21"/>
        <w:spacing w:line="600" w:lineRule="auto"/>
        <w:ind w:firstLine="0"/>
        <w:jc w:val="center"/>
        <w:rPr>
          <w:rFonts w:ascii="Times New Roman" w:hAnsi="Times New Roman"/>
          <w:color w:val="auto"/>
          <w:sz w:val="48"/>
          <w:szCs w:val="48"/>
        </w:rPr>
      </w:pPr>
    </w:p>
    <w:p w14:paraId="6F206905">
      <w:pPr>
        <w:pStyle w:val="21"/>
        <w:spacing w:line="600" w:lineRule="auto"/>
        <w:ind w:firstLine="0"/>
        <w:jc w:val="center"/>
        <w:rPr>
          <w:rFonts w:ascii="Times New Roman" w:hAnsi="Times New Roman"/>
          <w:color w:val="auto"/>
          <w:sz w:val="48"/>
          <w:szCs w:val="48"/>
        </w:rPr>
      </w:pPr>
    </w:p>
    <w:p w14:paraId="6C34BADF">
      <w:pPr>
        <w:pStyle w:val="21"/>
        <w:snapToGrid w:val="0"/>
        <w:spacing w:line="300" w:lineRule="auto"/>
        <w:ind w:firstLine="0"/>
        <w:jc w:val="center"/>
        <w:rPr>
          <w:rFonts w:ascii="Times New Roman" w:hAnsi="Times New Roman" w:eastAsia="宋体"/>
          <w:b/>
          <w:color w:val="auto"/>
          <w:sz w:val="48"/>
          <w:szCs w:val="48"/>
        </w:rPr>
      </w:pPr>
      <w:r>
        <w:rPr>
          <w:rFonts w:hint="eastAsia" w:ascii="Times New Roman" w:hAnsi="Times New Roman" w:eastAsia="宋体"/>
          <w:b/>
          <w:color w:val="auto"/>
          <w:sz w:val="48"/>
          <w:szCs w:val="48"/>
        </w:rPr>
        <w:t>大同市云冈区集中式地表水水源地</w:t>
      </w:r>
    </w:p>
    <w:p w14:paraId="2BF10BD1">
      <w:pPr>
        <w:pStyle w:val="21"/>
        <w:snapToGrid w:val="0"/>
        <w:spacing w:line="300" w:lineRule="auto"/>
        <w:ind w:firstLine="0"/>
        <w:jc w:val="center"/>
        <w:rPr>
          <w:rFonts w:ascii="Times New Roman" w:hAnsi="Times New Roman"/>
          <w:b/>
          <w:color w:val="auto"/>
          <w:sz w:val="48"/>
          <w:szCs w:val="48"/>
        </w:rPr>
      </w:pPr>
      <w:r>
        <w:rPr>
          <w:rFonts w:hint="eastAsia" w:ascii="Times New Roman" w:hAnsi="Times New Roman" w:eastAsia="宋体"/>
          <w:b/>
          <w:color w:val="auto"/>
          <w:sz w:val="48"/>
          <w:szCs w:val="48"/>
        </w:rPr>
        <w:t>突发环境事件应急预案</w:t>
      </w:r>
    </w:p>
    <w:p w14:paraId="5164D9C3">
      <w:pPr>
        <w:pStyle w:val="21"/>
        <w:rPr>
          <w:rFonts w:ascii="Times New Roman" w:hAnsi="Times New Roman"/>
          <w:color w:val="auto"/>
        </w:rPr>
      </w:pPr>
    </w:p>
    <w:p w14:paraId="5D68F6A6">
      <w:pPr>
        <w:pStyle w:val="21"/>
        <w:rPr>
          <w:rFonts w:ascii="Times New Roman" w:hAnsi="Times New Roman"/>
          <w:color w:val="auto"/>
        </w:rPr>
      </w:pPr>
    </w:p>
    <w:p w14:paraId="7A4BE278">
      <w:pPr>
        <w:pStyle w:val="21"/>
        <w:rPr>
          <w:rFonts w:ascii="Times New Roman" w:hAnsi="Times New Roman"/>
          <w:color w:val="auto"/>
        </w:rPr>
      </w:pPr>
    </w:p>
    <w:p w14:paraId="4E2DD637">
      <w:pPr>
        <w:pStyle w:val="21"/>
        <w:rPr>
          <w:rFonts w:ascii="Times New Roman" w:hAnsi="Times New Roman"/>
          <w:color w:val="auto"/>
        </w:rPr>
      </w:pPr>
    </w:p>
    <w:p w14:paraId="52B54B82">
      <w:pPr>
        <w:pStyle w:val="21"/>
        <w:rPr>
          <w:rFonts w:ascii="Times New Roman" w:hAnsi="Times New Roman"/>
          <w:color w:val="auto"/>
        </w:rPr>
      </w:pPr>
    </w:p>
    <w:p w14:paraId="6EDB38DC">
      <w:pPr>
        <w:pStyle w:val="21"/>
        <w:rPr>
          <w:rFonts w:ascii="Times New Roman" w:hAnsi="Times New Roman"/>
          <w:color w:val="auto"/>
        </w:rPr>
      </w:pPr>
    </w:p>
    <w:p w14:paraId="3DB68622">
      <w:pPr>
        <w:pStyle w:val="21"/>
        <w:rPr>
          <w:rFonts w:ascii="Times New Roman" w:hAnsi="Times New Roman"/>
          <w:color w:val="auto"/>
        </w:rPr>
      </w:pPr>
    </w:p>
    <w:p w14:paraId="41110062">
      <w:pPr>
        <w:pStyle w:val="21"/>
        <w:rPr>
          <w:rFonts w:ascii="Times New Roman" w:hAnsi="Times New Roman"/>
          <w:color w:val="auto"/>
        </w:rPr>
      </w:pPr>
    </w:p>
    <w:p w14:paraId="29B6F75F">
      <w:pPr>
        <w:pStyle w:val="21"/>
        <w:rPr>
          <w:rFonts w:ascii="Times New Roman" w:hAnsi="Times New Roman"/>
          <w:color w:val="auto"/>
        </w:rPr>
      </w:pPr>
    </w:p>
    <w:p w14:paraId="5A3EAC9D">
      <w:pPr>
        <w:pStyle w:val="21"/>
        <w:rPr>
          <w:rFonts w:ascii="Times New Roman" w:hAnsi="Times New Roman"/>
          <w:color w:val="auto"/>
        </w:rPr>
      </w:pPr>
    </w:p>
    <w:p w14:paraId="3AE35F73">
      <w:pPr>
        <w:pStyle w:val="21"/>
        <w:rPr>
          <w:rFonts w:ascii="Times New Roman" w:hAnsi="Times New Roman"/>
          <w:color w:val="auto"/>
        </w:rPr>
      </w:pPr>
    </w:p>
    <w:p w14:paraId="4B3B1EF2">
      <w:pPr>
        <w:pStyle w:val="21"/>
        <w:rPr>
          <w:rFonts w:ascii="Times New Roman" w:hAnsi="Times New Roman"/>
          <w:color w:val="auto"/>
        </w:rPr>
      </w:pPr>
    </w:p>
    <w:p w14:paraId="0BE90446">
      <w:pPr>
        <w:pStyle w:val="21"/>
        <w:rPr>
          <w:rFonts w:ascii="Times New Roman" w:hAnsi="Times New Roman"/>
          <w:color w:val="auto"/>
        </w:rPr>
      </w:pPr>
    </w:p>
    <w:p w14:paraId="5EFB1616">
      <w:pPr>
        <w:snapToGrid w:val="0"/>
        <w:spacing w:line="560" w:lineRule="exact"/>
        <w:jc w:val="center"/>
        <w:rPr>
          <w:rFonts w:ascii="Times New Roman" w:hAnsi="Times New Roman" w:eastAsia="宋体"/>
          <w:b/>
          <w:sz w:val="32"/>
          <w:szCs w:val="32"/>
        </w:rPr>
      </w:pPr>
      <w:bookmarkStart w:id="0" w:name="OLE_LINK16"/>
      <w:r>
        <w:rPr>
          <w:rFonts w:hint="eastAsia" w:ascii="Times New Roman" w:hAnsi="Times New Roman" w:eastAsia="宋体"/>
          <w:b/>
          <w:sz w:val="32"/>
          <w:szCs w:val="32"/>
        </w:rPr>
        <w:t>委托单位：大同市生态环境局云冈分局</w:t>
      </w:r>
    </w:p>
    <w:p w14:paraId="7DF50D2C">
      <w:pPr>
        <w:snapToGrid w:val="0"/>
        <w:spacing w:line="560" w:lineRule="exact"/>
        <w:jc w:val="center"/>
        <w:rPr>
          <w:rFonts w:ascii="Times New Roman" w:hAnsi="Times New Roman" w:eastAsia="宋体"/>
          <w:b/>
          <w:sz w:val="32"/>
          <w:szCs w:val="32"/>
        </w:rPr>
      </w:pPr>
      <w:r>
        <w:rPr>
          <w:rFonts w:hint="eastAsia" w:ascii="Times New Roman" w:hAnsi="Times New Roman" w:eastAsia="宋体"/>
          <w:b/>
          <w:sz w:val="32"/>
          <w:szCs w:val="32"/>
        </w:rPr>
        <w:t>编制单位：山西同创策略环境发展有限公司</w:t>
      </w:r>
    </w:p>
    <w:p w14:paraId="0D4F39FA">
      <w:pPr>
        <w:snapToGrid w:val="0"/>
        <w:spacing w:line="560" w:lineRule="exact"/>
        <w:jc w:val="center"/>
        <w:rPr>
          <w:rFonts w:ascii="Times New Roman" w:hAnsi="Times New Roman" w:eastAsia="宋体"/>
          <w:b/>
          <w:sz w:val="32"/>
          <w:szCs w:val="32"/>
        </w:rPr>
      </w:pPr>
      <w:r>
        <w:rPr>
          <w:rFonts w:hint="eastAsia" w:ascii="Times New Roman" w:hAnsi="Times New Roman" w:eastAsia="宋体"/>
          <w:b/>
          <w:sz w:val="32"/>
          <w:szCs w:val="32"/>
        </w:rPr>
        <w:t>二零二五年十一月</w:t>
      </w:r>
      <w:bookmarkEnd w:id="0"/>
    </w:p>
    <w:p w14:paraId="5366B815">
      <w:pPr>
        <w:pStyle w:val="21"/>
        <w:rPr>
          <w:rFonts w:ascii="Times New Roman" w:hAnsi="Times New Roman"/>
          <w:color w:val="auto"/>
        </w:rPr>
      </w:pPr>
    </w:p>
    <w:p w14:paraId="6CC260C1">
      <w:pPr>
        <w:pStyle w:val="21"/>
        <w:rPr>
          <w:rFonts w:ascii="Times New Roman" w:hAnsi="Times New Roman"/>
          <w:color w:val="auto"/>
        </w:rPr>
        <w:sectPr>
          <w:footerReference r:id="rId3" w:type="default"/>
          <w:pgSz w:w="11906" w:h="16838"/>
          <w:pgMar w:top="1440" w:right="1800" w:bottom="1440" w:left="1800" w:header="851" w:footer="992" w:gutter="0"/>
          <w:cols w:space="425" w:num="1"/>
          <w:docGrid w:type="lines" w:linePitch="312" w:charSpace="0"/>
        </w:sectPr>
      </w:pPr>
    </w:p>
    <w:p w14:paraId="5F8944E3">
      <w:pPr>
        <w:pStyle w:val="21"/>
        <w:ind w:firstLine="0"/>
        <w:jc w:val="center"/>
        <w:rPr>
          <w:rFonts w:ascii="Times New Roman" w:hAnsi="Times New Roman" w:eastAsia="方正小标宋简体"/>
          <w:color w:val="auto"/>
          <w:sz w:val="44"/>
          <w:szCs w:val="44"/>
        </w:rPr>
      </w:pPr>
      <w:r>
        <w:rPr>
          <w:rFonts w:hint="eastAsia" w:ascii="Times New Roman" w:hAnsi="Times New Roman" w:eastAsia="方正小标宋简体"/>
          <w:color w:val="auto"/>
          <w:sz w:val="44"/>
          <w:szCs w:val="44"/>
        </w:rPr>
        <w:t>目录</w:t>
      </w:r>
    </w:p>
    <w:p w14:paraId="5F4C8956">
      <w:pPr>
        <w:pStyle w:val="10"/>
        <w:tabs>
          <w:tab w:val="right" w:leader="dot" w:pos="8494"/>
        </w:tabs>
        <w:rPr>
          <w:rFonts w:ascii="仿宋_GB2312" w:eastAsia="仿宋_GB2312"/>
          <w:sz w:val="32"/>
          <w:szCs w:val="32"/>
        </w:rPr>
      </w:pPr>
      <w:r>
        <w:rPr>
          <w:rFonts w:hint="eastAsia" w:ascii="仿宋_GB2312" w:hAnsi="Times New Roman" w:eastAsia="仿宋_GB2312"/>
          <w:sz w:val="32"/>
          <w:szCs w:val="32"/>
        </w:rPr>
        <w:fldChar w:fldCharType="begin"/>
      </w:r>
      <w:r>
        <w:rPr>
          <w:rFonts w:hint="eastAsia" w:ascii="仿宋_GB2312" w:hAnsi="Times New Roman" w:eastAsia="仿宋_GB2312"/>
          <w:sz w:val="32"/>
          <w:szCs w:val="32"/>
        </w:rPr>
        <w:instrText xml:space="preserve"> TOC \o "1-3" \h \z \u </w:instrText>
      </w:r>
      <w:r>
        <w:rPr>
          <w:rFonts w:hint="eastAsia" w:ascii="仿宋_GB2312" w:hAnsi="Times New Roman" w:eastAsia="仿宋_GB2312"/>
          <w:sz w:val="32"/>
          <w:szCs w:val="32"/>
        </w:rPr>
        <w:fldChar w:fldCharType="separate"/>
      </w:r>
      <w:r>
        <w:fldChar w:fldCharType="begin"/>
      </w:r>
      <w:r>
        <w:instrText xml:space="preserve"> HYPERLINK \l "_Toc213690682" </w:instrText>
      </w:r>
      <w:r>
        <w:fldChar w:fldCharType="separate"/>
      </w:r>
      <w:r>
        <w:rPr>
          <w:rStyle w:val="16"/>
          <w:rFonts w:hint="eastAsia" w:ascii="仿宋_GB2312" w:hAnsi="Times New Roman" w:eastAsia="仿宋_GB2312"/>
          <w:color w:val="auto"/>
          <w:sz w:val="32"/>
          <w:szCs w:val="32"/>
        </w:rPr>
        <w:t>前言</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_Toc213690682 \h </w:instrText>
      </w:r>
      <w:r>
        <w:rPr>
          <w:rFonts w:hint="eastAsia" w:ascii="仿宋_GB2312" w:eastAsia="仿宋_GB2312"/>
          <w:sz w:val="32"/>
          <w:szCs w:val="32"/>
        </w:rPr>
        <w:fldChar w:fldCharType="separate"/>
      </w:r>
      <w:r>
        <w:rPr>
          <w:rFonts w:hint="eastAsia" w:ascii="仿宋_GB2312" w:eastAsia="仿宋_GB2312"/>
          <w:sz w:val="32"/>
          <w:szCs w:val="32"/>
        </w:rPr>
        <w:t>1</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7CA8230">
      <w:pPr>
        <w:pStyle w:val="10"/>
        <w:tabs>
          <w:tab w:val="right" w:leader="dot" w:pos="8494"/>
        </w:tabs>
        <w:rPr>
          <w:rFonts w:ascii="仿宋_GB2312" w:eastAsia="仿宋_GB2312"/>
          <w:sz w:val="32"/>
          <w:szCs w:val="32"/>
        </w:rPr>
      </w:pPr>
      <w:r>
        <w:fldChar w:fldCharType="begin"/>
      </w:r>
      <w:r>
        <w:instrText xml:space="preserve"> HYPERLINK \l "_Toc213690683" </w:instrText>
      </w:r>
      <w:r>
        <w:fldChar w:fldCharType="separate"/>
      </w:r>
      <w:r>
        <w:rPr>
          <w:rStyle w:val="16"/>
          <w:rFonts w:hint="eastAsia" w:ascii="仿宋_GB2312" w:hAnsi="Times New Roman" w:eastAsia="仿宋_GB2312"/>
          <w:color w:val="auto"/>
          <w:sz w:val="32"/>
          <w:szCs w:val="32"/>
        </w:rPr>
        <w:t>1总则</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_Toc213690683 \h </w:instrText>
      </w:r>
      <w:r>
        <w:rPr>
          <w:rFonts w:hint="eastAsia" w:ascii="仿宋_GB2312" w:eastAsia="仿宋_GB2312"/>
          <w:sz w:val="32"/>
          <w:szCs w:val="32"/>
        </w:rPr>
        <w:fldChar w:fldCharType="separate"/>
      </w:r>
      <w:r>
        <w:rPr>
          <w:rFonts w:hint="eastAsia" w:ascii="仿宋_GB2312" w:eastAsia="仿宋_GB2312"/>
          <w:sz w:val="32"/>
          <w:szCs w:val="32"/>
        </w:rPr>
        <w:t>1</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314A5705">
      <w:pPr>
        <w:pStyle w:val="11"/>
        <w:tabs>
          <w:tab w:val="right" w:leader="dot" w:pos="8494"/>
        </w:tabs>
        <w:rPr>
          <w:rFonts w:ascii="仿宋_GB2312" w:eastAsia="仿宋_GB2312"/>
          <w:sz w:val="32"/>
          <w:szCs w:val="32"/>
        </w:rPr>
      </w:pPr>
      <w:r>
        <w:fldChar w:fldCharType="begin"/>
      </w:r>
      <w:r>
        <w:instrText xml:space="preserve"> HYPERLINK \l "_Toc213690684" </w:instrText>
      </w:r>
      <w:r>
        <w:fldChar w:fldCharType="separate"/>
      </w:r>
      <w:r>
        <w:rPr>
          <w:rStyle w:val="16"/>
          <w:rFonts w:hint="eastAsia" w:ascii="仿宋_GB2312" w:hAnsi="Times New Roman" w:eastAsia="仿宋_GB2312"/>
          <w:color w:val="auto"/>
          <w:sz w:val="32"/>
          <w:szCs w:val="32"/>
        </w:rPr>
        <w:t>1.1编制目的</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_Toc213690684 \h </w:instrText>
      </w:r>
      <w:r>
        <w:rPr>
          <w:rFonts w:hint="eastAsia" w:ascii="仿宋_GB2312" w:eastAsia="仿宋_GB2312"/>
          <w:sz w:val="32"/>
          <w:szCs w:val="32"/>
        </w:rPr>
        <w:fldChar w:fldCharType="separate"/>
      </w:r>
      <w:r>
        <w:rPr>
          <w:rFonts w:hint="eastAsia" w:ascii="仿宋_GB2312" w:eastAsia="仿宋_GB2312"/>
          <w:sz w:val="32"/>
          <w:szCs w:val="32"/>
        </w:rPr>
        <w:t>1</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49B0414A">
      <w:pPr>
        <w:pStyle w:val="11"/>
        <w:tabs>
          <w:tab w:val="right" w:leader="dot" w:pos="8494"/>
        </w:tabs>
        <w:rPr>
          <w:rFonts w:ascii="仿宋_GB2312" w:eastAsia="仿宋_GB2312"/>
          <w:sz w:val="32"/>
          <w:szCs w:val="32"/>
        </w:rPr>
      </w:pPr>
      <w:r>
        <w:fldChar w:fldCharType="begin"/>
      </w:r>
      <w:r>
        <w:instrText xml:space="preserve"> HYPERLINK \l "_Toc213690685" </w:instrText>
      </w:r>
      <w:r>
        <w:fldChar w:fldCharType="separate"/>
      </w:r>
      <w:r>
        <w:rPr>
          <w:rStyle w:val="16"/>
          <w:rFonts w:hint="eastAsia" w:ascii="仿宋_GB2312" w:hAnsi="Times New Roman" w:eastAsia="仿宋_GB2312"/>
          <w:color w:val="auto"/>
          <w:sz w:val="32"/>
          <w:szCs w:val="32"/>
        </w:rPr>
        <w:t>1.2编制依据</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_Toc213690685 \h </w:instrText>
      </w:r>
      <w:r>
        <w:rPr>
          <w:rFonts w:hint="eastAsia" w:ascii="仿宋_GB2312" w:eastAsia="仿宋_GB2312"/>
          <w:sz w:val="32"/>
          <w:szCs w:val="32"/>
        </w:rPr>
        <w:fldChar w:fldCharType="separate"/>
      </w:r>
      <w:r>
        <w:rPr>
          <w:rFonts w:hint="eastAsia" w:ascii="仿宋_GB2312" w:eastAsia="仿宋_GB2312"/>
          <w:sz w:val="32"/>
          <w:szCs w:val="32"/>
        </w:rPr>
        <w:t>1</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123FFBEB">
      <w:pPr>
        <w:pStyle w:val="6"/>
        <w:tabs>
          <w:tab w:val="right" w:leader="dot" w:pos="8494"/>
        </w:tabs>
        <w:rPr>
          <w:rFonts w:ascii="仿宋_GB2312" w:eastAsia="仿宋_GB2312"/>
          <w:sz w:val="32"/>
          <w:szCs w:val="32"/>
        </w:rPr>
      </w:pPr>
      <w:r>
        <w:fldChar w:fldCharType="begin"/>
      </w:r>
      <w:r>
        <w:instrText xml:space="preserve"> HYPERLINK \l "_Toc213690686" </w:instrText>
      </w:r>
      <w:r>
        <w:fldChar w:fldCharType="separate"/>
      </w:r>
      <w:r>
        <w:rPr>
          <w:rStyle w:val="16"/>
          <w:rFonts w:hint="eastAsia" w:ascii="仿宋_GB2312" w:hAnsi="Times New Roman" w:eastAsia="仿宋_GB2312"/>
          <w:color w:val="auto"/>
          <w:sz w:val="32"/>
          <w:szCs w:val="32"/>
        </w:rPr>
        <w:t>1.2.1法律法规、规章</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_Toc213690686 \h </w:instrText>
      </w:r>
      <w:r>
        <w:rPr>
          <w:rFonts w:hint="eastAsia" w:ascii="仿宋_GB2312" w:eastAsia="仿宋_GB2312"/>
          <w:sz w:val="32"/>
          <w:szCs w:val="32"/>
        </w:rPr>
        <w:fldChar w:fldCharType="separate"/>
      </w:r>
      <w:r>
        <w:rPr>
          <w:rFonts w:hint="eastAsia" w:ascii="仿宋_GB2312" w:eastAsia="仿宋_GB2312"/>
          <w:sz w:val="32"/>
          <w:szCs w:val="32"/>
        </w:rPr>
        <w:t>1</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36F7717E">
      <w:pPr>
        <w:pStyle w:val="6"/>
        <w:tabs>
          <w:tab w:val="right" w:leader="dot" w:pos="8494"/>
        </w:tabs>
        <w:rPr>
          <w:rFonts w:ascii="仿宋_GB2312" w:eastAsia="仿宋_GB2312"/>
          <w:sz w:val="32"/>
          <w:szCs w:val="32"/>
        </w:rPr>
      </w:pPr>
      <w:r>
        <w:fldChar w:fldCharType="begin"/>
      </w:r>
      <w:r>
        <w:instrText xml:space="preserve"> HYPERLINK \l "_Toc213690687" </w:instrText>
      </w:r>
      <w:r>
        <w:fldChar w:fldCharType="separate"/>
      </w:r>
      <w:r>
        <w:rPr>
          <w:rStyle w:val="16"/>
          <w:rFonts w:hint="eastAsia" w:ascii="仿宋_GB2312" w:hAnsi="Times New Roman" w:eastAsia="仿宋_GB2312"/>
          <w:color w:val="auto"/>
          <w:sz w:val="32"/>
          <w:szCs w:val="32"/>
        </w:rPr>
        <w:t>1.2.2有关预案、标准规范和规范性文件</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_Toc213690687 \h </w:instrText>
      </w:r>
      <w:r>
        <w:rPr>
          <w:rFonts w:hint="eastAsia" w:ascii="仿宋_GB2312" w:eastAsia="仿宋_GB2312"/>
          <w:sz w:val="32"/>
          <w:szCs w:val="32"/>
        </w:rPr>
        <w:fldChar w:fldCharType="separate"/>
      </w:r>
      <w:r>
        <w:rPr>
          <w:rFonts w:hint="eastAsia" w:ascii="仿宋_GB2312" w:eastAsia="仿宋_GB2312"/>
          <w:sz w:val="32"/>
          <w:szCs w:val="32"/>
        </w:rPr>
        <w:t>2</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043AE8DE">
      <w:pPr>
        <w:pStyle w:val="11"/>
        <w:tabs>
          <w:tab w:val="right" w:leader="dot" w:pos="8494"/>
        </w:tabs>
        <w:rPr>
          <w:rFonts w:ascii="仿宋_GB2312" w:eastAsia="仿宋_GB2312"/>
          <w:sz w:val="32"/>
          <w:szCs w:val="32"/>
        </w:rPr>
      </w:pPr>
      <w:r>
        <w:fldChar w:fldCharType="begin"/>
      </w:r>
      <w:r>
        <w:instrText xml:space="preserve"> HYPERLINK \l "_Toc213690688" </w:instrText>
      </w:r>
      <w:r>
        <w:fldChar w:fldCharType="separate"/>
      </w:r>
      <w:r>
        <w:rPr>
          <w:rStyle w:val="16"/>
          <w:rFonts w:hint="eastAsia" w:ascii="仿宋_GB2312" w:hAnsi="Times New Roman" w:eastAsia="仿宋_GB2312"/>
          <w:color w:val="auto"/>
          <w:sz w:val="32"/>
          <w:szCs w:val="32"/>
        </w:rPr>
        <w:t>1.3 适用范围</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_Toc213690688 \h </w:instrText>
      </w:r>
      <w:r>
        <w:rPr>
          <w:rFonts w:hint="eastAsia" w:ascii="仿宋_GB2312" w:eastAsia="仿宋_GB2312"/>
          <w:sz w:val="32"/>
          <w:szCs w:val="32"/>
        </w:rPr>
        <w:fldChar w:fldCharType="separate"/>
      </w:r>
      <w:r>
        <w:rPr>
          <w:rFonts w:hint="eastAsia" w:ascii="仿宋_GB2312" w:eastAsia="仿宋_GB2312"/>
          <w:sz w:val="32"/>
          <w:szCs w:val="32"/>
        </w:rPr>
        <w:t>3</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2FF77B37">
      <w:pPr>
        <w:pStyle w:val="11"/>
        <w:tabs>
          <w:tab w:val="right" w:leader="dot" w:pos="8494"/>
        </w:tabs>
        <w:rPr>
          <w:rFonts w:ascii="仿宋_GB2312" w:eastAsia="仿宋_GB2312"/>
          <w:sz w:val="32"/>
          <w:szCs w:val="32"/>
        </w:rPr>
      </w:pPr>
      <w:r>
        <w:fldChar w:fldCharType="begin"/>
      </w:r>
      <w:r>
        <w:instrText xml:space="preserve"> HYPERLINK \l "_Toc213690689" </w:instrText>
      </w:r>
      <w:r>
        <w:fldChar w:fldCharType="separate"/>
      </w:r>
      <w:r>
        <w:rPr>
          <w:rStyle w:val="16"/>
          <w:rFonts w:hint="eastAsia" w:ascii="仿宋_GB2312" w:hAnsi="Times New Roman" w:eastAsia="仿宋_GB2312"/>
          <w:color w:val="auto"/>
          <w:sz w:val="32"/>
          <w:szCs w:val="32"/>
        </w:rPr>
        <w:t>1.4预案衔接</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_Toc213690689 \h </w:instrText>
      </w:r>
      <w:r>
        <w:rPr>
          <w:rFonts w:hint="eastAsia" w:ascii="仿宋_GB2312" w:eastAsia="仿宋_GB2312"/>
          <w:sz w:val="32"/>
          <w:szCs w:val="32"/>
        </w:rPr>
        <w:fldChar w:fldCharType="separate"/>
      </w:r>
      <w:r>
        <w:rPr>
          <w:rFonts w:hint="eastAsia" w:ascii="仿宋_GB2312" w:eastAsia="仿宋_GB2312"/>
          <w:sz w:val="32"/>
          <w:szCs w:val="32"/>
        </w:rPr>
        <w:t>4</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CCD9538">
      <w:pPr>
        <w:pStyle w:val="11"/>
        <w:tabs>
          <w:tab w:val="right" w:leader="dot" w:pos="8494"/>
        </w:tabs>
        <w:rPr>
          <w:rFonts w:ascii="仿宋_GB2312" w:eastAsia="仿宋_GB2312"/>
          <w:sz w:val="32"/>
          <w:szCs w:val="32"/>
        </w:rPr>
      </w:pPr>
      <w:r>
        <w:fldChar w:fldCharType="begin"/>
      </w:r>
      <w:r>
        <w:instrText xml:space="preserve"> HYPERLINK \l "_Toc213690690" </w:instrText>
      </w:r>
      <w:r>
        <w:fldChar w:fldCharType="separate"/>
      </w:r>
      <w:r>
        <w:rPr>
          <w:rStyle w:val="16"/>
          <w:rFonts w:hint="eastAsia" w:ascii="仿宋_GB2312" w:hAnsi="Times New Roman" w:eastAsia="仿宋_GB2312"/>
          <w:color w:val="auto"/>
          <w:sz w:val="32"/>
          <w:szCs w:val="32"/>
        </w:rPr>
        <w:t>1.5工作原则</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_Toc213690690 \h </w:instrText>
      </w:r>
      <w:r>
        <w:rPr>
          <w:rFonts w:hint="eastAsia" w:ascii="仿宋_GB2312" w:eastAsia="仿宋_GB2312"/>
          <w:sz w:val="32"/>
          <w:szCs w:val="32"/>
        </w:rPr>
        <w:fldChar w:fldCharType="separate"/>
      </w:r>
      <w:r>
        <w:rPr>
          <w:rFonts w:hint="eastAsia" w:ascii="仿宋_GB2312" w:eastAsia="仿宋_GB2312"/>
          <w:sz w:val="32"/>
          <w:szCs w:val="32"/>
        </w:rPr>
        <w:t>5</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3FB9758A">
      <w:pPr>
        <w:pStyle w:val="10"/>
        <w:tabs>
          <w:tab w:val="right" w:leader="dot" w:pos="8494"/>
        </w:tabs>
        <w:rPr>
          <w:rFonts w:ascii="仿宋_GB2312" w:eastAsia="仿宋_GB2312"/>
          <w:sz w:val="32"/>
          <w:szCs w:val="32"/>
        </w:rPr>
      </w:pPr>
      <w:r>
        <w:fldChar w:fldCharType="begin"/>
      </w:r>
      <w:r>
        <w:instrText xml:space="preserve"> HYPERLINK \l "_Toc213690691" </w:instrText>
      </w:r>
      <w:r>
        <w:fldChar w:fldCharType="separate"/>
      </w:r>
      <w:r>
        <w:rPr>
          <w:rStyle w:val="16"/>
          <w:rFonts w:hint="eastAsia" w:ascii="仿宋_GB2312" w:hAnsi="Times New Roman" w:eastAsia="仿宋_GB2312"/>
          <w:color w:val="auto"/>
          <w:sz w:val="32"/>
          <w:szCs w:val="32"/>
        </w:rPr>
        <w:t>2应急组织指挥体系</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_Toc213690691 \h </w:instrText>
      </w:r>
      <w:r>
        <w:rPr>
          <w:rFonts w:hint="eastAsia" w:ascii="仿宋_GB2312" w:eastAsia="仿宋_GB2312"/>
          <w:sz w:val="32"/>
          <w:szCs w:val="32"/>
        </w:rPr>
        <w:fldChar w:fldCharType="separate"/>
      </w:r>
      <w:r>
        <w:rPr>
          <w:rFonts w:hint="eastAsia" w:ascii="仿宋_GB2312" w:eastAsia="仿宋_GB2312"/>
          <w:sz w:val="32"/>
          <w:szCs w:val="32"/>
        </w:rPr>
        <w:t>6</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39F221BC">
      <w:pPr>
        <w:pStyle w:val="11"/>
        <w:tabs>
          <w:tab w:val="right" w:leader="dot" w:pos="8494"/>
        </w:tabs>
        <w:rPr>
          <w:rFonts w:ascii="仿宋_GB2312" w:eastAsia="仿宋_GB2312"/>
          <w:sz w:val="32"/>
          <w:szCs w:val="32"/>
        </w:rPr>
      </w:pPr>
      <w:r>
        <w:fldChar w:fldCharType="begin"/>
      </w:r>
      <w:r>
        <w:instrText xml:space="preserve"> HYPERLINK \l "_Toc213690692" </w:instrText>
      </w:r>
      <w:r>
        <w:fldChar w:fldCharType="separate"/>
      </w:r>
      <w:r>
        <w:rPr>
          <w:rStyle w:val="16"/>
          <w:rFonts w:hint="eastAsia" w:ascii="仿宋_GB2312" w:hAnsi="Times New Roman" w:eastAsia="仿宋_GB2312"/>
          <w:color w:val="auto"/>
          <w:sz w:val="32"/>
          <w:szCs w:val="32"/>
        </w:rPr>
        <w:t>2.1应急指挥机构</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_Toc213690692 \h </w:instrText>
      </w:r>
      <w:r>
        <w:rPr>
          <w:rFonts w:hint="eastAsia" w:ascii="仿宋_GB2312" w:eastAsia="仿宋_GB2312"/>
          <w:sz w:val="32"/>
          <w:szCs w:val="32"/>
        </w:rPr>
        <w:fldChar w:fldCharType="separate"/>
      </w:r>
      <w:r>
        <w:rPr>
          <w:rFonts w:hint="eastAsia" w:ascii="仿宋_GB2312" w:eastAsia="仿宋_GB2312"/>
          <w:sz w:val="32"/>
          <w:szCs w:val="32"/>
        </w:rPr>
        <w:t>6</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18F0EAC7">
      <w:pPr>
        <w:pStyle w:val="6"/>
        <w:tabs>
          <w:tab w:val="right" w:leader="dot" w:pos="8494"/>
        </w:tabs>
        <w:rPr>
          <w:rFonts w:ascii="仿宋_GB2312" w:eastAsia="仿宋_GB2312"/>
          <w:sz w:val="32"/>
          <w:szCs w:val="32"/>
        </w:rPr>
      </w:pPr>
      <w:r>
        <w:fldChar w:fldCharType="begin"/>
      </w:r>
      <w:r>
        <w:instrText xml:space="preserve"> HYPERLINK \l "_Toc213690693" </w:instrText>
      </w:r>
      <w:r>
        <w:fldChar w:fldCharType="separate"/>
      </w:r>
      <w:r>
        <w:rPr>
          <w:rStyle w:val="16"/>
          <w:rFonts w:hint="eastAsia" w:ascii="仿宋_GB2312" w:hAnsi="Times New Roman" w:eastAsia="仿宋_GB2312"/>
          <w:color w:val="auto"/>
          <w:sz w:val="32"/>
          <w:szCs w:val="32"/>
        </w:rPr>
        <w:t>2.1.1应急指挥机构构成</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_Toc213690693 \h </w:instrText>
      </w:r>
      <w:r>
        <w:rPr>
          <w:rFonts w:hint="eastAsia" w:ascii="仿宋_GB2312" w:eastAsia="仿宋_GB2312"/>
          <w:sz w:val="32"/>
          <w:szCs w:val="32"/>
        </w:rPr>
        <w:fldChar w:fldCharType="separate"/>
      </w:r>
      <w:r>
        <w:rPr>
          <w:rFonts w:hint="eastAsia" w:ascii="仿宋_GB2312" w:eastAsia="仿宋_GB2312"/>
          <w:sz w:val="32"/>
          <w:szCs w:val="32"/>
        </w:rPr>
        <w:t>6</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7B94865B">
      <w:pPr>
        <w:pStyle w:val="6"/>
        <w:tabs>
          <w:tab w:val="right" w:leader="dot" w:pos="8494"/>
        </w:tabs>
        <w:rPr>
          <w:rFonts w:ascii="仿宋_GB2312" w:eastAsia="仿宋_GB2312"/>
          <w:sz w:val="32"/>
          <w:szCs w:val="32"/>
        </w:rPr>
      </w:pPr>
      <w:r>
        <w:fldChar w:fldCharType="begin"/>
      </w:r>
      <w:r>
        <w:instrText xml:space="preserve"> HYPERLINK \l "_Toc213690694" </w:instrText>
      </w:r>
      <w:r>
        <w:fldChar w:fldCharType="separate"/>
      </w:r>
      <w:r>
        <w:rPr>
          <w:rStyle w:val="16"/>
          <w:rFonts w:hint="eastAsia" w:ascii="仿宋_GB2312" w:hAnsi="Times New Roman" w:eastAsia="仿宋_GB2312"/>
          <w:color w:val="auto"/>
          <w:sz w:val="32"/>
          <w:szCs w:val="32"/>
        </w:rPr>
        <w:t>2.1.2应急指挥机构职责</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_Toc213690694 \h </w:instrText>
      </w:r>
      <w:r>
        <w:rPr>
          <w:rFonts w:hint="eastAsia" w:ascii="仿宋_GB2312" w:eastAsia="仿宋_GB2312"/>
          <w:sz w:val="32"/>
          <w:szCs w:val="32"/>
        </w:rPr>
        <w:fldChar w:fldCharType="separate"/>
      </w:r>
      <w:r>
        <w:rPr>
          <w:rFonts w:hint="eastAsia" w:ascii="仿宋_GB2312" w:eastAsia="仿宋_GB2312"/>
          <w:sz w:val="32"/>
          <w:szCs w:val="32"/>
        </w:rPr>
        <w:t>6</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10E5C655">
      <w:pPr>
        <w:pStyle w:val="11"/>
        <w:tabs>
          <w:tab w:val="right" w:leader="dot" w:pos="8494"/>
        </w:tabs>
        <w:rPr>
          <w:rFonts w:ascii="仿宋_GB2312" w:eastAsia="仿宋_GB2312"/>
          <w:sz w:val="32"/>
          <w:szCs w:val="32"/>
        </w:rPr>
      </w:pPr>
      <w:r>
        <w:fldChar w:fldCharType="begin"/>
      </w:r>
      <w:r>
        <w:instrText xml:space="preserve"> HYPERLINK \l "_Toc213690695" </w:instrText>
      </w:r>
      <w:r>
        <w:fldChar w:fldCharType="separate"/>
      </w:r>
      <w:r>
        <w:rPr>
          <w:rStyle w:val="16"/>
          <w:rFonts w:hint="eastAsia" w:ascii="仿宋_GB2312" w:hAnsi="Times New Roman" w:eastAsia="仿宋_GB2312"/>
          <w:color w:val="auto"/>
          <w:sz w:val="32"/>
          <w:szCs w:val="32"/>
        </w:rPr>
        <w:t>2.2现场应急指挥部</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_Toc213690695 \h </w:instrText>
      </w:r>
      <w:r>
        <w:rPr>
          <w:rFonts w:hint="eastAsia" w:ascii="仿宋_GB2312" w:eastAsia="仿宋_GB2312"/>
          <w:sz w:val="32"/>
          <w:szCs w:val="32"/>
        </w:rPr>
        <w:fldChar w:fldCharType="separate"/>
      </w:r>
      <w:r>
        <w:rPr>
          <w:rFonts w:hint="eastAsia" w:ascii="仿宋_GB2312" w:eastAsia="仿宋_GB2312"/>
          <w:sz w:val="32"/>
          <w:szCs w:val="32"/>
        </w:rPr>
        <w:t>10</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0EC8701E">
      <w:pPr>
        <w:pStyle w:val="10"/>
        <w:tabs>
          <w:tab w:val="right" w:leader="dot" w:pos="8494"/>
        </w:tabs>
        <w:rPr>
          <w:rFonts w:ascii="仿宋_GB2312" w:eastAsia="仿宋_GB2312"/>
          <w:sz w:val="32"/>
          <w:szCs w:val="32"/>
        </w:rPr>
      </w:pPr>
      <w:r>
        <w:fldChar w:fldCharType="begin"/>
      </w:r>
      <w:r>
        <w:instrText xml:space="preserve"> HYPERLINK \l "_Toc213690696" </w:instrText>
      </w:r>
      <w:r>
        <w:fldChar w:fldCharType="separate"/>
      </w:r>
      <w:r>
        <w:rPr>
          <w:rStyle w:val="16"/>
          <w:rFonts w:hint="eastAsia" w:ascii="仿宋_GB2312" w:hAnsi="Times New Roman" w:eastAsia="仿宋_GB2312"/>
          <w:color w:val="auto"/>
          <w:sz w:val="32"/>
          <w:szCs w:val="32"/>
        </w:rPr>
        <w:t>3应急响应</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_Toc213690696 \h </w:instrText>
      </w:r>
      <w:r>
        <w:rPr>
          <w:rFonts w:hint="eastAsia" w:ascii="仿宋_GB2312" w:eastAsia="仿宋_GB2312"/>
          <w:sz w:val="32"/>
          <w:szCs w:val="32"/>
        </w:rPr>
        <w:fldChar w:fldCharType="separate"/>
      </w:r>
      <w:r>
        <w:rPr>
          <w:rFonts w:hint="eastAsia" w:ascii="仿宋_GB2312" w:eastAsia="仿宋_GB2312"/>
          <w:sz w:val="32"/>
          <w:szCs w:val="32"/>
        </w:rPr>
        <w:t>16</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2A23C3B8">
      <w:pPr>
        <w:pStyle w:val="11"/>
        <w:tabs>
          <w:tab w:val="right" w:leader="dot" w:pos="8494"/>
        </w:tabs>
        <w:rPr>
          <w:rFonts w:ascii="仿宋_GB2312" w:eastAsia="仿宋_GB2312"/>
          <w:sz w:val="32"/>
          <w:szCs w:val="32"/>
        </w:rPr>
      </w:pPr>
      <w:r>
        <w:fldChar w:fldCharType="begin"/>
      </w:r>
      <w:r>
        <w:instrText xml:space="preserve"> HYPERLINK \l "_Toc213690697" </w:instrText>
      </w:r>
      <w:r>
        <w:fldChar w:fldCharType="separate"/>
      </w:r>
      <w:r>
        <w:rPr>
          <w:rStyle w:val="16"/>
          <w:rFonts w:hint="eastAsia" w:ascii="仿宋_GB2312" w:hAnsi="Times New Roman" w:eastAsia="仿宋_GB2312"/>
          <w:color w:val="auto"/>
          <w:sz w:val="32"/>
          <w:szCs w:val="32"/>
        </w:rPr>
        <w:t>3.1信息收集和研判</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_Toc213690697 \h </w:instrText>
      </w:r>
      <w:r>
        <w:rPr>
          <w:rFonts w:hint="eastAsia" w:ascii="仿宋_GB2312" w:eastAsia="仿宋_GB2312"/>
          <w:sz w:val="32"/>
          <w:szCs w:val="32"/>
        </w:rPr>
        <w:fldChar w:fldCharType="separate"/>
      </w:r>
      <w:r>
        <w:rPr>
          <w:rFonts w:hint="eastAsia" w:ascii="仿宋_GB2312" w:eastAsia="仿宋_GB2312"/>
          <w:sz w:val="32"/>
          <w:szCs w:val="32"/>
        </w:rPr>
        <w:t>16</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313D9F8F">
      <w:pPr>
        <w:pStyle w:val="6"/>
        <w:tabs>
          <w:tab w:val="right" w:leader="dot" w:pos="8494"/>
        </w:tabs>
        <w:rPr>
          <w:rFonts w:ascii="仿宋_GB2312" w:eastAsia="仿宋_GB2312"/>
          <w:sz w:val="32"/>
          <w:szCs w:val="32"/>
        </w:rPr>
      </w:pPr>
      <w:r>
        <w:fldChar w:fldCharType="begin"/>
      </w:r>
      <w:r>
        <w:instrText xml:space="preserve"> HYPERLINK \l "_Toc213690698" </w:instrText>
      </w:r>
      <w:r>
        <w:fldChar w:fldCharType="separate"/>
      </w:r>
      <w:r>
        <w:rPr>
          <w:rStyle w:val="16"/>
          <w:rFonts w:hint="eastAsia" w:ascii="仿宋_GB2312" w:hAnsi="Times New Roman" w:eastAsia="仿宋_GB2312"/>
          <w:color w:val="auto"/>
          <w:sz w:val="32"/>
          <w:szCs w:val="32"/>
        </w:rPr>
        <w:t>3.1.1信息收集</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_Toc213690698 \h </w:instrText>
      </w:r>
      <w:r>
        <w:rPr>
          <w:rFonts w:hint="eastAsia" w:ascii="仿宋_GB2312" w:eastAsia="仿宋_GB2312"/>
          <w:sz w:val="32"/>
          <w:szCs w:val="32"/>
        </w:rPr>
        <w:fldChar w:fldCharType="separate"/>
      </w:r>
      <w:r>
        <w:rPr>
          <w:rFonts w:hint="eastAsia" w:ascii="仿宋_GB2312" w:eastAsia="仿宋_GB2312"/>
          <w:sz w:val="32"/>
          <w:szCs w:val="32"/>
        </w:rPr>
        <w:t>16</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2182D6EE">
      <w:pPr>
        <w:pStyle w:val="6"/>
        <w:tabs>
          <w:tab w:val="right" w:leader="dot" w:pos="8494"/>
        </w:tabs>
        <w:rPr>
          <w:rFonts w:ascii="仿宋_GB2312" w:eastAsia="仿宋_GB2312"/>
          <w:sz w:val="32"/>
          <w:szCs w:val="32"/>
        </w:rPr>
      </w:pPr>
      <w:r>
        <w:fldChar w:fldCharType="begin"/>
      </w:r>
      <w:r>
        <w:instrText xml:space="preserve"> HYPERLINK \l "_Toc213690699" </w:instrText>
      </w:r>
      <w:r>
        <w:fldChar w:fldCharType="separate"/>
      </w:r>
      <w:r>
        <w:rPr>
          <w:rStyle w:val="16"/>
          <w:rFonts w:hint="eastAsia" w:ascii="仿宋_GB2312" w:hAnsi="Times New Roman" w:eastAsia="仿宋_GB2312"/>
          <w:color w:val="auto"/>
          <w:sz w:val="32"/>
          <w:szCs w:val="32"/>
        </w:rPr>
        <w:t>3.1.2信息研判与会商</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_Toc213690699 \h </w:instrText>
      </w:r>
      <w:r>
        <w:rPr>
          <w:rFonts w:hint="eastAsia" w:ascii="仿宋_GB2312" w:eastAsia="仿宋_GB2312"/>
          <w:sz w:val="32"/>
          <w:szCs w:val="32"/>
        </w:rPr>
        <w:fldChar w:fldCharType="separate"/>
      </w:r>
      <w:r>
        <w:rPr>
          <w:rFonts w:hint="eastAsia" w:ascii="仿宋_GB2312" w:eastAsia="仿宋_GB2312"/>
          <w:sz w:val="32"/>
          <w:szCs w:val="32"/>
        </w:rPr>
        <w:t>17</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B4A21FB">
      <w:pPr>
        <w:pStyle w:val="11"/>
        <w:tabs>
          <w:tab w:val="right" w:leader="dot" w:pos="8494"/>
        </w:tabs>
        <w:rPr>
          <w:rFonts w:ascii="仿宋_GB2312" w:eastAsia="仿宋_GB2312"/>
          <w:sz w:val="32"/>
          <w:szCs w:val="32"/>
        </w:rPr>
      </w:pPr>
      <w:r>
        <w:fldChar w:fldCharType="begin"/>
      </w:r>
      <w:r>
        <w:instrText xml:space="preserve"> HYPERLINK \l "_Toc213690700" </w:instrText>
      </w:r>
      <w:r>
        <w:fldChar w:fldCharType="separate"/>
      </w:r>
      <w:r>
        <w:rPr>
          <w:rStyle w:val="16"/>
          <w:rFonts w:hint="eastAsia" w:ascii="仿宋_GB2312" w:hAnsi="Times New Roman" w:eastAsia="仿宋_GB2312"/>
          <w:color w:val="auto"/>
          <w:sz w:val="32"/>
          <w:szCs w:val="32"/>
        </w:rPr>
        <w:t>3.2预警</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_Toc213690700 \h </w:instrText>
      </w:r>
      <w:r>
        <w:rPr>
          <w:rFonts w:hint="eastAsia" w:ascii="仿宋_GB2312" w:eastAsia="仿宋_GB2312"/>
          <w:sz w:val="32"/>
          <w:szCs w:val="32"/>
        </w:rPr>
        <w:fldChar w:fldCharType="separate"/>
      </w:r>
      <w:r>
        <w:rPr>
          <w:rFonts w:hint="eastAsia" w:ascii="仿宋_GB2312" w:eastAsia="仿宋_GB2312"/>
          <w:sz w:val="32"/>
          <w:szCs w:val="32"/>
        </w:rPr>
        <w:t>18</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7E3D2FD2">
      <w:pPr>
        <w:pStyle w:val="6"/>
        <w:tabs>
          <w:tab w:val="right" w:leader="dot" w:pos="8494"/>
        </w:tabs>
        <w:rPr>
          <w:rFonts w:ascii="仿宋_GB2312" w:eastAsia="仿宋_GB2312"/>
          <w:sz w:val="32"/>
          <w:szCs w:val="32"/>
        </w:rPr>
      </w:pPr>
      <w:r>
        <w:fldChar w:fldCharType="begin"/>
      </w:r>
      <w:r>
        <w:instrText xml:space="preserve"> HYPERLINK \l "_Toc213690701" </w:instrText>
      </w:r>
      <w:r>
        <w:fldChar w:fldCharType="separate"/>
      </w:r>
      <w:r>
        <w:rPr>
          <w:rStyle w:val="16"/>
          <w:rFonts w:hint="eastAsia" w:ascii="仿宋_GB2312" w:hAnsi="Times New Roman" w:eastAsia="仿宋_GB2312"/>
          <w:color w:val="auto"/>
          <w:sz w:val="32"/>
          <w:szCs w:val="32"/>
        </w:rPr>
        <w:t>3.2.1预警分级</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_Toc213690701 \h </w:instrText>
      </w:r>
      <w:r>
        <w:rPr>
          <w:rFonts w:hint="eastAsia" w:ascii="仿宋_GB2312" w:eastAsia="仿宋_GB2312"/>
          <w:sz w:val="32"/>
          <w:szCs w:val="32"/>
        </w:rPr>
        <w:fldChar w:fldCharType="separate"/>
      </w:r>
      <w:r>
        <w:rPr>
          <w:rFonts w:hint="eastAsia" w:ascii="仿宋_GB2312" w:eastAsia="仿宋_GB2312"/>
          <w:sz w:val="32"/>
          <w:szCs w:val="32"/>
        </w:rPr>
        <w:t>18</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21920AC3">
      <w:pPr>
        <w:pStyle w:val="6"/>
        <w:tabs>
          <w:tab w:val="right" w:leader="dot" w:pos="8494"/>
        </w:tabs>
        <w:rPr>
          <w:rFonts w:ascii="仿宋_GB2312" w:eastAsia="仿宋_GB2312"/>
          <w:sz w:val="32"/>
          <w:szCs w:val="32"/>
        </w:rPr>
      </w:pPr>
      <w:r>
        <w:fldChar w:fldCharType="begin"/>
      </w:r>
      <w:r>
        <w:instrText xml:space="preserve"> HYPERLINK \l "_Toc213690702" </w:instrText>
      </w:r>
      <w:r>
        <w:fldChar w:fldCharType="separate"/>
      </w:r>
      <w:r>
        <w:rPr>
          <w:rStyle w:val="16"/>
          <w:rFonts w:hint="eastAsia" w:ascii="仿宋_GB2312" w:hAnsi="Times New Roman" w:eastAsia="仿宋_GB2312"/>
          <w:color w:val="auto"/>
          <w:sz w:val="32"/>
          <w:szCs w:val="32"/>
        </w:rPr>
        <w:t>3.2.2预警启动条件</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_Toc213690702 \h </w:instrText>
      </w:r>
      <w:r>
        <w:rPr>
          <w:rFonts w:hint="eastAsia" w:ascii="仿宋_GB2312" w:eastAsia="仿宋_GB2312"/>
          <w:sz w:val="32"/>
          <w:szCs w:val="32"/>
        </w:rPr>
        <w:fldChar w:fldCharType="separate"/>
      </w:r>
      <w:r>
        <w:rPr>
          <w:rFonts w:hint="eastAsia" w:ascii="仿宋_GB2312" w:eastAsia="仿宋_GB2312"/>
          <w:sz w:val="32"/>
          <w:szCs w:val="32"/>
        </w:rPr>
        <w:t>18</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7DA1DA7">
      <w:pPr>
        <w:pStyle w:val="6"/>
        <w:tabs>
          <w:tab w:val="right" w:leader="dot" w:pos="8494"/>
        </w:tabs>
        <w:rPr>
          <w:rFonts w:ascii="仿宋_GB2312" w:eastAsia="仿宋_GB2312"/>
          <w:sz w:val="32"/>
          <w:szCs w:val="32"/>
        </w:rPr>
      </w:pPr>
      <w:r>
        <w:fldChar w:fldCharType="begin"/>
      </w:r>
      <w:r>
        <w:instrText xml:space="preserve"> HYPERLINK \l "_Toc213690703" </w:instrText>
      </w:r>
      <w:r>
        <w:fldChar w:fldCharType="separate"/>
      </w:r>
      <w:r>
        <w:rPr>
          <w:rStyle w:val="16"/>
          <w:rFonts w:hint="eastAsia" w:ascii="仿宋_GB2312" w:hAnsi="Times New Roman" w:eastAsia="仿宋_GB2312"/>
          <w:color w:val="auto"/>
          <w:sz w:val="32"/>
          <w:szCs w:val="32"/>
        </w:rPr>
        <w:t>3.2.3发布预警和预警级别调整</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_Toc213690703 \h </w:instrText>
      </w:r>
      <w:r>
        <w:rPr>
          <w:rFonts w:hint="eastAsia" w:ascii="仿宋_GB2312" w:eastAsia="仿宋_GB2312"/>
          <w:sz w:val="32"/>
          <w:szCs w:val="32"/>
        </w:rPr>
        <w:fldChar w:fldCharType="separate"/>
      </w:r>
      <w:r>
        <w:rPr>
          <w:rFonts w:hint="eastAsia" w:ascii="仿宋_GB2312" w:eastAsia="仿宋_GB2312"/>
          <w:sz w:val="32"/>
          <w:szCs w:val="32"/>
        </w:rPr>
        <w:t>18</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BBA8FA7">
      <w:pPr>
        <w:pStyle w:val="6"/>
        <w:tabs>
          <w:tab w:val="right" w:leader="dot" w:pos="8494"/>
        </w:tabs>
        <w:rPr>
          <w:rFonts w:ascii="仿宋_GB2312" w:eastAsia="仿宋_GB2312"/>
          <w:sz w:val="32"/>
          <w:szCs w:val="32"/>
        </w:rPr>
      </w:pPr>
      <w:r>
        <w:fldChar w:fldCharType="begin"/>
      </w:r>
      <w:r>
        <w:instrText xml:space="preserve"> HYPERLINK \l "_Toc213690704" </w:instrText>
      </w:r>
      <w:r>
        <w:fldChar w:fldCharType="separate"/>
      </w:r>
      <w:r>
        <w:rPr>
          <w:rStyle w:val="16"/>
          <w:rFonts w:hint="eastAsia" w:ascii="仿宋_GB2312" w:hAnsi="Times New Roman" w:eastAsia="仿宋_GB2312"/>
          <w:color w:val="auto"/>
          <w:sz w:val="32"/>
          <w:szCs w:val="32"/>
        </w:rPr>
        <w:t>3.2.4预警行动</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_Toc213690704 \h </w:instrText>
      </w:r>
      <w:r>
        <w:rPr>
          <w:rFonts w:hint="eastAsia" w:ascii="仿宋_GB2312" w:eastAsia="仿宋_GB2312"/>
          <w:sz w:val="32"/>
          <w:szCs w:val="32"/>
        </w:rPr>
        <w:fldChar w:fldCharType="separate"/>
      </w:r>
      <w:r>
        <w:rPr>
          <w:rFonts w:hint="eastAsia" w:ascii="仿宋_GB2312" w:eastAsia="仿宋_GB2312"/>
          <w:sz w:val="32"/>
          <w:szCs w:val="32"/>
        </w:rPr>
        <w:t>19</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003CDF9">
      <w:pPr>
        <w:pStyle w:val="6"/>
        <w:tabs>
          <w:tab w:val="right" w:leader="dot" w:pos="8494"/>
        </w:tabs>
        <w:rPr>
          <w:rFonts w:ascii="仿宋_GB2312" w:eastAsia="仿宋_GB2312"/>
          <w:sz w:val="32"/>
          <w:szCs w:val="32"/>
        </w:rPr>
      </w:pPr>
      <w:r>
        <w:fldChar w:fldCharType="begin"/>
      </w:r>
      <w:r>
        <w:instrText xml:space="preserve"> HYPERLINK \l "_Toc213690705" </w:instrText>
      </w:r>
      <w:r>
        <w:fldChar w:fldCharType="separate"/>
      </w:r>
      <w:r>
        <w:rPr>
          <w:rStyle w:val="16"/>
          <w:rFonts w:hint="eastAsia" w:ascii="仿宋_GB2312" w:hAnsi="Times New Roman" w:eastAsia="仿宋_GB2312"/>
          <w:color w:val="auto"/>
          <w:sz w:val="32"/>
          <w:szCs w:val="32"/>
        </w:rPr>
        <w:t>3.2.5预警解除</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_Toc213690705 \h </w:instrText>
      </w:r>
      <w:r>
        <w:rPr>
          <w:rFonts w:hint="eastAsia" w:ascii="仿宋_GB2312" w:eastAsia="仿宋_GB2312"/>
          <w:sz w:val="32"/>
          <w:szCs w:val="32"/>
        </w:rPr>
        <w:fldChar w:fldCharType="separate"/>
      </w:r>
      <w:r>
        <w:rPr>
          <w:rFonts w:hint="eastAsia" w:ascii="仿宋_GB2312" w:eastAsia="仿宋_GB2312"/>
          <w:sz w:val="32"/>
          <w:szCs w:val="32"/>
        </w:rPr>
        <w:t>20</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4A7C9F1">
      <w:pPr>
        <w:pStyle w:val="11"/>
        <w:tabs>
          <w:tab w:val="right" w:leader="dot" w:pos="8494"/>
        </w:tabs>
        <w:rPr>
          <w:rFonts w:ascii="仿宋_GB2312" w:eastAsia="仿宋_GB2312"/>
          <w:sz w:val="32"/>
          <w:szCs w:val="32"/>
        </w:rPr>
      </w:pPr>
      <w:r>
        <w:fldChar w:fldCharType="begin"/>
      </w:r>
      <w:r>
        <w:instrText xml:space="preserve"> HYPERLINK \l "_Toc213690706" </w:instrText>
      </w:r>
      <w:r>
        <w:fldChar w:fldCharType="separate"/>
      </w:r>
      <w:r>
        <w:rPr>
          <w:rStyle w:val="16"/>
          <w:rFonts w:hint="eastAsia" w:ascii="仿宋_GB2312" w:hAnsi="Times New Roman" w:eastAsia="仿宋_GB2312"/>
          <w:color w:val="auto"/>
          <w:sz w:val="32"/>
          <w:szCs w:val="32"/>
        </w:rPr>
        <w:t>3.3信息报告与通报</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_Toc213690706 \h </w:instrText>
      </w:r>
      <w:r>
        <w:rPr>
          <w:rFonts w:hint="eastAsia" w:ascii="仿宋_GB2312" w:eastAsia="仿宋_GB2312"/>
          <w:sz w:val="32"/>
          <w:szCs w:val="32"/>
        </w:rPr>
        <w:fldChar w:fldCharType="separate"/>
      </w:r>
      <w:r>
        <w:rPr>
          <w:rFonts w:hint="eastAsia" w:ascii="仿宋_GB2312" w:eastAsia="仿宋_GB2312"/>
          <w:sz w:val="32"/>
          <w:szCs w:val="32"/>
        </w:rPr>
        <w:t>20</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0A6AB69">
      <w:pPr>
        <w:pStyle w:val="6"/>
        <w:tabs>
          <w:tab w:val="right" w:leader="dot" w:pos="8494"/>
        </w:tabs>
        <w:rPr>
          <w:rFonts w:ascii="仿宋_GB2312" w:eastAsia="仿宋_GB2312"/>
          <w:sz w:val="32"/>
          <w:szCs w:val="32"/>
        </w:rPr>
      </w:pPr>
      <w:r>
        <w:fldChar w:fldCharType="begin"/>
      </w:r>
      <w:r>
        <w:instrText xml:space="preserve"> HYPERLINK \l "_Toc213690707" </w:instrText>
      </w:r>
      <w:r>
        <w:fldChar w:fldCharType="separate"/>
      </w:r>
      <w:r>
        <w:rPr>
          <w:rStyle w:val="16"/>
          <w:rFonts w:hint="eastAsia" w:ascii="仿宋_GB2312" w:hAnsi="Times New Roman" w:eastAsia="仿宋_GB2312"/>
          <w:color w:val="auto"/>
          <w:sz w:val="32"/>
          <w:szCs w:val="32"/>
        </w:rPr>
        <w:t>3.3.1信息报告程序</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_Toc213690707 \h </w:instrText>
      </w:r>
      <w:r>
        <w:rPr>
          <w:rFonts w:hint="eastAsia" w:ascii="仿宋_GB2312" w:eastAsia="仿宋_GB2312"/>
          <w:sz w:val="32"/>
          <w:szCs w:val="32"/>
        </w:rPr>
        <w:fldChar w:fldCharType="separate"/>
      </w:r>
      <w:r>
        <w:rPr>
          <w:rFonts w:hint="eastAsia" w:ascii="仿宋_GB2312" w:eastAsia="仿宋_GB2312"/>
          <w:sz w:val="32"/>
          <w:szCs w:val="32"/>
        </w:rPr>
        <w:t>20</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13264F2B">
      <w:pPr>
        <w:pStyle w:val="6"/>
        <w:tabs>
          <w:tab w:val="right" w:leader="dot" w:pos="8494"/>
        </w:tabs>
        <w:rPr>
          <w:rFonts w:ascii="仿宋_GB2312" w:eastAsia="仿宋_GB2312"/>
          <w:sz w:val="32"/>
          <w:szCs w:val="32"/>
        </w:rPr>
      </w:pPr>
      <w:r>
        <w:fldChar w:fldCharType="begin"/>
      </w:r>
      <w:r>
        <w:instrText xml:space="preserve"> HYPERLINK \l "_Toc213690708" </w:instrText>
      </w:r>
      <w:r>
        <w:fldChar w:fldCharType="separate"/>
      </w:r>
      <w:r>
        <w:rPr>
          <w:rStyle w:val="16"/>
          <w:rFonts w:hint="eastAsia" w:ascii="仿宋_GB2312" w:hAnsi="Times New Roman" w:eastAsia="仿宋_GB2312"/>
          <w:color w:val="auto"/>
          <w:sz w:val="32"/>
          <w:szCs w:val="32"/>
        </w:rPr>
        <w:t>3.3.2信息通报程序</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_Toc213690708 \h </w:instrText>
      </w:r>
      <w:r>
        <w:rPr>
          <w:rFonts w:hint="eastAsia" w:ascii="仿宋_GB2312" w:eastAsia="仿宋_GB2312"/>
          <w:sz w:val="32"/>
          <w:szCs w:val="32"/>
        </w:rPr>
        <w:fldChar w:fldCharType="separate"/>
      </w:r>
      <w:r>
        <w:rPr>
          <w:rFonts w:hint="eastAsia" w:ascii="仿宋_GB2312" w:eastAsia="仿宋_GB2312"/>
          <w:sz w:val="32"/>
          <w:szCs w:val="32"/>
        </w:rPr>
        <w:t>21</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70C26756">
      <w:pPr>
        <w:pStyle w:val="6"/>
        <w:tabs>
          <w:tab w:val="right" w:leader="dot" w:pos="8494"/>
        </w:tabs>
        <w:rPr>
          <w:rFonts w:ascii="仿宋_GB2312" w:eastAsia="仿宋_GB2312"/>
          <w:sz w:val="32"/>
          <w:szCs w:val="32"/>
        </w:rPr>
      </w:pPr>
      <w:r>
        <w:fldChar w:fldCharType="begin"/>
      </w:r>
      <w:r>
        <w:instrText xml:space="preserve"> HYPERLINK \l "_Toc213690709" </w:instrText>
      </w:r>
      <w:r>
        <w:fldChar w:fldCharType="separate"/>
      </w:r>
      <w:r>
        <w:rPr>
          <w:rStyle w:val="16"/>
          <w:rFonts w:hint="eastAsia" w:ascii="仿宋_GB2312" w:hAnsi="Times New Roman" w:eastAsia="仿宋_GB2312"/>
          <w:color w:val="auto"/>
          <w:sz w:val="32"/>
          <w:szCs w:val="32"/>
        </w:rPr>
        <w:t>3.3.3信息报告和通报内容</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_Toc213690709 \h </w:instrText>
      </w:r>
      <w:r>
        <w:rPr>
          <w:rFonts w:hint="eastAsia" w:ascii="仿宋_GB2312" w:eastAsia="仿宋_GB2312"/>
          <w:sz w:val="32"/>
          <w:szCs w:val="32"/>
        </w:rPr>
        <w:fldChar w:fldCharType="separate"/>
      </w:r>
      <w:r>
        <w:rPr>
          <w:rFonts w:hint="eastAsia" w:ascii="仿宋_GB2312" w:eastAsia="仿宋_GB2312"/>
          <w:sz w:val="32"/>
          <w:szCs w:val="32"/>
        </w:rPr>
        <w:t>21</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73D81EAB">
      <w:pPr>
        <w:pStyle w:val="11"/>
        <w:tabs>
          <w:tab w:val="right" w:leader="dot" w:pos="8494"/>
        </w:tabs>
        <w:rPr>
          <w:rFonts w:ascii="仿宋_GB2312" w:eastAsia="仿宋_GB2312"/>
          <w:sz w:val="32"/>
          <w:szCs w:val="32"/>
        </w:rPr>
      </w:pPr>
      <w:r>
        <w:fldChar w:fldCharType="begin"/>
      </w:r>
      <w:r>
        <w:instrText xml:space="preserve"> HYPERLINK \l "_Toc213690710" </w:instrText>
      </w:r>
      <w:r>
        <w:fldChar w:fldCharType="separate"/>
      </w:r>
      <w:r>
        <w:rPr>
          <w:rStyle w:val="16"/>
          <w:rFonts w:hint="eastAsia" w:ascii="仿宋_GB2312" w:hAnsi="Times New Roman" w:eastAsia="仿宋_GB2312"/>
          <w:color w:val="auto"/>
          <w:sz w:val="32"/>
          <w:szCs w:val="32"/>
        </w:rPr>
        <w:t>3.4事态研判</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_Toc213690710 \h </w:instrText>
      </w:r>
      <w:r>
        <w:rPr>
          <w:rFonts w:hint="eastAsia" w:ascii="仿宋_GB2312" w:eastAsia="仿宋_GB2312"/>
          <w:sz w:val="32"/>
          <w:szCs w:val="32"/>
        </w:rPr>
        <w:fldChar w:fldCharType="separate"/>
      </w:r>
      <w:r>
        <w:rPr>
          <w:rFonts w:hint="eastAsia" w:ascii="仿宋_GB2312" w:eastAsia="仿宋_GB2312"/>
          <w:sz w:val="32"/>
          <w:szCs w:val="32"/>
        </w:rPr>
        <w:t>22</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583C1D7F">
      <w:pPr>
        <w:pStyle w:val="11"/>
        <w:tabs>
          <w:tab w:val="right" w:leader="dot" w:pos="8494"/>
        </w:tabs>
        <w:rPr>
          <w:rFonts w:ascii="仿宋_GB2312" w:eastAsia="仿宋_GB2312"/>
          <w:sz w:val="32"/>
          <w:szCs w:val="32"/>
        </w:rPr>
      </w:pPr>
      <w:r>
        <w:fldChar w:fldCharType="begin"/>
      </w:r>
      <w:r>
        <w:instrText xml:space="preserve"> HYPERLINK \l "_Toc213690711" </w:instrText>
      </w:r>
      <w:r>
        <w:fldChar w:fldCharType="separate"/>
      </w:r>
      <w:r>
        <w:rPr>
          <w:rStyle w:val="16"/>
          <w:rFonts w:hint="eastAsia" w:ascii="仿宋_GB2312" w:hAnsi="Times New Roman" w:eastAsia="仿宋_GB2312"/>
          <w:color w:val="auto"/>
          <w:sz w:val="32"/>
          <w:szCs w:val="32"/>
        </w:rPr>
        <w:t>3.5应急监测</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_Toc213690711 \h </w:instrText>
      </w:r>
      <w:r>
        <w:rPr>
          <w:rFonts w:hint="eastAsia" w:ascii="仿宋_GB2312" w:eastAsia="仿宋_GB2312"/>
          <w:sz w:val="32"/>
          <w:szCs w:val="32"/>
        </w:rPr>
        <w:fldChar w:fldCharType="separate"/>
      </w:r>
      <w:r>
        <w:rPr>
          <w:rFonts w:hint="eastAsia" w:ascii="仿宋_GB2312" w:eastAsia="仿宋_GB2312"/>
          <w:sz w:val="32"/>
          <w:szCs w:val="32"/>
        </w:rPr>
        <w:t>22</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105522A5">
      <w:pPr>
        <w:pStyle w:val="6"/>
        <w:tabs>
          <w:tab w:val="right" w:leader="dot" w:pos="8494"/>
        </w:tabs>
        <w:rPr>
          <w:rFonts w:ascii="仿宋_GB2312" w:eastAsia="仿宋_GB2312"/>
          <w:sz w:val="32"/>
          <w:szCs w:val="32"/>
        </w:rPr>
      </w:pPr>
      <w:r>
        <w:fldChar w:fldCharType="begin"/>
      </w:r>
      <w:r>
        <w:instrText xml:space="preserve"> HYPERLINK \l "_Toc213690712" </w:instrText>
      </w:r>
      <w:r>
        <w:fldChar w:fldCharType="separate"/>
      </w:r>
      <w:r>
        <w:rPr>
          <w:rStyle w:val="16"/>
          <w:rFonts w:hint="eastAsia" w:ascii="仿宋_GB2312" w:hAnsi="Times New Roman" w:eastAsia="仿宋_GB2312"/>
          <w:color w:val="auto"/>
          <w:sz w:val="32"/>
          <w:szCs w:val="32"/>
        </w:rPr>
        <w:t>3.5.1开展应急监测程序</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_Toc213690712 \h </w:instrText>
      </w:r>
      <w:r>
        <w:rPr>
          <w:rFonts w:hint="eastAsia" w:ascii="仿宋_GB2312" w:eastAsia="仿宋_GB2312"/>
          <w:sz w:val="32"/>
          <w:szCs w:val="32"/>
        </w:rPr>
        <w:fldChar w:fldCharType="separate"/>
      </w:r>
      <w:r>
        <w:rPr>
          <w:rFonts w:hint="eastAsia" w:ascii="仿宋_GB2312" w:eastAsia="仿宋_GB2312"/>
          <w:sz w:val="32"/>
          <w:szCs w:val="32"/>
        </w:rPr>
        <w:t>22</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28F6EB82">
      <w:pPr>
        <w:pStyle w:val="6"/>
        <w:tabs>
          <w:tab w:val="right" w:leader="dot" w:pos="8494"/>
        </w:tabs>
        <w:rPr>
          <w:rFonts w:ascii="仿宋_GB2312" w:eastAsia="仿宋_GB2312"/>
          <w:sz w:val="32"/>
          <w:szCs w:val="32"/>
        </w:rPr>
      </w:pPr>
      <w:r>
        <w:fldChar w:fldCharType="begin"/>
      </w:r>
      <w:r>
        <w:instrText xml:space="preserve"> HYPERLINK \l "_Toc213690713" </w:instrText>
      </w:r>
      <w:r>
        <w:fldChar w:fldCharType="separate"/>
      </w:r>
      <w:r>
        <w:rPr>
          <w:rStyle w:val="16"/>
          <w:rFonts w:hint="eastAsia" w:ascii="仿宋_GB2312" w:hAnsi="Times New Roman" w:eastAsia="仿宋_GB2312"/>
          <w:color w:val="auto"/>
          <w:sz w:val="32"/>
          <w:szCs w:val="32"/>
        </w:rPr>
        <w:t>3.5.2应急监测方案</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_Toc213690713 \h </w:instrText>
      </w:r>
      <w:r>
        <w:rPr>
          <w:rFonts w:hint="eastAsia" w:ascii="仿宋_GB2312" w:eastAsia="仿宋_GB2312"/>
          <w:sz w:val="32"/>
          <w:szCs w:val="32"/>
        </w:rPr>
        <w:fldChar w:fldCharType="separate"/>
      </w:r>
      <w:r>
        <w:rPr>
          <w:rFonts w:hint="eastAsia" w:ascii="仿宋_GB2312" w:eastAsia="仿宋_GB2312"/>
          <w:sz w:val="32"/>
          <w:szCs w:val="32"/>
        </w:rPr>
        <w:t>23</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0D8A851E">
      <w:pPr>
        <w:pStyle w:val="11"/>
        <w:tabs>
          <w:tab w:val="right" w:leader="dot" w:pos="8494"/>
        </w:tabs>
        <w:rPr>
          <w:rFonts w:ascii="仿宋_GB2312" w:eastAsia="仿宋_GB2312"/>
          <w:sz w:val="32"/>
          <w:szCs w:val="32"/>
        </w:rPr>
      </w:pPr>
      <w:r>
        <w:fldChar w:fldCharType="begin"/>
      </w:r>
      <w:r>
        <w:instrText xml:space="preserve"> HYPERLINK \l "_Toc213690714" </w:instrText>
      </w:r>
      <w:r>
        <w:fldChar w:fldCharType="separate"/>
      </w:r>
      <w:r>
        <w:rPr>
          <w:rStyle w:val="16"/>
          <w:rFonts w:hint="eastAsia" w:ascii="仿宋_GB2312" w:hAnsi="Times New Roman" w:eastAsia="仿宋_GB2312"/>
          <w:color w:val="auto"/>
          <w:sz w:val="32"/>
          <w:szCs w:val="32"/>
        </w:rPr>
        <w:t>3.6污染源排查与处置</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_Toc213690714 \h </w:instrText>
      </w:r>
      <w:r>
        <w:rPr>
          <w:rFonts w:hint="eastAsia" w:ascii="仿宋_GB2312" w:eastAsia="仿宋_GB2312"/>
          <w:sz w:val="32"/>
          <w:szCs w:val="32"/>
        </w:rPr>
        <w:fldChar w:fldCharType="separate"/>
      </w:r>
      <w:r>
        <w:rPr>
          <w:rFonts w:hint="eastAsia" w:ascii="仿宋_GB2312" w:eastAsia="仿宋_GB2312"/>
          <w:sz w:val="32"/>
          <w:szCs w:val="32"/>
        </w:rPr>
        <w:t>24</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4C29F471">
      <w:pPr>
        <w:pStyle w:val="6"/>
        <w:tabs>
          <w:tab w:val="right" w:leader="dot" w:pos="8494"/>
        </w:tabs>
        <w:rPr>
          <w:rFonts w:ascii="仿宋_GB2312" w:eastAsia="仿宋_GB2312"/>
          <w:sz w:val="32"/>
          <w:szCs w:val="32"/>
        </w:rPr>
      </w:pPr>
      <w:r>
        <w:fldChar w:fldCharType="begin"/>
      </w:r>
      <w:r>
        <w:instrText xml:space="preserve"> HYPERLINK \l "_Toc213690715" </w:instrText>
      </w:r>
      <w:r>
        <w:fldChar w:fldCharType="separate"/>
      </w:r>
      <w:r>
        <w:rPr>
          <w:rStyle w:val="16"/>
          <w:rFonts w:hint="eastAsia" w:ascii="仿宋_GB2312" w:hAnsi="Times New Roman" w:eastAsia="仿宋_GB2312"/>
          <w:color w:val="auto"/>
          <w:sz w:val="32"/>
          <w:szCs w:val="32"/>
        </w:rPr>
        <w:t>3.6.1明确排查对象</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_Toc213690715 \h </w:instrText>
      </w:r>
      <w:r>
        <w:rPr>
          <w:rFonts w:hint="eastAsia" w:ascii="仿宋_GB2312" w:eastAsia="仿宋_GB2312"/>
          <w:sz w:val="32"/>
          <w:szCs w:val="32"/>
        </w:rPr>
        <w:fldChar w:fldCharType="separate"/>
      </w:r>
      <w:r>
        <w:rPr>
          <w:rFonts w:hint="eastAsia" w:ascii="仿宋_GB2312" w:eastAsia="仿宋_GB2312"/>
          <w:sz w:val="32"/>
          <w:szCs w:val="32"/>
        </w:rPr>
        <w:t>24</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1C41C90C">
      <w:pPr>
        <w:pStyle w:val="6"/>
        <w:tabs>
          <w:tab w:val="right" w:leader="dot" w:pos="8494"/>
        </w:tabs>
        <w:rPr>
          <w:rFonts w:ascii="仿宋_GB2312" w:eastAsia="仿宋_GB2312"/>
          <w:sz w:val="32"/>
          <w:szCs w:val="32"/>
        </w:rPr>
      </w:pPr>
      <w:r>
        <w:fldChar w:fldCharType="begin"/>
      </w:r>
      <w:r>
        <w:instrText xml:space="preserve"> HYPERLINK \l "_Toc213690716" </w:instrText>
      </w:r>
      <w:r>
        <w:fldChar w:fldCharType="separate"/>
      </w:r>
      <w:r>
        <w:rPr>
          <w:rStyle w:val="16"/>
          <w:rFonts w:hint="eastAsia" w:ascii="仿宋_GB2312" w:hAnsi="Times New Roman" w:eastAsia="仿宋_GB2312"/>
          <w:color w:val="auto"/>
          <w:sz w:val="32"/>
          <w:szCs w:val="32"/>
        </w:rPr>
        <w:t>3.6.2切断污染源</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_Toc213690716 \h </w:instrText>
      </w:r>
      <w:r>
        <w:rPr>
          <w:rFonts w:hint="eastAsia" w:ascii="仿宋_GB2312" w:eastAsia="仿宋_GB2312"/>
          <w:sz w:val="32"/>
          <w:szCs w:val="32"/>
        </w:rPr>
        <w:fldChar w:fldCharType="separate"/>
      </w:r>
      <w:r>
        <w:rPr>
          <w:rFonts w:hint="eastAsia" w:ascii="仿宋_GB2312" w:eastAsia="仿宋_GB2312"/>
          <w:sz w:val="32"/>
          <w:szCs w:val="32"/>
        </w:rPr>
        <w:t>25</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3D4D5EDC">
      <w:pPr>
        <w:pStyle w:val="11"/>
        <w:tabs>
          <w:tab w:val="right" w:leader="dot" w:pos="8494"/>
        </w:tabs>
        <w:rPr>
          <w:rFonts w:ascii="仿宋_GB2312" w:eastAsia="仿宋_GB2312"/>
          <w:sz w:val="32"/>
          <w:szCs w:val="32"/>
        </w:rPr>
      </w:pPr>
      <w:r>
        <w:fldChar w:fldCharType="begin"/>
      </w:r>
      <w:r>
        <w:instrText xml:space="preserve"> HYPERLINK \l "_Toc213690717" </w:instrText>
      </w:r>
      <w:r>
        <w:fldChar w:fldCharType="separate"/>
      </w:r>
      <w:r>
        <w:rPr>
          <w:rStyle w:val="16"/>
          <w:rFonts w:hint="eastAsia" w:ascii="仿宋_GB2312" w:hAnsi="Times New Roman" w:eastAsia="仿宋_GB2312"/>
          <w:color w:val="auto"/>
          <w:sz w:val="32"/>
          <w:szCs w:val="32"/>
        </w:rPr>
        <w:t>3.7应急处置</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_Toc213690717 \h </w:instrText>
      </w:r>
      <w:r>
        <w:rPr>
          <w:rFonts w:hint="eastAsia" w:ascii="仿宋_GB2312" w:eastAsia="仿宋_GB2312"/>
          <w:sz w:val="32"/>
          <w:szCs w:val="32"/>
        </w:rPr>
        <w:fldChar w:fldCharType="separate"/>
      </w:r>
      <w:r>
        <w:rPr>
          <w:rFonts w:hint="eastAsia" w:ascii="仿宋_GB2312" w:eastAsia="仿宋_GB2312"/>
          <w:sz w:val="32"/>
          <w:szCs w:val="32"/>
        </w:rPr>
        <w:t>26</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7EAC83D9">
      <w:pPr>
        <w:pStyle w:val="6"/>
        <w:tabs>
          <w:tab w:val="right" w:leader="dot" w:pos="8494"/>
        </w:tabs>
        <w:rPr>
          <w:rFonts w:ascii="仿宋_GB2312" w:eastAsia="仿宋_GB2312"/>
          <w:sz w:val="32"/>
          <w:szCs w:val="32"/>
        </w:rPr>
      </w:pPr>
      <w:r>
        <w:fldChar w:fldCharType="begin"/>
      </w:r>
      <w:r>
        <w:instrText xml:space="preserve"> HYPERLINK \l "_Toc213690718" </w:instrText>
      </w:r>
      <w:r>
        <w:fldChar w:fldCharType="separate"/>
      </w:r>
      <w:r>
        <w:rPr>
          <w:rStyle w:val="16"/>
          <w:rFonts w:hint="eastAsia" w:ascii="仿宋_GB2312" w:hAnsi="Times New Roman" w:eastAsia="仿宋_GB2312"/>
          <w:color w:val="auto"/>
          <w:sz w:val="32"/>
          <w:szCs w:val="32"/>
        </w:rPr>
        <w:t>3.7.1制定现场处置方案</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_Toc213690718 \h </w:instrText>
      </w:r>
      <w:r>
        <w:rPr>
          <w:rFonts w:hint="eastAsia" w:ascii="仿宋_GB2312" w:eastAsia="仿宋_GB2312"/>
          <w:sz w:val="32"/>
          <w:szCs w:val="32"/>
        </w:rPr>
        <w:fldChar w:fldCharType="separate"/>
      </w:r>
      <w:r>
        <w:rPr>
          <w:rFonts w:hint="eastAsia" w:ascii="仿宋_GB2312" w:eastAsia="仿宋_GB2312"/>
          <w:sz w:val="32"/>
          <w:szCs w:val="32"/>
        </w:rPr>
        <w:t>26</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560F1AA7">
      <w:pPr>
        <w:pStyle w:val="6"/>
        <w:tabs>
          <w:tab w:val="right" w:leader="dot" w:pos="8494"/>
        </w:tabs>
        <w:rPr>
          <w:rFonts w:ascii="仿宋_GB2312" w:eastAsia="仿宋_GB2312"/>
          <w:sz w:val="32"/>
          <w:szCs w:val="32"/>
        </w:rPr>
      </w:pPr>
      <w:r>
        <w:fldChar w:fldCharType="begin"/>
      </w:r>
      <w:r>
        <w:instrText xml:space="preserve"> HYPERLINK \l "_Toc213690719" </w:instrText>
      </w:r>
      <w:r>
        <w:fldChar w:fldCharType="separate"/>
      </w:r>
      <w:r>
        <w:rPr>
          <w:rStyle w:val="16"/>
          <w:rFonts w:hint="eastAsia" w:ascii="仿宋_GB2312" w:hAnsi="Times New Roman" w:eastAsia="仿宋_GB2312"/>
          <w:color w:val="auto"/>
          <w:sz w:val="32"/>
          <w:szCs w:val="32"/>
        </w:rPr>
        <w:t>3.7.2供水安全保障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_Toc213690719 \h </w:instrText>
      </w:r>
      <w:r>
        <w:rPr>
          <w:rFonts w:hint="eastAsia" w:ascii="仿宋_GB2312" w:eastAsia="仿宋_GB2312"/>
          <w:sz w:val="32"/>
          <w:szCs w:val="32"/>
        </w:rPr>
        <w:fldChar w:fldCharType="separate"/>
      </w:r>
      <w:r>
        <w:rPr>
          <w:rFonts w:hint="eastAsia" w:ascii="仿宋_GB2312" w:eastAsia="仿宋_GB2312"/>
          <w:sz w:val="32"/>
          <w:szCs w:val="32"/>
        </w:rPr>
        <w:t>27</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413C29C7">
      <w:pPr>
        <w:pStyle w:val="11"/>
        <w:tabs>
          <w:tab w:val="right" w:leader="dot" w:pos="8494"/>
        </w:tabs>
        <w:rPr>
          <w:rFonts w:ascii="仿宋_GB2312" w:eastAsia="仿宋_GB2312"/>
          <w:sz w:val="32"/>
          <w:szCs w:val="32"/>
        </w:rPr>
      </w:pPr>
      <w:r>
        <w:fldChar w:fldCharType="begin"/>
      </w:r>
      <w:r>
        <w:instrText xml:space="preserve"> HYPERLINK \l "_Toc213690720" </w:instrText>
      </w:r>
      <w:r>
        <w:fldChar w:fldCharType="separate"/>
      </w:r>
      <w:r>
        <w:rPr>
          <w:rStyle w:val="16"/>
          <w:rFonts w:hint="eastAsia" w:ascii="仿宋_GB2312" w:hAnsi="Times New Roman" w:eastAsia="仿宋_GB2312"/>
          <w:color w:val="auto"/>
          <w:sz w:val="32"/>
          <w:szCs w:val="32"/>
        </w:rPr>
        <w:t>3.8物资调集及应急设施启用</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_Toc213690720 \h </w:instrText>
      </w:r>
      <w:r>
        <w:rPr>
          <w:rFonts w:hint="eastAsia" w:ascii="仿宋_GB2312" w:eastAsia="仿宋_GB2312"/>
          <w:sz w:val="32"/>
          <w:szCs w:val="32"/>
        </w:rPr>
        <w:fldChar w:fldCharType="separate"/>
      </w:r>
      <w:r>
        <w:rPr>
          <w:rFonts w:hint="eastAsia" w:ascii="仿宋_GB2312" w:eastAsia="仿宋_GB2312"/>
          <w:sz w:val="32"/>
          <w:szCs w:val="32"/>
        </w:rPr>
        <w:t>27</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12A0E102">
      <w:pPr>
        <w:pStyle w:val="11"/>
        <w:tabs>
          <w:tab w:val="right" w:leader="dot" w:pos="8494"/>
        </w:tabs>
        <w:rPr>
          <w:rFonts w:ascii="仿宋_GB2312" w:eastAsia="仿宋_GB2312"/>
          <w:sz w:val="32"/>
          <w:szCs w:val="32"/>
        </w:rPr>
      </w:pPr>
      <w:r>
        <w:fldChar w:fldCharType="begin"/>
      </w:r>
      <w:r>
        <w:instrText xml:space="preserve"> HYPERLINK \l "_Toc213690721" </w:instrText>
      </w:r>
      <w:r>
        <w:fldChar w:fldCharType="separate"/>
      </w:r>
      <w:r>
        <w:rPr>
          <w:rStyle w:val="16"/>
          <w:rFonts w:hint="eastAsia" w:ascii="仿宋_GB2312" w:hAnsi="Times New Roman" w:eastAsia="仿宋_GB2312"/>
          <w:color w:val="auto"/>
          <w:sz w:val="32"/>
          <w:szCs w:val="32"/>
        </w:rPr>
        <w:t>3.9舆情监测与信息发布</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_Toc213690721 \h </w:instrText>
      </w:r>
      <w:r>
        <w:rPr>
          <w:rFonts w:hint="eastAsia" w:ascii="仿宋_GB2312" w:eastAsia="仿宋_GB2312"/>
          <w:sz w:val="32"/>
          <w:szCs w:val="32"/>
        </w:rPr>
        <w:fldChar w:fldCharType="separate"/>
      </w:r>
      <w:r>
        <w:rPr>
          <w:rFonts w:hint="eastAsia" w:ascii="仿宋_GB2312" w:eastAsia="仿宋_GB2312"/>
          <w:sz w:val="32"/>
          <w:szCs w:val="32"/>
        </w:rPr>
        <w:t>28</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3DE3C6CC">
      <w:pPr>
        <w:pStyle w:val="11"/>
        <w:tabs>
          <w:tab w:val="right" w:leader="dot" w:pos="8494"/>
        </w:tabs>
        <w:rPr>
          <w:rFonts w:ascii="仿宋_GB2312" w:eastAsia="仿宋_GB2312"/>
          <w:sz w:val="32"/>
          <w:szCs w:val="32"/>
        </w:rPr>
      </w:pPr>
      <w:r>
        <w:fldChar w:fldCharType="begin"/>
      </w:r>
      <w:r>
        <w:instrText xml:space="preserve"> HYPERLINK \l "_Toc213690722" </w:instrText>
      </w:r>
      <w:r>
        <w:fldChar w:fldCharType="separate"/>
      </w:r>
      <w:r>
        <w:rPr>
          <w:rStyle w:val="16"/>
          <w:rFonts w:hint="eastAsia" w:ascii="仿宋_GB2312" w:hAnsi="Times New Roman" w:eastAsia="仿宋_GB2312"/>
          <w:color w:val="auto"/>
          <w:sz w:val="32"/>
          <w:szCs w:val="32"/>
        </w:rPr>
        <w:t>3.10响应终止</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_Toc213690722 \h </w:instrText>
      </w:r>
      <w:r>
        <w:rPr>
          <w:rFonts w:hint="eastAsia" w:ascii="仿宋_GB2312" w:eastAsia="仿宋_GB2312"/>
          <w:sz w:val="32"/>
          <w:szCs w:val="32"/>
        </w:rPr>
        <w:fldChar w:fldCharType="separate"/>
      </w:r>
      <w:r>
        <w:rPr>
          <w:rFonts w:hint="eastAsia" w:ascii="仿宋_GB2312" w:eastAsia="仿宋_GB2312"/>
          <w:sz w:val="32"/>
          <w:szCs w:val="32"/>
        </w:rPr>
        <w:t>28</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4067D8F4">
      <w:pPr>
        <w:pStyle w:val="6"/>
        <w:tabs>
          <w:tab w:val="right" w:leader="dot" w:pos="8494"/>
        </w:tabs>
        <w:rPr>
          <w:rFonts w:ascii="仿宋_GB2312" w:eastAsia="仿宋_GB2312"/>
          <w:sz w:val="32"/>
          <w:szCs w:val="32"/>
        </w:rPr>
      </w:pPr>
      <w:r>
        <w:fldChar w:fldCharType="begin"/>
      </w:r>
      <w:r>
        <w:instrText xml:space="preserve"> HYPERLINK \l "_Toc213690723" </w:instrText>
      </w:r>
      <w:r>
        <w:fldChar w:fldCharType="separate"/>
      </w:r>
      <w:r>
        <w:rPr>
          <w:rStyle w:val="16"/>
          <w:rFonts w:hint="eastAsia" w:ascii="仿宋_GB2312" w:hAnsi="Times New Roman" w:eastAsia="仿宋_GB2312"/>
          <w:color w:val="auto"/>
          <w:sz w:val="32"/>
          <w:szCs w:val="32"/>
        </w:rPr>
        <w:t>3.10.1应急终止条件</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_Toc213690723 \h </w:instrText>
      </w:r>
      <w:r>
        <w:rPr>
          <w:rFonts w:hint="eastAsia" w:ascii="仿宋_GB2312" w:eastAsia="仿宋_GB2312"/>
          <w:sz w:val="32"/>
          <w:szCs w:val="32"/>
        </w:rPr>
        <w:fldChar w:fldCharType="separate"/>
      </w:r>
      <w:r>
        <w:rPr>
          <w:rFonts w:hint="eastAsia" w:ascii="仿宋_GB2312" w:eastAsia="仿宋_GB2312"/>
          <w:sz w:val="32"/>
          <w:szCs w:val="32"/>
        </w:rPr>
        <w:t>28</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30A2DF4A">
      <w:pPr>
        <w:pStyle w:val="6"/>
        <w:tabs>
          <w:tab w:val="right" w:leader="dot" w:pos="8494"/>
        </w:tabs>
        <w:rPr>
          <w:rFonts w:ascii="仿宋_GB2312" w:eastAsia="仿宋_GB2312"/>
          <w:sz w:val="32"/>
          <w:szCs w:val="32"/>
        </w:rPr>
      </w:pPr>
      <w:r>
        <w:fldChar w:fldCharType="begin"/>
      </w:r>
      <w:r>
        <w:instrText xml:space="preserve"> HYPERLINK \l "_Toc213690724" </w:instrText>
      </w:r>
      <w:r>
        <w:fldChar w:fldCharType="separate"/>
      </w:r>
      <w:r>
        <w:rPr>
          <w:rStyle w:val="16"/>
          <w:rFonts w:hint="eastAsia" w:ascii="仿宋_GB2312" w:hAnsi="Times New Roman" w:eastAsia="仿宋_GB2312"/>
          <w:color w:val="auto"/>
          <w:sz w:val="32"/>
          <w:szCs w:val="32"/>
        </w:rPr>
        <w:t>3.10.2应急终止程序</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_Toc213690724 \h </w:instrText>
      </w:r>
      <w:r>
        <w:rPr>
          <w:rFonts w:hint="eastAsia" w:ascii="仿宋_GB2312" w:eastAsia="仿宋_GB2312"/>
          <w:sz w:val="32"/>
          <w:szCs w:val="32"/>
        </w:rPr>
        <w:fldChar w:fldCharType="separate"/>
      </w:r>
      <w:r>
        <w:rPr>
          <w:rFonts w:hint="eastAsia" w:ascii="仿宋_GB2312" w:eastAsia="仿宋_GB2312"/>
          <w:sz w:val="32"/>
          <w:szCs w:val="32"/>
        </w:rPr>
        <w:t>29</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CD8CA9D">
      <w:pPr>
        <w:pStyle w:val="10"/>
        <w:tabs>
          <w:tab w:val="right" w:leader="dot" w:pos="8494"/>
        </w:tabs>
        <w:rPr>
          <w:rFonts w:ascii="仿宋_GB2312" w:eastAsia="仿宋_GB2312"/>
          <w:sz w:val="32"/>
          <w:szCs w:val="32"/>
        </w:rPr>
      </w:pPr>
      <w:r>
        <w:fldChar w:fldCharType="begin"/>
      </w:r>
      <w:r>
        <w:instrText xml:space="preserve"> HYPERLINK \l "_Toc213690725" </w:instrText>
      </w:r>
      <w:r>
        <w:fldChar w:fldCharType="separate"/>
      </w:r>
      <w:r>
        <w:rPr>
          <w:rStyle w:val="16"/>
          <w:rFonts w:hint="eastAsia" w:ascii="仿宋_GB2312" w:hAnsi="Times New Roman" w:eastAsia="仿宋_GB2312"/>
          <w:color w:val="auto"/>
          <w:sz w:val="32"/>
          <w:szCs w:val="32"/>
        </w:rPr>
        <w:t>4后期工作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_Toc213690725 \h </w:instrText>
      </w:r>
      <w:r>
        <w:rPr>
          <w:rFonts w:hint="eastAsia" w:ascii="仿宋_GB2312" w:eastAsia="仿宋_GB2312"/>
          <w:sz w:val="32"/>
          <w:szCs w:val="32"/>
        </w:rPr>
        <w:fldChar w:fldCharType="separate"/>
      </w:r>
      <w:r>
        <w:rPr>
          <w:rFonts w:hint="eastAsia" w:ascii="仿宋_GB2312" w:eastAsia="仿宋_GB2312"/>
          <w:sz w:val="32"/>
          <w:szCs w:val="32"/>
        </w:rPr>
        <w:t>30</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234839DC">
      <w:pPr>
        <w:pStyle w:val="11"/>
        <w:tabs>
          <w:tab w:val="right" w:leader="dot" w:pos="8494"/>
        </w:tabs>
        <w:rPr>
          <w:rFonts w:ascii="仿宋_GB2312" w:eastAsia="仿宋_GB2312"/>
          <w:sz w:val="32"/>
          <w:szCs w:val="32"/>
        </w:rPr>
      </w:pPr>
      <w:r>
        <w:fldChar w:fldCharType="begin"/>
      </w:r>
      <w:r>
        <w:instrText xml:space="preserve"> HYPERLINK \l "_Toc213690726" </w:instrText>
      </w:r>
      <w:r>
        <w:fldChar w:fldCharType="separate"/>
      </w:r>
      <w:r>
        <w:rPr>
          <w:rStyle w:val="16"/>
          <w:rFonts w:hint="eastAsia" w:ascii="仿宋_GB2312" w:hAnsi="Times New Roman" w:eastAsia="仿宋_GB2312"/>
          <w:color w:val="auto"/>
          <w:sz w:val="32"/>
          <w:szCs w:val="32"/>
        </w:rPr>
        <w:t>4.1后期防控</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_Toc213690726 \h </w:instrText>
      </w:r>
      <w:r>
        <w:rPr>
          <w:rFonts w:hint="eastAsia" w:ascii="仿宋_GB2312" w:eastAsia="仿宋_GB2312"/>
          <w:sz w:val="32"/>
          <w:szCs w:val="32"/>
        </w:rPr>
        <w:fldChar w:fldCharType="separate"/>
      </w:r>
      <w:r>
        <w:rPr>
          <w:rFonts w:hint="eastAsia" w:ascii="仿宋_GB2312" w:eastAsia="仿宋_GB2312"/>
          <w:sz w:val="32"/>
          <w:szCs w:val="32"/>
        </w:rPr>
        <w:t>30</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236198C3">
      <w:pPr>
        <w:pStyle w:val="11"/>
        <w:tabs>
          <w:tab w:val="right" w:leader="dot" w:pos="8494"/>
        </w:tabs>
        <w:rPr>
          <w:rFonts w:ascii="仿宋_GB2312" w:eastAsia="仿宋_GB2312"/>
          <w:sz w:val="32"/>
          <w:szCs w:val="32"/>
        </w:rPr>
      </w:pPr>
      <w:r>
        <w:fldChar w:fldCharType="begin"/>
      </w:r>
      <w:r>
        <w:instrText xml:space="preserve"> HYPERLINK \l "_Toc213690727" </w:instrText>
      </w:r>
      <w:r>
        <w:fldChar w:fldCharType="separate"/>
      </w:r>
      <w:r>
        <w:rPr>
          <w:rStyle w:val="16"/>
          <w:rFonts w:hint="eastAsia" w:ascii="仿宋_GB2312" w:hAnsi="Times New Roman" w:eastAsia="仿宋_GB2312"/>
          <w:color w:val="auto"/>
          <w:sz w:val="32"/>
          <w:szCs w:val="32"/>
        </w:rPr>
        <w:t>4.2事件调查</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_Toc213690727 \h </w:instrText>
      </w:r>
      <w:r>
        <w:rPr>
          <w:rFonts w:hint="eastAsia" w:ascii="仿宋_GB2312" w:eastAsia="仿宋_GB2312"/>
          <w:sz w:val="32"/>
          <w:szCs w:val="32"/>
        </w:rPr>
        <w:fldChar w:fldCharType="separate"/>
      </w:r>
      <w:r>
        <w:rPr>
          <w:rFonts w:hint="eastAsia" w:ascii="仿宋_GB2312" w:eastAsia="仿宋_GB2312"/>
          <w:sz w:val="32"/>
          <w:szCs w:val="32"/>
        </w:rPr>
        <w:t>32</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33C6FB54">
      <w:pPr>
        <w:pStyle w:val="11"/>
        <w:tabs>
          <w:tab w:val="right" w:leader="dot" w:pos="8494"/>
        </w:tabs>
        <w:rPr>
          <w:rFonts w:ascii="仿宋_GB2312" w:eastAsia="仿宋_GB2312"/>
          <w:sz w:val="32"/>
          <w:szCs w:val="32"/>
        </w:rPr>
      </w:pPr>
      <w:r>
        <w:fldChar w:fldCharType="begin"/>
      </w:r>
      <w:r>
        <w:instrText xml:space="preserve"> HYPERLINK \l "_Toc213690728" </w:instrText>
      </w:r>
      <w:r>
        <w:fldChar w:fldCharType="separate"/>
      </w:r>
      <w:r>
        <w:rPr>
          <w:rStyle w:val="16"/>
          <w:rFonts w:hint="eastAsia" w:ascii="仿宋_GB2312" w:hAnsi="Times New Roman" w:eastAsia="仿宋_GB2312"/>
          <w:color w:val="auto"/>
          <w:sz w:val="32"/>
          <w:szCs w:val="32"/>
        </w:rPr>
        <w:t>4.3损害评估</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_Toc213690728 \h </w:instrText>
      </w:r>
      <w:r>
        <w:rPr>
          <w:rFonts w:hint="eastAsia" w:ascii="仿宋_GB2312" w:eastAsia="仿宋_GB2312"/>
          <w:sz w:val="32"/>
          <w:szCs w:val="32"/>
        </w:rPr>
        <w:fldChar w:fldCharType="separate"/>
      </w:r>
      <w:r>
        <w:rPr>
          <w:rFonts w:hint="eastAsia" w:ascii="仿宋_GB2312" w:eastAsia="仿宋_GB2312"/>
          <w:sz w:val="32"/>
          <w:szCs w:val="32"/>
        </w:rPr>
        <w:t>32</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3D2AD218">
      <w:pPr>
        <w:pStyle w:val="11"/>
        <w:tabs>
          <w:tab w:val="right" w:leader="dot" w:pos="8494"/>
        </w:tabs>
        <w:rPr>
          <w:rFonts w:ascii="仿宋_GB2312" w:eastAsia="仿宋_GB2312"/>
          <w:sz w:val="32"/>
          <w:szCs w:val="32"/>
        </w:rPr>
      </w:pPr>
      <w:r>
        <w:fldChar w:fldCharType="begin"/>
      </w:r>
      <w:r>
        <w:instrText xml:space="preserve"> HYPERLINK \l "_Toc213690729" </w:instrText>
      </w:r>
      <w:r>
        <w:fldChar w:fldCharType="separate"/>
      </w:r>
      <w:r>
        <w:rPr>
          <w:rStyle w:val="16"/>
          <w:rFonts w:hint="eastAsia" w:ascii="仿宋_GB2312" w:hAnsi="Times New Roman" w:eastAsia="仿宋_GB2312"/>
          <w:color w:val="auto"/>
          <w:sz w:val="32"/>
          <w:szCs w:val="32"/>
        </w:rPr>
        <w:t>4.4善后处置</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_Toc213690729 \h </w:instrText>
      </w:r>
      <w:r>
        <w:rPr>
          <w:rFonts w:hint="eastAsia" w:ascii="仿宋_GB2312" w:eastAsia="仿宋_GB2312"/>
          <w:sz w:val="32"/>
          <w:szCs w:val="32"/>
        </w:rPr>
        <w:fldChar w:fldCharType="separate"/>
      </w:r>
      <w:r>
        <w:rPr>
          <w:rFonts w:hint="eastAsia" w:ascii="仿宋_GB2312" w:eastAsia="仿宋_GB2312"/>
          <w:sz w:val="32"/>
          <w:szCs w:val="32"/>
        </w:rPr>
        <w:t>32</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358122B9">
      <w:pPr>
        <w:pStyle w:val="10"/>
        <w:tabs>
          <w:tab w:val="right" w:leader="dot" w:pos="8494"/>
        </w:tabs>
        <w:rPr>
          <w:rFonts w:ascii="仿宋_GB2312" w:eastAsia="仿宋_GB2312"/>
          <w:sz w:val="32"/>
          <w:szCs w:val="32"/>
        </w:rPr>
      </w:pPr>
      <w:r>
        <w:fldChar w:fldCharType="begin"/>
      </w:r>
      <w:r>
        <w:instrText xml:space="preserve"> HYPERLINK \l "_Toc213690730" </w:instrText>
      </w:r>
      <w:r>
        <w:fldChar w:fldCharType="separate"/>
      </w:r>
      <w:r>
        <w:rPr>
          <w:rStyle w:val="16"/>
          <w:rFonts w:hint="eastAsia" w:ascii="仿宋_GB2312" w:hAnsi="Times New Roman" w:eastAsia="仿宋_GB2312"/>
          <w:color w:val="auto"/>
          <w:sz w:val="32"/>
          <w:szCs w:val="32"/>
        </w:rPr>
        <w:t>5应急保障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_Toc213690730 \h </w:instrText>
      </w:r>
      <w:r>
        <w:rPr>
          <w:rFonts w:hint="eastAsia" w:ascii="仿宋_GB2312" w:eastAsia="仿宋_GB2312"/>
          <w:sz w:val="32"/>
          <w:szCs w:val="32"/>
        </w:rPr>
        <w:fldChar w:fldCharType="separate"/>
      </w:r>
      <w:r>
        <w:rPr>
          <w:rFonts w:hint="eastAsia" w:ascii="仿宋_GB2312" w:eastAsia="仿宋_GB2312"/>
          <w:sz w:val="32"/>
          <w:szCs w:val="32"/>
        </w:rPr>
        <w:t>33</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123541E1">
      <w:pPr>
        <w:pStyle w:val="11"/>
        <w:tabs>
          <w:tab w:val="right" w:leader="dot" w:pos="8494"/>
        </w:tabs>
        <w:rPr>
          <w:rFonts w:ascii="仿宋_GB2312" w:eastAsia="仿宋_GB2312"/>
          <w:sz w:val="32"/>
          <w:szCs w:val="32"/>
        </w:rPr>
      </w:pPr>
      <w:r>
        <w:fldChar w:fldCharType="begin"/>
      </w:r>
      <w:r>
        <w:instrText xml:space="preserve"> HYPERLINK \l "_Toc213690731" </w:instrText>
      </w:r>
      <w:r>
        <w:fldChar w:fldCharType="separate"/>
      </w:r>
      <w:r>
        <w:rPr>
          <w:rStyle w:val="16"/>
          <w:rFonts w:hint="eastAsia" w:ascii="仿宋_GB2312" w:hAnsi="Times New Roman" w:eastAsia="仿宋_GB2312"/>
          <w:color w:val="auto"/>
          <w:sz w:val="32"/>
          <w:szCs w:val="32"/>
        </w:rPr>
        <w:t>5.1通讯与信息保障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_Toc213690731 \h </w:instrText>
      </w:r>
      <w:r>
        <w:rPr>
          <w:rFonts w:hint="eastAsia" w:ascii="仿宋_GB2312" w:eastAsia="仿宋_GB2312"/>
          <w:sz w:val="32"/>
          <w:szCs w:val="32"/>
        </w:rPr>
        <w:fldChar w:fldCharType="separate"/>
      </w:r>
      <w:r>
        <w:rPr>
          <w:rFonts w:hint="eastAsia" w:ascii="仿宋_GB2312" w:eastAsia="仿宋_GB2312"/>
          <w:sz w:val="32"/>
          <w:szCs w:val="32"/>
        </w:rPr>
        <w:t>33</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0D651F12">
      <w:pPr>
        <w:pStyle w:val="11"/>
        <w:tabs>
          <w:tab w:val="right" w:leader="dot" w:pos="8494"/>
        </w:tabs>
        <w:rPr>
          <w:rFonts w:ascii="仿宋_GB2312" w:eastAsia="仿宋_GB2312"/>
          <w:sz w:val="32"/>
          <w:szCs w:val="32"/>
        </w:rPr>
      </w:pPr>
      <w:r>
        <w:fldChar w:fldCharType="begin"/>
      </w:r>
      <w:r>
        <w:instrText xml:space="preserve"> HYPERLINK \l "_Toc213690732" </w:instrText>
      </w:r>
      <w:r>
        <w:fldChar w:fldCharType="separate"/>
      </w:r>
      <w:r>
        <w:rPr>
          <w:rStyle w:val="16"/>
          <w:rFonts w:hint="eastAsia" w:ascii="仿宋_GB2312" w:hAnsi="Times New Roman" w:eastAsia="仿宋_GB2312"/>
          <w:color w:val="auto"/>
          <w:sz w:val="32"/>
          <w:szCs w:val="32"/>
        </w:rPr>
        <w:t>5.2应急队伍保障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_Toc213690732 \h </w:instrText>
      </w:r>
      <w:r>
        <w:rPr>
          <w:rFonts w:hint="eastAsia" w:ascii="仿宋_GB2312" w:eastAsia="仿宋_GB2312"/>
          <w:sz w:val="32"/>
          <w:szCs w:val="32"/>
        </w:rPr>
        <w:fldChar w:fldCharType="separate"/>
      </w:r>
      <w:r>
        <w:rPr>
          <w:rFonts w:hint="eastAsia" w:ascii="仿宋_GB2312" w:eastAsia="仿宋_GB2312"/>
          <w:sz w:val="32"/>
          <w:szCs w:val="32"/>
        </w:rPr>
        <w:t>33</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74EBD2D6">
      <w:pPr>
        <w:pStyle w:val="11"/>
        <w:tabs>
          <w:tab w:val="right" w:leader="dot" w:pos="8494"/>
        </w:tabs>
        <w:rPr>
          <w:rFonts w:ascii="仿宋_GB2312" w:eastAsia="仿宋_GB2312"/>
          <w:sz w:val="32"/>
          <w:szCs w:val="32"/>
        </w:rPr>
      </w:pPr>
      <w:r>
        <w:fldChar w:fldCharType="begin"/>
      </w:r>
      <w:r>
        <w:instrText xml:space="preserve"> HYPERLINK \l "_Toc213690733" </w:instrText>
      </w:r>
      <w:r>
        <w:fldChar w:fldCharType="separate"/>
      </w:r>
      <w:r>
        <w:rPr>
          <w:rStyle w:val="16"/>
          <w:rFonts w:hint="eastAsia" w:ascii="仿宋_GB2312" w:hAnsi="Times New Roman" w:eastAsia="仿宋_GB2312"/>
          <w:color w:val="auto"/>
          <w:sz w:val="32"/>
          <w:szCs w:val="32"/>
        </w:rPr>
        <w:t>5.3应急资源保障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_Toc213690733 \h </w:instrText>
      </w:r>
      <w:r>
        <w:rPr>
          <w:rFonts w:hint="eastAsia" w:ascii="仿宋_GB2312" w:eastAsia="仿宋_GB2312"/>
          <w:sz w:val="32"/>
          <w:szCs w:val="32"/>
        </w:rPr>
        <w:fldChar w:fldCharType="separate"/>
      </w:r>
      <w:r>
        <w:rPr>
          <w:rFonts w:hint="eastAsia" w:ascii="仿宋_GB2312" w:eastAsia="仿宋_GB2312"/>
          <w:sz w:val="32"/>
          <w:szCs w:val="32"/>
        </w:rPr>
        <w:t>34</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7FBA6EAB">
      <w:pPr>
        <w:pStyle w:val="11"/>
        <w:tabs>
          <w:tab w:val="right" w:leader="dot" w:pos="8494"/>
        </w:tabs>
        <w:rPr>
          <w:rFonts w:ascii="仿宋_GB2312" w:eastAsia="仿宋_GB2312"/>
          <w:sz w:val="32"/>
          <w:szCs w:val="32"/>
        </w:rPr>
      </w:pPr>
      <w:r>
        <w:fldChar w:fldCharType="begin"/>
      </w:r>
      <w:r>
        <w:instrText xml:space="preserve"> HYPERLINK \l "_Toc213690734" </w:instrText>
      </w:r>
      <w:r>
        <w:fldChar w:fldCharType="separate"/>
      </w:r>
      <w:r>
        <w:rPr>
          <w:rStyle w:val="16"/>
          <w:rFonts w:hint="eastAsia" w:ascii="仿宋_GB2312" w:hAnsi="Times New Roman" w:eastAsia="仿宋_GB2312"/>
          <w:color w:val="auto"/>
          <w:sz w:val="32"/>
          <w:szCs w:val="32"/>
        </w:rPr>
        <w:t>5.4经费保障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_Toc213690734 \h </w:instrText>
      </w:r>
      <w:r>
        <w:rPr>
          <w:rFonts w:hint="eastAsia" w:ascii="仿宋_GB2312" w:eastAsia="仿宋_GB2312"/>
          <w:sz w:val="32"/>
          <w:szCs w:val="32"/>
        </w:rPr>
        <w:fldChar w:fldCharType="separate"/>
      </w:r>
      <w:r>
        <w:rPr>
          <w:rFonts w:hint="eastAsia" w:ascii="仿宋_GB2312" w:eastAsia="仿宋_GB2312"/>
          <w:sz w:val="32"/>
          <w:szCs w:val="32"/>
        </w:rPr>
        <w:t>34</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096FBAB3">
      <w:pPr>
        <w:pStyle w:val="11"/>
        <w:tabs>
          <w:tab w:val="right" w:leader="dot" w:pos="8494"/>
        </w:tabs>
        <w:rPr>
          <w:rFonts w:ascii="仿宋_GB2312" w:eastAsia="仿宋_GB2312"/>
          <w:sz w:val="32"/>
          <w:szCs w:val="32"/>
        </w:rPr>
      </w:pPr>
      <w:r>
        <w:fldChar w:fldCharType="begin"/>
      </w:r>
      <w:r>
        <w:instrText xml:space="preserve"> HYPERLINK \l "_Toc213690735" </w:instrText>
      </w:r>
      <w:r>
        <w:fldChar w:fldCharType="separate"/>
      </w:r>
      <w:r>
        <w:rPr>
          <w:rStyle w:val="16"/>
          <w:rFonts w:hint="eastAsia" w:ascii="仿宋_GB2312" w:hAnsi="Times New Roman" w:eastAsia="仿宋_GB2312"/>
          <w:color w:val="auto"/>
          <w:sz w:val="32"/>
          <w:szCs w:val="32"/>
        </w:rPr>
        <w:t>5.5其他保障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_Toc213690735 \h </w:instrText>
      </w:r>
      <w:r>
        <w:rPr>
          <w:rFonts w:hint="eastAsia" w:ascii="仿宋_GB2312" w:eastAsia="仿宋_GB2312"/>
          <w:sz w:val="32"/>
          <w:szCs w:val="32"/>
        </w:rPr>
        <w:fldChar w:fldCharType="separate"/>
      </w:r>
      <w:r>
        <w:rPr>
          <w:rFonts w:hint="eastAsia" w:ascii="仿宋_GB2312" w:eastAsia="仿宋_GB2312"/>
          <w:sz w:val="32"/>
          <w:szCs w:val="32"/>
        </w:rPr>
        <w:t>34</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1776B6B1">
      <w:pPr>
        <w:pStyle w:val="6"/>
        <w:tabs>
          <w:tab w:val="right" w:leader="dot" w:pos="8494"/>
        </w:tabs>
        <w:rPr>
          <w:rFonts w:ascii="仿宋_GB2312" w:eastAsia="仿宋_GB2312"/>
          <w:sz w:val="32"/>
          <w:szCs w:val="32"/>
        </w:rPr>
      </w:pPr>
      <w:r>
        <w:fldChar w:fldCharType="begin"/>
      </w:r>
      <w:r>
        <w:instrText xml:space="preserve"> HYPERLINK \l "_Toc213690736" </w:instrText>
      </w:r>
      <w:r>
        <w:fldChar w:fldCharType="separate"/>
      </w:r>
      <w:r>
        <w:rPr>
          <w:rStyle w:val="16"/>
          <w:rFonts w:hint="eastAsia" w:ascii="仿宋_GB2312" w:hAnsi="Times New Roman" w:eastAsia="仿宋_GB2312"/>
          <w:color w:val="auto"/>
          <w:sz w:val="32"/>
          <w:szCs w:val="32"/>
        </w:rPr>
        <w:t>5.5.1物资、设备设施运输保障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_Toc213690736 \h </w:instrText>
      </w:r>
      <w:r>
        <w:rPr>
          <w:rFonts w:hint="eastAsia" w:ascii="仿宋_GB2312" w:eastAsia="仿宋_GB2312"/>
          <w:sz w:val="32"/>
          <w:szCs w:val="32"/>
        </w:rPr>
        <w:fldChar w:fldCharType="separate"/>
      </w:r>
      <w:r>
        <w:rPr>
          <w:rFonts w:hint="eastAsia" w:ascii="仿宋_GB2312" w:eastAsia="仿宋_GB2312"/>
          <w:sz w:val="32"/>
          <w:szCs w:val="32"/>
        </w:rPr>
        <w:t>34</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4B832C7A">
      <w:pPr>
        <w:pStyle w:val="6"/>
        <w:tabs>
          <w:tab w:val="right" w:leader="dot" w:pos="8494"/>
        </w:tabs>
        <w:rPr>
          <w:rFonts w:ascii="仿宋_GB2312" w:eastAsia="仿宋_GB2312"/>
          <w:sz w:val="32"/>
          <w:szCs w:val="32"/>
        </w:rPr>
      </w:pPr>
      <w:r>
        <w:fldChar w:fldCharType="begin"/>
      </w:r>
      <w:r>
        <w:instrText xml:space="preserve"> HYPERLINK \l "_Toc213690737" </w:instrText>
      </w:r>
      <w:r>
        <w:fldChar w:fldCharType="separate"/>
      </w:r>
      <w:r>
        <w:rPr>
          <w:rStyle w:val="16"/>
          <w:rFonts w:hint="eastAsia" w:ascii="仿宋_GB2312" w:hAnsi="Times New Roman" w:eastAsia="仿宋_GB2312"/>
          <w:color w:val="auto"/>
          <w:sz w:val="32"/>
          <w:szCs w:val="32"/>
        </w:rPr>
        <w:t>5.5.2医疗卫生救助保障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_Toc213690737 \h </w:instrText>
      </w:r>
      <w:r>
        <w:rPr>
          <w:rFonts w:hint="eastAsia" w:ascii="仿宋_GB2312" w:eastAsia="仿宋_GB2312"/>
          <w:sz w:val="32"/>
          <w:szCs w:val="32"/>
        </w:rPr>
        <w:fldChar w:fldCharType="separate"/>
      </w:r>
      <w:r>
        <w:rPr>
          <w:rFonts w:hint="eastAsia" w:ascii="仿宋_GB2312" w:eastAsia="仿宋_GB2312"/>
          <w:sz w:val="32"/>
          <w:szCs w:val="32"/>
        </w:rPr>
        <w:t>35</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7345A04">
      <w:pPr>
        <w:pStyle w:val="6"/>
        <w:tabs>
          <w:tab w:val="right" w:leader="dot" w:pos="8494"/>
        </w:tabs>
        <w:rPr>
          <w:rFonts w:ascii="仿宋_GB2312" w:eastAsia="仿宋_GB2312"/>
          <w:sz w:val="32"/>
          <w:szCs w:val="32"/>
        </w:rPr>
      </w:pPr>
      <w:r>
        <w:fldChar w:fldCharType="begin"/>
      </w:r>
      <w:r>
        <w:instrText xml:space="preserve"> HYPERLINK \l "_Toc213690738" </w:instrText>
      </w:r>
      <w:r>
        <w:fldChar w:fldCharType="separate"/>
      </w:r>
      <w:r>
        <w:rPr>
          <w:rStyle w:val="16"/>
          <w:rFonts w:hint="eastAsia" w:ascii="仿宋_GB2312" w:hAnsi="Times New Roman" w:eastAsia="仿宋_GB2312" w:cs="Times New Roman"/>
          <w:color w:val="auto"/>
          <w:sz w:val="32"/>
          <w:szCs w:val="32"/>
        </w:rPr>
        <w:t>5.5.3治安和人员安全保障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_Toc213690738 \h </w:instrText>
      </w:r>
      <w:r>
        <w:rPr>
          <w:rFonts w:hint="eastAsia" w:ascii="仿宋_GB2312" w:eastAsia="仿宋_GB2312"/>
          <w:sz w:val="32"/>
          <w:szCs w:val="32"/>
        </w:rPr>
        <w:fldChar w:fldCharType="separate"/>
      </w:r>
      <w:r>
        <w:rPr>
          <w:rFonts w:hint="eastAsia" w:ascii="仿宋_GB2312" w:eastAsia="仿宋_GB2312"/>
          <w:sz w:val="32"/>
          <w:szCs w:val="32"/>
        </w:rPr>
        <w:t>35</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0EE5236F">
      <w:pPr>
        <w:pStyle w:val="6"/>
        <w:tabs>
          <w:tab w:val="right" w:leader="dot" w:pos="8494"/>
        </w:tabs>
        <w:rPr>
          <w:rFonts w:ascii="仿宋_GB2312" w:eastAsia="仿宋_GB2312"/>
          <w:sz w:val="32"/>
          <w:szCs w:val="32"/>
        </w:rPr>
      </w:pPr>
      <w:r>
        <w:fldChar w:fldCharType="begin"/>
      </w:r>
      <w:r>
        <w:instrText xml:space="preserve"> HYPERLINK \l "_Toc213690739" </w:instrText>
      </w:r>
      <w:r>
        <w:fldChar w:fldCharType="separate"/>
      </w:r>
      <w:r>
        <w:rPr>
          <w:rStyle w:val="16"/>
          <w:rFonts w:hint="eastAsia" w:ascii="仿宋_GB2312" w:hAnsi="Times New Roman" w:eastAsia="仿宋_GB2312"/>
          <w:color w:val="auto"/>
          <w:sz w:val="32"/>
          <w:szCs w:val="32"/>
        </w:rPr>
        <w:t>5.5.4社会动员保障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_Toc213690739 \h </w:instrText>
      </w:r>
      <w:r>
        <w:rPr>
          <w:rFonts w:hint="eastAsia" w:ascii="仿宋_GB2312" w:eastAsia="仿宋_GB2312"/>
          <w:sz w:val="32"/>
          <w:szCs w:val="32"/>
        </w:rPr>
        <w:fldChar w:fldCharType="separate"/>
      </w:r>
      <w:r>
        <w:rPr>
          <w:rFonts w:hint="eastAsia" w:ascii="仿宋_GB2312" w:eastAsia="仿宋_GB2312"/>
          <w:sz w:val="32"/>
          <w:szCs w:val="32"/>
        </w:rPr>
        <w:t>35</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59D9DD84">
      <w:pPr>
        <w:pStyle w:val="10"/>
        <w:tabs>
          <w:tab w:val="right" w:leader="dot" w:pos="8494"/>
        </w:tabs>
        <w:rPr>
          <w:rFonts w:ascii="仿宋_GB2312" w:eastAsia="仿宋_GB2312"/>
          <w:sz w:val="32"/>
          <w:szCs w:val="32"/>
        </w:rPr>
      </w:pPr>
      <w:r>
        <w:fldChar w:fldCharType="begin"/>
      </w:r>
      <w:r>
        <w:instrText xml:space="preserve"> HYPERLINK \l "_Toc213690740" </w:instrText>
      </w:r>
      <w:r>
        <w:fldChar w:fldCharType="separate"/>
      </w:r>
      <w:r>
        <w:rPr>
          <w:rStyle w:val="16"/>
          <w:rFonts w:hint="eastAsia" w:ascii="仿宋_GB2312" w:hAnsi="Times New Roman" w:eastAsia="仿宋_GB2312"/>
          <w:color w:val="auto"/>
          <w:sz w:val="32"/>
          <w:szCs w:val="32"/>
        </w:rPr>
        <w:t>6附则</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_Toc213690740 \h </w:instrText>
      </w:r>
      <w:r>
        <w:rPr>
          <w:rFonts w:hint="eastAsia" w:ascii="仿宋_GB2312" w:eastAsia="仿宋_GB2312"/>
          <w:sz w:val="32"/>
          <w:szCs w:val="32"/>
        </w:rPr>
        <w:fldChar w:fldCharType="separate"/>
      </w:r>
      <w:r>
        <w:rPr>
          <w:rFonts w:hint="eastAsia" w:ascii="仿宋_GB2312" w:eastAsia="仿宋_GB2312"/>
          <w:sz w:val="32"/>
          <w:szCs w:val="32"/>
        </w:rPr>
        <w:t>36</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4505634D">
      <w:pPr>
        <w:pStyle w:val="11"/>
        <w:tabs>
          <w:tab w:val="right" w:leader="dot" w:pos="8494"/>
        </w:tabs>
        <w:rPr>
          <w:rFonts w:ascii="仿宋_GB2312" w:eastAsia="仿宋_GB2312"/>
          <w:sz w:val="32"/>
          <w:szCs w:val="32"/>
        </w:rPr>
      </w:pPr>
      <w:r>
        <w:fldChar w:fldCharType="begin"/>
      </w:r>
      <w:r>
        <w:instrText xml:space="preserve"> HYPERLINK \l "_Toc213690741" </w:instrText>
      </w:r>
      <w:r>
        <w:fldChar w:fldCharType="separate"/>
      </w:r>
      <w:r>
        <w:rPr>
          <w:rStyle w:val="16"/>
          <w:rFonts w:hint="eastAsia" w:ascii="仿宋_GB2312" w:hAnsi="Times New Roman" w:eastAsia="仿宋_GB2312"/>
          <w:color w:val="auto"/>
          <w:sz w:val="32"/>
          <w:szCs w:val="32"/>
        </w:rPr>
        <w:t>6.1名词术语</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_Toc213690741 \h </w:instrText>
      </w:r>
      <w:r>
        <w:rPr>
          <w:rFonts w:hint="eastAsia" w:ascii="仿宋_GB2312" w:eastAsia="仿宋_GB2312"/>
          <w:sz w:val="32"/>
          <w:szCs w:val="32"/>
        </w:rPr>
        <w:fldChar w:fldCharType="separate"/>
      </w:r>
      <w:r>
        <w:rPr>
          <w:rFonts w:hint="eastAsia" w:ascii="仿宋_GB2312" w:eastAsia="仿宋_GB2312"/>
          <w:sz w:val="32"/>
          <w:szCs w:val="32"/>
        </w:rPr>
        <w:t>36</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5E496E64">
      <w:pPr>
        <w:pStyle w:val="11"/>
        <w:tabs>
          <w:tab w:val="right" w:leader="dot" w:pos="8494"/>
        </w:tabs>
        <w:rPr>
          <w:rFonts w:ascii="仿宋_GB2312" w:eastAsia="仿宋_GB2312"/>
          <w:sz w:val="32"/>
          <w:szCs w:val="32"/>
        </w:rPr>
      </w:pPr>
      <w:r>
        <w:fldChar w:fldCharType="begin"/>
      </w:r>
      <w:r>
        <w:instrText xml:space="preserve"> HYPERLINK \l "_Toc213690742" </w:instrText>
      </w:r>
      <w:r>
        <w:fldChar w:fldCharType="separate"/>
      </w:r>
      <w:r>
        <w:rPr>
          <w:rStyle w:val="16"/>
          <w:rFonts w:hint="eastAsia" w:ascii="仿宋_GB2312" w:hAnsi="Times New Roman" w:eastAsia="仿宋_GB2312"/>
          <w:color w:val="auto"/>
          <w:sz w:val="32"/>
          <w:szCs w:val="32"/>
        </w:rPr>
        <w:t>6.2预案解释权属</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_Toc213690742 \h </w:instrText>
      </w:r>
      <w:r>
        <w:rPr>
          <w:rFonts w:hint="eastAsia" w:ascii="仿宋_GB2312" w:eastAsia="仿宋_GB2312"/>
          <w:sz w:val="32"/>
          <w:szCs w:val="32"/>
        </w:rPr>
        <w:fldChar w:fldCharType="separate"/>
      </w:r>
      <w:r>
        <w:rPr>
          <w:rFonts w:hint="eastAsia" w:ascii="仿宋_GB2312" w:eastAsia="仿宋_GB2312"/>
          <w:sz w:val="32"/>
          <w:szCs w:val="32"/>
        </w:rPr>
        <w:t>38</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12F0CD8E">
      <w:pPr>
        <w:pStyle w:val="11"/>
        <w:tabs>
          <w:tab w:val="right" w:leader="dot" w:pos="8494"/>
        </w:tabs>
        <w:rPr>
          <w:rFonts w:ascii="仿宋_GB2312" w:eastAsia="仿宋_GB2312"/>
          <w:sz w:val="32"/>
          <w:szCs w:val="32"/>
        </w:rPr>
      </w:pPr>
      <w:r>
        <w:fldChar w:fldCharType="begin"/>
      </w:r>
      <w:r>
        <w:instrText xml:space="preserve"> HYPERLINK \l "_Toc213690743" </w:instrText>
      </w:r>
      <w:r>
        <w:fldChar w:fldCharType="separate"/>
      </w:r>
      <w:r>
        <w:rPr>
          <w:rStyle w:val="16"/>
          <w:rFonts w:hint="eastAsia" w:ascii="仿宋_GB2312" w:hAnsi="Times New Roman" w:eastAsia="仿宋_GB2312"/>
          <w:color w:val="auto"/>
          <w:sz w:val="32"/>
          <w:szCs w:val="32"/>
        </w:rPr>
        <w:t>6.3预案演练和修订</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_Toc213690743 \h </w:instrText>
      </w:r>
      <w:r>
        <w:rPr>
          <w:rFonts w:hint="eastAsia" w:ascii="仿宋_GB2312" w:eastAsia="仿宋_GB2312"/>
          <w:sz w:val="32"/>
          <w:szCs w:val="32"/>
        </w:rPr>
        <w:fldChar w:fldCharType="separate"/>
      </w:r>
      <w:r>
        <w:rPr>
          <w:rFonts w:hint="eastAsia" w:ascii="仿宋_GB2312" w:eastAsia="仿宋_GB2312"/>
          <w:sz w:val="32"/>
          <w:szCs w:val="32"/>
        </w:rPr>
        <w:t>38</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31D2222">
      <w:pPr>
        <w:pStyle w:val="6"/>
        <w:tabs>
          <w:tab w:val="right" w:leader="dot" w:pos="8494"/>
        </w:tabs>
        <w:rPr>
          <w:rFonts w:ascii="仿宋_GB2312" w:eastAsia="仿宋_GB2312"/>
          <w:sz w:val="32"/>
          <w:szCs w:val="32"/>
        </w:rPr>
      </w:pPr>
      <w:r>
        <w:fldChar w:fldCharType="begin"/>
      </w:r>
      <w:r>
        <w:instrText xml:space="preserve"> HYPERLINK \l "_Toc213690744" </w:instrText>
      </w:r>
      <w:r>
        <w:fldChar w:fldCharType="separate"/>
      </w:r>
      <w:r>
        <w:rPr>
          <w:rStyle w:val="16"/>
          <w:rFonts w:hint="eastAsia" w:ascii="仿宋_GB2312" w:hAnsi="Times New Roman" w:eastAsia="仿宋_GB2312"/>
          <w:color w:val="auto"/>
          <w:sz w:val="32"/>
          <w:szCs w:val="32"/>
        </w:rPr>
        <w:t>6.3.1演练分类</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_Toc213690744 \h </w:instrText>
      </w:r>
      <w:r>
        <w:rPr>
          <w:rFonts w:hint="eastAsia" w:ascii="仿宋_GB2312" w:eastAsia="仿宋_GB2312"/>
          <w:sz w:val="32"/>
          <w:szCs w:val="32"/>
        </w:rPr>
        <w:fldChar w:fldCharType="separate"/>
      </w:r>
      <w:r>
        <w:rPr>
          <w:rFonts w:hint="eastAsia" w:ascii="仿宋_GB2312" w:eastAsia="仿宋_GB2312"/>
          <w:sz w:val="32"/>
          <w:szCs w:val="32"/>
        </w:rPr>
        <w:t>38</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11C03393">
      <w:pPr>
        <w:pStyle w:val="6"/>
        <w:tabs>
          <w:tab w:val="right" w:leader="dot" w:pos="8494"/>
        </w:tabs>
        <w:rPr>
          <w:rFonts w:ascii="仿宋_GB2312" w:eastAsia="仿宋_GB2312"/>
          <w:sz w:val="32"/>
          <w:szCs w:val="32"/>
        </w:rPr>
      </w:pPr>
      <w:r>
        <w:fldChar w:fldCharType="begin"/>
      </w:r>
      <w:r>
        <w:instrText xml:space="preserve"> HYPERLINK \l "_Toc213690745" </w:instrText>
      </w:r>
      <w:r>
        <w:fldChar w:fldCharType="separate"/>
      </w:r>
      <w:r>
        <w:rPr>
          <w:rStyle w:val="16"/>
          <w:rFonts w:hint="eastAsia" w:ascii="仿宋_GB2312" w:hAnsi="Times New Roman" w:eastAsia="仿宋_GB2312"/>
          <w:color w:val="auto"/>
          <w:sz w:val="32"/>
          <w:szCs w:val="32"/>
        </w:rPr>
        <w:t>6.3.2演练方式</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_Toc213690745 \h </w:instrText>
      </w:r>
      <w:r>
        <w:rPr>
          <w:rFonts w:hint="eastAsia" w:ascii="仿宋_GB2312" w:eastAsia="仿宋_GB2312"/>
          <w:sz w:val="32"/>
          <w:szCs w:val="32"/>
        </w:rPr>
        <w:fldChar w:fldCharType="separate"/>
      </w:r>
      <w:r>
        <w:rPr>
          <w:rFonts w:hint="eastAsia" w:ascii="仿宋_GB2312" w:eastAsia="仿宋_GB2312"/>
          <w:sz w:val="32"/>
          <w:szCs w:val="32"/>
        </w:rPr>
        <w:t>38</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013E0992">
      <w:pPr>
        <w:pStyle w:val="6"/>
        <w:tabs>
          <w:tab w:val="right" w:leader="dot" w:pos="8494"/>
        </w:tabs>
        <w:rPr>
          <w:rFonts w:ascii="仿宋_GB2312" w:eastAsia="仿宋_GB2312"/>
          <w:sz w:val="32"/>
          <w:szCs w:val="32"/>
        </w:rPr>
      </w:pPr>
      <w:r>
        <w:fldChar w:fldCharType="begin"/>
      </w:r>
      <w:r>
        <w:instrText xml:space="preserve"> HYPERLINK \l "_Toc213690746" </w:instrText>
      </w:r>
      <w:r>
        <w:fldChar w:fldCharType="separate"/>
      </w:r>
      <w:r>
        <w:rPr>
          <w:rStyle w:val="16"/>
          <w:rFonts w:hint="eastAsia" w:ascii="仿宋_GB2312" w:hAnsi="Times New Roman" w:eastAsia="仿宋_GB2312"/>
          <w:color w:val="auto"/>
          <w:sz w:val="32"/>
          <w:szCs w:val="32"/>
        </w:rPr>
        <w:t>6.3.3演练内容</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_Toc213690746 \h </w:instrText>
      </w:r>
      <w:r>
        <w:rPr>
          <w:rFonts w:hint="eastAsia" w:ascii="仿宋_GB2312" w:eastAsia="仿宋_GB2312"/>
          <w:sz w:val="32"/>
          <w:szCs w:val="32"/>
        </w:rPr>
        <w:fldChar w:fldCharType="separate"/>
      </w:r>
      <w:r>
        <w:rPr>
          <w:rFonts w:hint="eastAsia" w:ascii="仿宋_GB2312" w:eastAsia="仿宋_GB2312"/>
          <w:sz w:val="32"/>
          <w:szCs w:val="32"/>
        </w:rPr>
        <w:t>38</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582FAA69">
      <w:pPr>
        <w:pStyle w:val="6"/>
        <w:tabs>
          <w:tab w:val="right" w:leader="dot" w:pos="8494"/>
        </w:tabs>
        <w:rPr>
          <w:rFonts w:ascii="仿宋_GB2312" w:eastAsia="仿宋_GB2312"/>
          <w:sz w:val="32"/>
          <w:szCs w:val="32"/>
        </w:rPr>
      </w:pPr>
      <w:r>
        <w:fldChar w:fldCharType="begin"/>
      </w:r>
      <w:r>
        <w:instrText xml:space="preserve"> HYPERLINK \l "_Toc213690747" </w:instrText>
      </w:r>
      <w:r>
        <w:fldChar w:fldCharType="separate"/>
      </w:r>
      <w:r>
        <w:rPr>
          <w:rStyle w:val="16"/>
          <w:rFonts w:hint="eastAsia" w:ascii="仿宋_GB2312" w:hAnsi="Times New Roman" w:eastAsia="仿宋_GB2312"/>
          <w:color w:val="auto"/>
          <w:sz w:val="32"/>
          <w:szCs w:val="32"/>
        </w:rPr>
        <w:t>6.3.4演练范围与频次</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_Toc213690747 \h </w:instrText>
      </w:r>
      <w:r>
        <w:rPr>
          <w:rFonts w:hint="eastAsia" w:ascii="仿宋_GB2312" w:eastAsia="仿宋_GB2312"/>
          <w:sz w:val="32"/>
          <w:szCs w:val="32"/>
        </w:rPr>
        <w:fldChar w:fldCharType="separate"/>
      </w:r>
      <w:r>
        <w:rPr>
          <w:rFonts w:hint="eastAsia" w:ascii="仿宋_GB2312" w:eastAsia="仿宋_GB2312"/>
          <w:sz w:val="32"/>
          <w:szCs w:val="32"/>
        </w:rPr>
        <w:t>39</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56C1ABDE">
      <w:pPr>
        <w:pStyle w:val="6"/>
        <w:tabs>
          <w:tab w:val="right" w:leader="dot" w:pos="8494"/>
        </w:tabs>
        <w:rPr>
          <w:rFonts w:ascii="仿宋_GB2312" w:eastAsia="仿宋_GB2312"/>
          <w:sz w:val="32"/>
          <w:szCs w:val="32"/>
        </w:rPr>
      </w:pPr>
      <w:r>
        <w:fldChar w:fldCharType="begin"/>
      </w:r>
      <w:r>
        <w:instrText xml:space="preserve"> HYPERLINK \l "_Toc213690748" </w:instrText>
      </w:r>
      <w:r>
        <w:fldChar w:fldCharType="separate"/>
      </w:r>
      <w:r>
        <w:rPr>
          <w:rStyle w:val="16"/>
          <w:rFonts w:hint="eastAsia" w:ascii="仿宋_GB2312" w:hAnsi="Times New Roman" w:eastAsia="仿宋_GB2312"/>
          <w:color w:val="auto"/>
          <w:sz w:val="32"/>
          <w:szCs w:val="32"/>
        </w:rPr>
        <w:t>6.3.5演练总结评估</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_Toc213690748 \h </w:instrText>
      </w:r>
      <w:r>
        <w:rPr>
          <w:rFonts w:hint="eastAsia" w:ascii="仿宋_GB2312" w:eastAsia="仿宋_GB2312"/>
          <w:sz w:val="32"/>
          <w:szCs w:val="32"/>
        </w:rPr>
        <w:fldChar w:fldCharType="separate"/>
      </w:r>
      <w:r>
        <w:rPr>
          <w:rFonts w:hint="eastAsia" w:ascii="仿宋_GB2312" w:eastAsia="仿宋_GB2312"/>
          <w:sz w:val="32"/>
          <w:szCs w:val="32"/>
        </w:rPr>
        <w:t>39</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AE00762">
      <w:pPr>
        <w:pStyle w:val="11"/>
        <w:tabs>
          <w:tab w:val="right" w:leader="dot" w:pos="8494"/>
        </w:tabs>
        <w:rPr>
          <w:rFonts w:ascii="仿宋_GB2312" w:eastAsia="仿宋_GB2312"/>
          <w:sz w:val="32"/>
          <w:szCs w:val="32"/>
        </w:rPr>
      </w:pPr>
      <w:r>
        <w:fldChar w:fldCharType="begin"/>
      </w:r>
      <w:r>
        <w:instrText xml:space="preserve"> HYPERLINK \l "_Toc213690749" </w:instrText>
      </w:r>
      <w:r>
        <w:fldChar w:fldCharType="separate"/>
      </w:r>
      <w:r>
        <w:rPr>
          <w:rStyle w:val="16"/>
          <w:rFonts w:hint="eastAsia" w:ascii="仿宋_GB2312" w:hAnsi="Times New Roman" w:eastAsia="仿宋_GB2312"/>
          <w:color w:val="auto"/>
          <w:sz w:val="32"/>
          <w:szCs w:val="32"/>
        </w:rPr>
        <w:t>6.4预案实施日期</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_Toc213690749 \h </w:instrText>
      </w:r>
      <w:r>
        <w:rPr>
          <w:rFonts w:hint="eastAsia" w:ascii="仿宋_GB2312" w:eastAsia="仿宋_GB2312"/>
          <w:sz w:val="32"/>
          <w:szCs w:val="32"/>
        </w:rPr>
        <w:fldChar w:fldCharType="separate"/>
      </w:r>
      <w:r>
        <w:rPr>
          <w:rFonts w:hint="eastAsia" w:ascii="仿宋_GB2312" w:eastAsia="仿宋_GB2312"/>
          <w:sz w:val="32"/>
          <w:szCs w:val="32"/>
        </w:rPr>
        <w:t>39</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711FFB0">
      <w:pPr>
        <w:pStyle w:val="6"/>
        <w:tabs>
          <w:tab w:val="right" w:leader="dot" w:pos="8494"/>
        </w:tabs>
        <w:rPr>
          <w:rFonts w:ascii="仿宋_GB2312" w:eastAsia="仿宋_GB2312"/>
          <w:sz w:val="32"/>
          <w:szCs w:val="32"/>
        </w:rPr>
      </w:pPr>
      <w:r>
        <w:fldChar w:fldCharType="begin"/>
      </w:r>
      <w:r>
        <w:instrText xml:space="preserve"> HYPERLINK \l "_Toc213690750" </w:instrText>
      </w:r>
      <w:r>
        <w:fldChar w:fldCharType="separate"/>
      </w:r>
      <w:r>
        <w:rPr>
          <w:rStyle w:val="16"/>
          <w:rFonts w:hint="eastAsia" w:ascii="仿宋_GB2312" w:hAnsi="Times New Roman" w:eastAsia="仿宋_GB2312"/>
          <w:color w:val="auto"/>
          <w:sz w:val="32"/>
          <w:szCs w:val="32"/>
        </w:rPr>
        <w:t>附件1</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_Toc213690750 \h </w:instrText>
      </w:r>
      <w:r>
        <w:rPr>
          <w:rFonts w:hint="eastAsia" w:ascii="仿宋_GB2312" w:eastAsia="仿宋_GB2312"/>
          <w:sz w:val="32"/>
          <w:szCs w:val="32"/>
        </w:rPr>
        <w:fldChar w:fldCharType="separate"/>
      </w:r>
      <w:r>
        <w:rPr>
          <w:rFonts w:hint="eastAsia" w:ascii="仿宋_GB2312" w:eastAsia="仿宋_GB2312"/>
          <w:sz w:val="32"/>
          <w:szCs w:val="32"/>
        </w:rPr>
        <w:t>40</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5E5B294">
      <w:pPr>
        <w:pStyle w:val="6"/>
        <w:tabs>
          <w:tab w:val="right" w:leader="dot" w:pos="8494"/>
        </w:tabs>
        <w:rPr>
          <w:rFonts w:ascii="仿宋_GB2312" w:eastAsia="仿宋_GB2312"/>
          <w:sz w:val="32"/>
          <w:szCs w:val="32"/>
        </w:rPr>
      </w:pPr>
      <w:r>
        <w:fldChar w:fldCharType="begin"/>
      </w:r>
      <w:r>
        <w:instrText xml:space="preserve"> HYPERLINK \l "_Toc213690751" </w:instrText>
      </w:r>
      <w:r>
        <w:fldChar w:fldCharType="separate"/>
      </w:r>
      <w:r>
        <w:rPr>
          <w:rStyle w:val="16"/>
          <w:rFonts w:hint="eastAsia" w:ascii="仿宋_GB2312" w:hAnsi="Times New Roman" w:eastAsia="仿宋_GB2312"/>
          <w:color w:val="auto"/>
          <w:sz w:val="32"/>
          <w:szCs w:val="32"/>
        </w:rPr>
        <w:t>附件2</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_Toc213690751 \h </w:instrText>
      </w:r>
      <w:r>
        <w:rPr>
          <w:rFonts w:hint="eastAsia" w:ascii="仿宋_GB2312" w:eastAsia="仿宋_GB2312"/>
          <w:sz w:val="32"/>
          <w:szCs w:val="32"/>
        </w:rPr>
        <w:fldChar w:fldCharType="separate"/>
      </w:r>
      <w:r>
        <w:rPr>
          <w:rFonts w:hint="eastAsia" w:ascii="仿宋_GB2312" w:eastAsia="仿宋_GB2312"/>
          <w:sz w:val="32"/>
          <w:szCs w:val="32"/>
        </w:rPr>
        <w:t>41</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6FFD8D2C">
      <w:pPr>
        <w:pStyle w:val="6"/>
        <w:tabs>
          <w:tab w:val="right" w:leader="dot" w:pos="8494"/>
        </w:tabs>
        <w:rPr>
          <w:rFonts w:ascii="仿宋_GB2312" w:eastAsia="仿宋_GB2312"/>
          <w:sz w:val="32"/>
          <w:szCs w:val="32"/>
        </w:rPr>
      </w:pPr>
      <w:r>
        <w:fldChar w:fldCharType="begin"/>
      </w:r>
      <w:r>
        <w:instrText xml:space="preserve"> HYPERLINK \l "_Toc213690752" </w:instrText>
      </w:r>
      <w:r>
        <w:fldChar w:fldCharType="separate"/>
      </w:r>
      <w:r>
        <w:rPr>
          <w:rStyle w:val="16"/>
          <w:rFonts w:hint="eastAsia" w:ascii="仿宋_GB2312" w:hAnsi="Times New Roman" w:eastAsia="仿宋_GB2312"/>
          <w:color w:val="auto"/>
          <w:sz w:val="32"/>
          <w:szCs w:val="32"/>
        </w:rPr>
        <w:t>附图1 墙框堡水库水源地保护区划分结果图</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_Toc213690752 \h </w:instrText>
      </w:r>
      <w:r>
        <w:rPr>
          <w:rFonts w:hint="eastAsia" w:ascii="仿宋_GB2312" w:eastAsia="仿宋_GB2312"/>
          <w:sz w:val="32"/>
          <w:szCs w:val="32"/>
        </w:rPr>
        <w:fldChar w:fldCharType="separate"/>
      </w:r>
      <w:r>
        <w:rPr>
          <w:rFonts w:hint="eastAsia" w:ascii="仿宋_GB2312" w:eastAsia="仿宋_GB2312"/>
          <w:sz w:val="32"/>
          <w:szCs w:val="32"/>
        </w:rPr>
        <w:t>43</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76BA65FD">
      <w:pPr>
        <w:pStyle w:val="6"/>
        <w:tabs>
          <w:tab w:val="right" w:leader="dot" w:pos="8494"/>
        </w:tabs>
        <w:rPr>
          <w:rFonts w:ascii="仿宋_GB2312" w:eastAsia="仿宋_GB2312"/>
          <w:sz w:val="32"/>
          <w:szCs w:val="32"/>
        </w:rPr>
      </w:pPr>
      <w:r>
        <w:fldChar w:fldCharType="begin"/>
      </w:r>
      <w:r>
        <w:instrText xml:space="preserve"> HYPERLINK \l "_Toc213690753" </w:instrText>
      </w:r>
      <w:r>
        <w:fldChar w:fldCharType="separate"/>
      </w:r>
      <w:r>
        <w:rPr>
          <w:rStyle w:val="16"/>
          <w:rFonts w:hint="eastAsia" w:ascii="仿宋_GB2312" w:hAnsi="Times New Roman" w:eastAsia="仿宋_GB2312"/>
          <w:color w:val="auto"/>
          <w:sz w:val="32"/>
          <w:szCs w:val="32"/>
        </w:rPr>
        <w:t>附图2 应急预案适用范围图</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_Toc213690753 \h </w:instrText>
      </w:r>
      <w:r>
        <w:rPr>
          <w:rFonts w:hint="eastAsia" w:ascii="仿宋_GB2312" w:eastAsia="仿宋_GB2312"/>
          <w:sz w:val="32"/>
          <w:szCs w:val="32"/>
        </w:rPr>
        <w:fldChar w:fldCharType="separate"/>
      </w:r>
      <w:r>
        <w:rPr>
          <w:rFonts w:hint="eastAsia" w:ascii="仿宋_GB2312" w:eastAsia="仿宋_GB2312"/>
          <w:sz w:val="32"/>
          <w:szCs w:val="32"/>
        </w:rPr>
        <w:t>44</w:t>
      </w:r>
      <w:r>
        <w:rPr>
          <w:rFonts w:hint="eastAsia" w:ascii="仿宋_GB2312" w:eastAsia="仿宋_GB2312"/>
          <w:sz w:val="32"/>
          <w:szCs w:val="32"/>
        </w:rPr>
        <w:fldChar w:fldCharType="end"/>
      </w:r>
      <w:r>
        <w:rPr>
          <w:rFonts w:hint="eastAsia" w:ascii="仿宋_GB2312" w:eastAsia="仿宋_GB2312"/>
          <w:sz w:val="32"/>
          <w:szCs w:val="32"/>
        </w:rPr>
        <w:fldChar w:fldCharType="end"/>
      </w:r>
    </w:p>
    <w:p w14:paraId="793CB1A1">
      <w:pPr>
        <w:pStyle w:val="11"/>
        <w:tabs>
          <w:tab w:val="right" w:leader="dot" w:pos="8494"/>
        </w:tabs>
        <w:spacing w:line="360" w:lineRule="auto"/>
        <w:rPr>
          <w:rFonts w:ascii="Times New Roman" w:hAnsi="Times New Roman" w:eastAsia="仿宋"/>
          <w:sz w:val="28"/>
          <w:szCs w:val="28"/>
        </w:rPr>
        <w:sectPr>
          <w:footerReference r:id="rId4" w:type="default"/>
          <w:pgSz w:w="11906" w:h="16838"/>
          <w:pgMar w:top="1440" w:right="1701" w:bottom="1440" w:left="1701" w:header="851" w:footer="567" w:gutter="0"/>
          <w:pgNumType w:start="1"/>
          <w:cols w:space="425" w:num="1"/>
          <w:docGrid w:type="lines" w:linePitch="312" w:charSpace="0"/>
        </w:sectPr>
      </w:pPr>
      <w:r>
        <w:rPr>
          <w:rFonts w:hint="eastAsia" w:ascii="仿宋_GB2312" w:hAnsi="Times New Roman" w:eastAsia="仿宋_GB2312"/>
          <w:sz w:val="32"/>
          <w:szCs w:val="32"/>
        </w:rPr>
        <w:fldChar w:fldCharType="end"/>
      </w:r>
    </w:p>
    <w:p w14:paraId="291EA5F0">
      <w:pPr>
        <w:pStyle w:val="11"/>
        <w:tabs>
          <w:tab w:val="right" w:leader="dot" w:pos="8494"/>
        </w:tabs>
        <w:spacing w:line="360" w:lineRule="auto"/>
        <w:ind w:left="0" w:leftChars="0"/>
        <w:jc w:val="center"/>
        <w:rPr>
          <w:rFonts w:ascii="Times New Roman" w:hAnsi="Times New Roman"/>
        </w:rPr>
        <w:sectPr>
          <w:footerReference r:id="rId5" w:type="default"/>
          <w:pgSz w:w="16838" w:h="11906" w:orient="landscape"/>
          <w:pgMar w:top="1701" w:right="1440" w:bottom="1701" w:left="1440" w:header="851" w:footer="567" w:gutter="0"/>
          <w:pgNumType w:start="1"/>
          <w:cols w:space="425" w:num="1"/>
          <w:docGrid w:type="lines" w:linePitch="312" w:charSpace="0"/>
        </w:sectPr>
      </w:pPr>
      <w:r>
        <w:rPr>
          <w:rFonts w:ascii="Times New Roman" w:hAnsi="Times New Roman"/>
        </w:rPr>
        <w:drawing>
          <wp:inline distT="0" distB="0" distL="0" distR="0">
            <wp:extent cx="7651750" cy="5406390"/>
            <wp:effectExtent l="0" t="0" r="6350" b="3810"/>
            <wp:docPr id="7" name="图片 7" descr="C:\Users\Administrator\xwechat_files\wxid_r0d7lsibzcyn21_7cb5\temp\RWTemp\2025-11\f121e583291e243bb83b39893018d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xwechat_files\wxid_r0d7lsibzcyn21_7cb5\temp\RWTemp\2025-11\f121e583291e243bb83b39893018dc4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661319" cy="5413423"/>
                    </a:xfrm>
                    <a:prstGeom prst="rect">
                      <a:avLst/>
                    </a:prstGeom>
                    <a:noFill/>
                    <a:ln>
                      <a:noFill/>
                    </a:ln>
                  </pic:spPr>
                </pic:pic>
              </a:graphicData>
            </a:graphic>
          </wp:inline>
        </w:drawing>
      </w:r>
    </w:p>
    <w:p w14:paraId="2E86622C">
      <w:pPr>
        <w:jc w:val="center"/>
        <w:rPr>
          <w:rFonts w:ascii="Times New Roman" w:hAnsi="Times New Roman" w:eastAsia="仿宋_GB2312"/>
          <w:spacing w:val="-24"/>
          <w:sz w:val="32"/>
          <w:szCs w:val="32"/>
        </w:rPr>
        <w:sectPr>
          <w:pgSz w:w="11906" w:h="16838"/>
          <w:pgMar w:top="1440" w:right="1701" w:bottom="1440" w:left="1701" w:header="851" w:footer="567" w:gutter="0"/>
          <w:pgNumType w:start="1"/>
          <w:cols w:space="425" w:num="1"/>
          <w:docGrid w:type="lines" w:linePitch="312" w:charSpace="0"/>
        </w:sectPr>
      </w:pPr>
      <w:r>
        <w:rPr>
          <w:rFonts w:ascii="Times New Roman" w:hAnsi="Times New Roman" w:eastAsia="仿宋_GB2312"/>
          <w:spacing w:val="-24"/>
          <w:sz w:val="32"/>
          <w:szCs w:val="32"/>
        </w:rPr>
        <w:drawing>
          <wp:inline distT="0" distB="0" distL="0" distR="0">
            <wp:extent cx="5400040" cy="7642225"/>
            <wp:effectExtent l="0" t="0" r="0" b="0"/>
            <wp:docPr id="8" name="图片 8" descr="C:\Users\Administrator\xwechat_files\wxid_r0d7lsibzcyn21_7cb5\temp\RWTemp\2025-11\b78ca4563ae4a5b7b1606c7794ddcb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xwechat_files\wxid_r0d7lsibzcyn21_7cb5\temp\RWTemp\2025-11\b78ca4563ae4a5b7b1606c7794ddcb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00040" cy="7642379"/>
                    </a:xfrm>
                    <a:prstGeom prst="rect">
                      <a:avLst/>
                    </a:prstGeom>
                    <a:noFill/>
                    <a:ln>
                      <a:noFill/>
                    </a:ln>
                  </pic:spPr>
                </pic:pic>
              </a:graphicData>
            </a:graphic>
          </wp:inline>
        </w:drawing>
      </w:r>
    </w:p>
    <w:p w14:paraId="1E01C4AB">
      <w:pPr>
        <w:jc w:val="center"/>
        <w:rPr>
          <w:rFonts w:ascii="Times New Roman" w:hAnsi="Times New Roman" w:eastAsia="仿宋_GB2312"/>
          <w:spacing w:val="-24"/>
          <w:sz w:val="32"/>
          <w:szCs w:val="32"/>
        </w:rPr>
      </w:pPr>
      <w:r>
        <w:rPr>
          <w:rFonts w:hint="eastAsia" w:ascii="Times New Roman" w:hAnsi="Times New Roman" w:eastAsia="仿宋_GB2312"/>
          <w:spacing w:val="-24"/>
          <w:sz w:val="32"/>
          <w:szCs w:val="32"/>
        </w:rPr>
        <w:t>《大同市云冈区集中式地表水水源地突发环境事件应急预案》修改说明</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14:paraId="68B72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2D4C708B">
            <w:pPr>
              <w:snapToGrid w:val="0"/>
              <w:spacing w:line="276" w:lineRule="auto"/>
              <w:jc w:val="center"/>
              <w:rPr>
                <w:rFonts w:ascii="Times New Roman" w:hAnsi="Times New Roman" w:eastAsia="仿宋"/>
                <w:sz w:val="28"/>
                <w:szCs w:val="28"/>
              </w:rPr>
            </w:pPr>
            <w:r>
              <w:rPr>
                <w:rFonts w:hint="eastAsia" w:ascii="Times New Roman" w:hAnsi="Times New Roman" w:eastAsia="仿宋"/>
                <w:sz w:val="28"/>
                <w:szCs w:val="28"/>
              </w:rPr>
              <w:t>技术审查意见</w:t>
            </w:r>
          </w:p>
        </w:tc>
        <w:tc>
          <w:tcPr>
            <w:tcW w:w="4148" w:type="dxa"/>
            <w:vAlign w:val="center"/>
          </w:tcPr>
          <w:p w14:paraId="78427867">
            <w:pPr>
              <w:snapToGrid w:val="0"/>
              <w:spacing w:line="276" w:lineRule="auto"/>
              <w:jc w:val="center"/>
              <w:rPr>
                <w:rFonts w:ascii="Times New Roman" w:hAnsi="Times New Roman" w:eastAsia="仿宋"/>
                <w:sz w:val="28"/>
                <w:szCs w:val="28"/>
              </w:rPr>
            </w:pPr>
            <w:r>
              <w:rPr>
                <w:rFonts w:hint="eastAsia" w:ascii="Times New Roman" w:hAnsi="Times New Roman" w:eastAsia="仿宋"/>
                <w:sz w:val="28"/>
                <w:szCs w:val="28"/>
              </w:rPr>
              <w:t>修改说明</w:t>
            </w:r>
          </w:p>
        </w:tc>
      </w:tr>
      <w:tr w14:paraId="189AF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2574760C">
            <w:pPr>
              <w:snapToGrid w:val="0"/>
              <w:spacing w:line="276" w:lineRule="auto"/>
              <w:rPr>
                <w:rFonts w:ascii="Times New Roman" w:hAnsi="Times New Roman" w:eastAsia="仿宋"/>
                <w:sz w:val="28"/>
                <w:szCs w:val="28"/>
              </w:rPr>
            </w:pPr>
            <w:r>
              <w:rPr>
                <w:rFonts w:ascii="Times New Roman" w:hAnsi="Times New Roman" w:eastAsia="仿宋"/>
                <w:sz w:val="28"/>
                <w:szCs w:val="28"/>
              </w:rPr>
              <w:t>1、补充、完善编制依据。</w:t>
            </w:r>
          </w:p>
        </w:tc>
        <w:tc>
          <w:tcPr>
            <w:tcW w:w="4148" w:type="dxa"/>
            <w:vAlign w:val="center"/>
          </w:tcPr>
          <w:p w14:paraId="7184ABDB">
            <w:pPr>
              <w:snapToGrid w:val="0"/>
              <w:spacing w:line="276" w:lineRule="auto"/>
              <w:rPr>
                <w:rFonts w:ascii="Times New Roman" w:hAnsi="Times New Roman" w:eastAsia="仿宋"/>
                <w:sz w:val="28"/>
                <w:szCs w:val="28"/>
              </w:rPr>
            </w:pPr>
            <w:r>
              <w:rPr>
                <w:rFonts w:ascii="Times New Roman" w:hAnsi="Times New Roman" w:eastAsia="仿宋"/>
                <w:sz w:val="28"/>
                <w:szCs w:val="28"/>
              </w:rPr>
              <w:t>1、补充、完善</w:t>
            </w:r>
            <w:r>
              <w:rPr>
                <w:rFonts w:hint="eastAsia" w:ascii="Times New Roman" w:hAnsi="Times New Roman" w:eastAsia="仿宋"/>
                <w:sz w:val="28"/>
                <w:szCs w:val="28"/>
              </w:rPr>
              <w:t>了</w:t>
            </w:r>
            <w:r>
              <w:rPr>
                <w:rFonts w:ascii="Times New Roman" w:hAnsi="Times New Roman" w:eastAsia="仿宋"/>
                <w:sz w:val="28"/>
                <w:szCs w:val="28"/>
              </w:rPr>
              <w:t>编制依据</w:t>
            </w:r>
            <w:r>
              <w:rPr>
                <w:rFonts w:hint="eastAsia" w:ascii="Times New Roman" w:hAnsi="Times New Roman" w:eastAsia="仿宋"/>
                <w:sz w:val="28"/>
                <w:szCs w:val="28"/>
              </w:rPr>
              <w:t>，详见P</w:t>
            </w:r>
            <w:r>
              <w:rPr>
                <w:rFonts w:ascii="Times New Roman" w:hAnsi="Times New Roman" w:eastAsia="仿宋"/>
                <w:sz w:val="28"/>
                <w:szCs w:val="28"/>
              </w:rPr>
              <w:t>1-3</w:t>
            </w:r>
          </w:p>
        </w:tc>
      </w:tr>
      <w:tr w14:paraId="1992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75754E3E">
            <w:pPr>
              <w:snapToGrid w:val="0"/>
              <w:spacing w:line="276" w:lineRule="auto"/>
              <w:rPr>
                <w:rFonts w:ascii="Times New Roman" w:hAnsi="Times New Roman" w:eastAsia="仿宋"/>
                <w:sz w:val="28"/>
                <w:szCs w:val="28"/>
              </w:rPr>
            </w:pPr>
            <w:r>
              <w:rPr>
                <w:rFonts w:ascii="Times New Roman" w:hAnsi="Times New Roman" w:eastAsia="仿宋"/>
                <w:sz w:val="28"/>
                <w:szCs w:val="28"/>
              </w:rPr>
              <w:t>2、补充水源地环境状况调查与风险评估内容。</w:t>
            </w:r>
          </w:p>
        </w:tc>
        <w:tc>
          <w:tcPr>
            <w:tcW w:w="4148" w:type="dxa"/>
            <w:vAlign w:val="center"/>
          </w:tcPr>
          <w:p w14:paraId="30CD1263">
            <w:pPr>
              <w:snapToGrid w:val="0"/>
              <w:spacing w:line="276" w:lineRule="auto"/>
              <w:rPr>
                <w:rFonts w:ascii="Times New Roman" w:hAnsi="Times New Roman" w:eastAsia="仿宋"/>
                <w:sz w:val="28"/>
                <w:szCs w:val="28"/>
              </w:rPr>
            </w:pPr>
            <w:r>
              <w:rPr>
                <w:rFonts w:ascii="Times New Roman" w:hAnsi="Times New Roman" w:eastAsia="仿宋"/>
                <w:sz w:val="28"/>
                <w:szCs w:val="28"/>
              </w:rPr>
              <w:t>2、补充</w:t>
            </w:r>
            <w:r>
              <w:rPr>
                <w:rFonts w:hint="eastAsia" w:ascii="Times New Roman" w:hAnsi="Times New Roman" w:eastAsia="仿宋"/>
                <w:sz w:val="28"/>
                <w:szCs w:val="28"/>
              </w:rPr>
              <w:t>了</w:t>
            </w:r>
            <w:r>
              <w:rPr>
                <w:rFonts w:ascii="Times New Roman" w:hAnsi="Times New Roman" w:eastAsia="仿宋"/>
                <w:sz w:val="28"/>
                <w:szCs w:val="28"/>
              </w:rPr>
              <w:t>水源地环境状况调查与风险评估内容</w:t>
            </w:r>
            <w:r>
              <w:rPr>
                <w:rFonts w:hint="eastAsia" w:ascii="Times New Roman" w:hAnsi="Times New Roman" w:eastAsia="仿宋"/>
                <w:sz w:val="28"/>
                <w:szCs w:val="28"/>
              </w:rPr>
              <w:t>，详见前言部分P</w:t>
            </w:r>
            <w:r>
              <w:rPr>
                <w:rFonts w:ascii="Times New Roman" w:hAnsi="Times New Roman" w:eastAsia="仿宋"/>
                <w:sz w:val="28"/>
                <w:szCs w:val="28"/>
              </w:rPr>
              <w:t>1</w:t>
            </w:r>
            <w:r>
              <w:rPr>
                <w:rFonts w:hint="eastAsia" w:ascii="Times New Roman" w:hAnsi="Times New Roman" w:eastAsia="仿宋"/>
                <w:sz w:val="28"/>
                <w:szCs w:val="28"/>
              </w:rPr>
              <w:t>-</w:t>
            </w:r>
            <w:r>
              <w:rPr>
                <w:rFonts w:ascii="Times New Roman" w:hAnsi="Times New Roman" w:eastAsia="仿宋"/>
                <w:sz w:val="28"/>
                <w:szCs w:val="28"/>
              </w:rPr>
              <w:t>5</w:t>
            </w:r>
          </w:p>
        </w:tc>
      </w:tr>
      <w:tr w14:paraId="691EF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7F69B104">
            <w:pPr>
              <w:snapToGrid w:val="0"/>
              <w:spacing w:line="276" w:lineRule="auto"/>
              <w:rPr>
                <w:rFonts w:ascii="Times New Roman" w:hAnsi="Times New Roman" w:eastAsia="仿宋"/>
                <w:sz w:val="28"/>
                <w:szCs w:val="28"/>
              </w:rPr>
            </w:pPr>
            <w:r>
              <w:rPr>
                <w:rFonts w:ascii="Times New Roman" w:hAnsi="Times New Roman" w:eastAsia="仿宋"/>
                <w:sz w:val="28"/>
                <w:szCs w:val="28"/>
              </w:rPr>
              <w:t>3、补充墙框堡水库水源地防控体系建设情况及现状（“风险源—连接水体—取水口”三级应急防控体系）。编制水源地应急预案时，应将现有应急防控体系纳入预案中。</w:t>
            </w:r>
          </w:p>
        </w:tc>
        <w:tc>
          <w:tcPr>
            <w:tcW w:w="4148" w:type="dxa"/>
            <w:vAlign w:val="center"/>
          </w:tcPr>
          <w:p w14:paraId="17F1034A">
            <w:pPr>
              <w:snapToGrid w:val="0"/>
              <w:spacing w:line="276" w:lineRule="auto"/>
              <w:rPr>
                <w:rFonts w:ascii="Times New Roman" w:hAnsi="Times New Roman" w:eastAsia="仿宋"/>
                <w:sz w:val="28"/>
                <w:szCs w:val="28"/>
              </w:rPr>
            </w:pPr>
            <w:r>
              <w:rPr>
                <w:rFonts w:hint="eastAsia" w:ascii="Times New Roman" w:hAnsi="Times New Roman" w:eastAsia="仿宋"/>
                <w:sz w:val="28"/>
                <w:szCs w:val="28"/>
              </w:rPr>
              <w:t>3、补充了墙框堡水库水源地防控体系建设情况及现状，并将其纳入现有应急防控体系纳入预案中，详见前言部分P</w:t>
            </w:r>
            <w:r>
              <w:rPr>
                <w:rFonts w:ascii="Times New Roman" w:hAnsi="Times New Roman" w:eastAsia="仿宋"/>
                <w:sz w:val="28"/>
                <w:szCs w:val="28"/>
              </w:rPr>
              <w:t>3</w:t>
            </w:r>
          </w:p>
        </w:tc>
      </w:tr>
      <w:tr w14:paraId="7662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4CE880D1">
            <w:pPr>
              <w:snapToGrid w:val="0"/>
              <w:spacing w:line="276" w:lineRule="auto"/>
              <w:rPr>
                <w:rFonts w:ascii="Times New Roman" w:hAnsi="Times New Roman" w:eastAsia="仿宋"/>
                <w:sz w:val="28"/>
                <w:szCs w:val="28"/>
              </w:rPr>
            </w:pPr>
            <w:bookmarkStart w:id="1" w:name="_Hlk205715425"/>
            <w:r>
              <w:rPr>
                <w:rFonts w:ascii="Times New Roman" w:hAnsi="Times New Roman" w:eastAsia="仿宋"/>
                <w:sz w:val="28"/>
                <w:szCs w:val="28"/>
              </w:rPr>
              <w:t>4、明确预案适用的地域范围及依据。</w:t>
            </w:r>
          </w:p>
        </w:tc>
        <w:tc>
          <w:tcPr>
            <w:tcW w:w="4148" w:type="dxa"/>
            <w:tcBorders>
              <w:top w:val="single" w:color="auto" w:sz="4" w:space="0"/>
              <w:left w:val="single" w:color="auto" w:sz="4" w:space="0"/>
              <w:bottom w:val="single" w:color="auto" w:sz="4" w:space="0"/>
              <w:right w:val="single" w:color="auto" w:sz="4" w:space="0"/>
            </w:tcBorders>
            <w:vAlign w:val="center"/>
          </w:tcPr>
          <w:p w14:paraId="0936F7A4">
            <w:pPr>
              <w:snapToGrid w:val="0"/>
              <w:spacing w:line="276" w:lineRule="auto"/>
              <w:rPr>
                <w:rFonts w:ascii="Times New Roman" w:hAnsi="Times New Roman" w:eastAsia="仿宋"/>
                <w:sz w:val="28"/>
                <w:szCs w:val="28"/>
              </w:rPr>
            </w:pPr>
            <w:r>
              <w:rPr>
                <w:rFonts w:hint="eastAsia" w:ascii="Times New Roman" w:hAnsi="Times New Roman" w:eastAsia="仿宋"/>
                <w:sz w:val="28"/>
                <w:szCs w:val="28"/>
              </w:rPr>
              <w:t>4、根据水源地周围污染源分布，本预案适用地域范围为墙框堡水库地表水水源地以及水源地外围控制区外扩</w:t>
            </w:r>
            <w:r>
              <w:rPr>
                <w:rFonts w:ascii="Times New Roman" w:hAnsi="Times New Roman" w:eastAsia="仿宋"/>
                <w:sz w:val="28"/>
                <w:szCs w:val="28"/>
              </w:rPr>
              <w:t>300m范围的区域。</w:t>
            </w:r>
          </w:p>
        </w:tc>
      </w:tr>
      <w:tr w14:paraId="1E84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381E7A7F">
            <w:pPr>
              <w:snapToGrid w:val="0"/>
              <w:spacing w:line="276" w:lineRule="auto"/>
              <w:rPr>
                <w:rFonts w:ascii="Times New Roman" w:hAnsi="Times New Roman" w:eastAsia="仿宋"/>
                <w:sz w:val="28"/>
                <w:szCs w:val="28"/>
              </w:rPr>
            </w:pPr>
            <w:r>
              <w:rPr>
                <w:rFonts w:ascii="Times New Roman" w:hAnsi="Times New Roman" w:eastAsia="仿宋"/>
                <w:sz w:val="28"/>
                <w:szCs w:val="28"/>
              </w:rPr>
              <w:t>5、完善预案的衔接关系。</w:t>
            </w:r>
          </w:p>
        </w:tc>
        <w:tc>
          <w:tcPr>
            <w:tcW w:w="4148" w:type="dxa"/>
            <w:tcBorders>
              <w:top w:val="single" w:color="auto" w:sz="4" w:space="0"/>
              <w:left w:val="single" w:color="auto" w:sz="4" w:space="0"/>
              <w:bottom w:val="single" w:color="auto" w:sz="4" w:space="0"/>
              <w:right w:val="single" w:color="auto" w:sz="4" w:space="0"/>
            </w:tcBorders>
            <w:vAlign w:val="center"/>
          </w:tcPr>
          <w:p w14:paraId="2E637E00">
            <w:pPr>
              <w:snapToGrid w:val="0"/>
              <w:spacing w:line="276" w:lineRule="auto"/>
              <w:rPr>
                <w:rFonts w:ascii="Times New Roman" w:hAnsi="Times New Roman" w:eastAsia="仿宋"/>
                <w:sz w:val="28"/>
                <w:szCs w:val="28"/>
              </w:rPr>
            </w:pPr>
            <w:r>
              <w:rPr>
                <w:rFonts w:hint="eastAsia" w:ascii="Times New Roman" w:hAnsi="Times New Roman" w:eastAsia="仿宋"/>
                <w:sz w:val="28"/>
                <w:szCs w:val="28"/>
              </w:rPr>
              <w:t>5、完善了预案的衔接关系，详见P</w:t>
            </w:r>
            <w:r>
              <w:rPr>
                <w:rFonts w:ascii="Times New Roman" w:hAnsi="Times New Roman" w:eastAsia="仿宋"/>
                <w:sz w:val="28"/>
                <w:szCs w:val="28"/>
              </w:rPr>
              <w:t>4</w:t>
            </w:r>
          </w:p>
        </w:tc>
      </w:tr>
      <w:tr w14:paraId="059FF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2BCF84A0">
            <w:pPr>
              <w:snapToGrid w:val="0"/>
              <w:spacing w:line="276" w:lineRule="auto"/>
              <w:rPr>
                <w:rFonts w:ascii="Times New Roman" w:hAnsi="Times New Roman" w:eastAsia="仿宋"/>
                <w:sz w:val="28"/>
                <w:szCs w:val="28"/>
              </w:rPr>
            </w:pPr>
            <w:r>
              <w:rPr>
                <w:rFonts w:ascii="Times New Roman" w:hAnsi="Times New Roman" w:eastAsia="仿宋"/>
                <w:sz w:val="28"/>
                <w:szCs w:val="28"/>
              </w:rPr>
              <w:t>6、根据云冈区及墙框堡水库实际情况，进一步明确预警的条件及分级标准（橙色、红色），及预警启动的条件。</w:t>
            </w:r>
          </w:p>
        </w:tc>
        <w:tc>
          <w:tcPr>
            <w:tcW w:w="4148" w:type="dxa"/>
            <w:tcBorders>
              <w:top w:val="single" w:color="auto" w:sz="4" w:space="0"/>
              <w:left w:val="single" w:color="auto" w:sz="4" w:space="0"/>
              <w:bottom w:val="single" w:color="auto" w:sz="4" w:space="0"/>
              <w:right w:val="single" w:color="auto" w:sz="4" w:space="0"/>
            </w:tcBorders>
            <w:vAlign w:val="center"/>
          </w:tcPr>
          <w:p w14:paraId="11248179">
            <w:pPr>
              <w:snapToGrid w:val="0"/>
              <w:spacing w:line="276" w:lineRule="auto"/>
              <w:rPr>
                <w:rFonts w:ascii="Times New Roman" w:hAnsi="Times New Roman" w:eastAsia="仿宋"/>
                <w:sz w:val="28"/>
                <w:szCs w:val="28"/>
              </w:rPr>
            </w:pPr>
            <w:r>
              <w:rPr>
                <w:rFonts w:hint="eastAsia" w:ascii="Times New Roman" w:hAnsi="Times New Roman" w:eastAsia="仿宋"/>
                <w:sz w:val="28"/>
                <w:szCs w:val="28"/>
              </w:rPr>
              <w:t>6、根据云冈区及墙框堡水库实际情况，进一步明确了预警的条件及分级标准（橙色、红色），及预警启动的条件，详见P</w:t>
            </w:r>
            <w:r>
              <w:rPr>
                <w:rFonts w:ascii="Times New Roman" w:hAnsi="Times New Roman" w:eastAsia="仿宋"/>
                <w:sz w:val="28"/>
                <w:szCs w:val="28"/>
              </w:rPr>
              <w:t>1819</w:t>
            </w:r>
          </w:p>
        </w:tc>
      </w:tr>
      <w:tr w14:paraId="2D62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761C0B11">
            <w:pPr>
              <w:snapToGrid w:val="0"/>
              <w:spacing w:line="276" w:lineRule="auto"/>
              <w:rPr>
                <w:rFonts w:ascii="Times New Roman" w:hAnsi="Times New Roman" w:eastAsia="仿宋"/>
                <w:sz w:val="28"/>
                <w:szCs w:val="28"/>
              </w:rPr>
            </w:pPr>
            <w:r>
              <w:rPr>
                <w:rFonts w:ascii="Times New Roman" w:hAnsi="Times New Roman" w:eastAsia="仿宋"/>
                <w:sz w:val="28"/>
                <w:szCs w:val="28"/>
              </w:rPr>
              <w:t>7、根据水源地基础状况调查和风险评估的结论，合理构建情景分析内容，分别说明可能的突发环境事件情景及应急处置措施，落实相关任务，细化工作流程，体现应急处置的主体职责和针对性、可操作性。</w:t>
            </w:r>
          </w:p>
        </w:tc>
        <w:tc>
          <w:tcPr>
            <w:tcW w:w="4148" w:type="dxa"/>
            <w:tcBorders>
              <w:top w:val="single" w:color="auto" w:sz="4" w:space="0"/>
              <w:left w:val="single" w:color="auto" w:sz="4" w:space="0"/>
              <w:bottom w:val="single" w:color="auto" w:sz="4" w:space="0"/>
              <w:right w:val="single" w:color="auto" w:sz="4" w:space="0"/>
            </w:tcBorders>
            <w:vAlign w:val="center"/>
          </w:tcPr>
          <w:p w14:paraId="2361BE99">
            <w:pPr>
              <w:snapToGrid w:val="0"/>
              <w:spacing w:line="276" w:lineRule="auto"/>
              <w:rPr>
                <w:rFonts w:ascii="Times New Roman" w:hAnsi="Times New Roman" w:eastAsia="仿宋"/>
                <w:sz w:val="28"/>
                <w:szCs w:val="28"/>
              </w:rPr>
            </w:pPr>
            <w:r>
              <w:rPr>
                <w:rFonts w:hint="eastAsia" w:ascii="Times New Roman" w:hAnsi="Times New Roman" w:eastAsia="仿宋"/>
                <w:sz w:val="28"/>
                <w:szCs w:val="28"/>
              </w:rPr>
              <w:t>7、根据水源地基础状况调查和风险评估的结论，合理构建了情景分析内容，说明了可能的突发环境事件情景及应急处置措施，落实了相关任务，细化了工作流程，体现应急处置的主体职责和针对性、可操作性，详见P</w:t>
            </w:r>
            <w:r>
              <w:rPr>
                <w:rFonts w:ascii="Times New Roman" w:hAnsi="Times New Roman" w:eastAsia="仿宋"/>
                <w:sz w:val="28"/>
                <w:szCs w:val="28"/>
              </w:rPr>
              <w:t>24</w:t>
            </w:r>
            <w:r>
              <w:rPr>
                <w:rFonts w:hint="eastAsia" w:ascii="Times New Roman" w:hAnsi="Times New Roman" w:eastAsia="仿宋"/>
                <w:sz w:val="28"/>
                <w:szCs w:val="28"/>
              </w:rPr>
              <w:t>-</w:t>
            </w:r>
            <w:r>
              <w:rPr>
                <w:rFonts w:ascii="Times New Roman" w:hAnsi="Times New Roman" w:eastAsia="仿宋"/>
                <w:sz w:val="28"/>
                <w:szCs w:val="28"/>
              </w:rPr>
              <w:t>27</w:t>
            </w:r>
          </w:p>
        </w:tc>
      </w:tr>
      <w:tr w14:paraId="721E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409FF5F4">
            <w:pPr>
              <w:snapToGrid w:val="0"/>
              <w:spacing w:line="276" w:lineRule="auto"/>
              <w:rPr>
                <w:rFonts w:ascii="Times New Roman" w:hAnsi="Times New Roman" w:eastAsia="仿宋"/>
                <w:sz w:val="28"/>
                <w:szCs w:val="28"/>
              </w:rPr>
            </w:pPr>
            <w:r>
              <w:rPr>
                <w:rFonts w:ascii="Times New Roman" w:hAnsi="Times New Roman" w:eastAsia="仿宋"/>
                <w:sz w:val="28"/>
                <w:szCs w:val="28"/>
              </w:rPr>
              <w:t>8、厘清成员单位职责，确保应急措施得到落实。</w:t>
            </w:r>
          </w:p>
        </w:tc>
        <w:tc>
          <w:tcPr>
            <w:tcW w:w="4148" w:type="dxa"/>
            <w:tcBorders>
              <w:top w:val="single" w:color="auto" w:sz="4" w:space="0"/>
              <w:left w:val="single" w:color="auto" w:sz="4" w:space="0"/>
              <w:bottom w:val="single" w:color="auto" w:sz="4" w:space="0"/>
              <w:right w:val="single" w:color="auto" w:sz="4" w:space="0"/>
            </w:tcBorders>
            <w:vAlign w:val="center"/>
          </w:tcPr>
          <w:p w14:paraId="4D5F5757">
            <w:pPr>
              <w:snapToGrid w:val="0"/>
              <w:spacing w:line="276" w:lineRule="auto"/>
              <w:rPr>
                <w:rFonts w:ascii="Times New Roman" w:hAnsi="Times New Roman" w:eastAsia="仿宋"/>
                <w:sz w:val="28"/>
                <w:szCs w:val="28"/>
              </w:rPr>
            </w:pPr>
            <w:r>
              <w:rPr>
                <w:rFonts w:hint="eastAsia" w:ascii="Times New Roman" w:hAnsi="Times New Roman" w:eastAsia="仿宋"/>
                <w:sz w:val="28"/>
                <w:szCs w:val="28"/>
              </w:rPr>
              <w:t>8、厘清了成员单位职责，详见P</w:t>
            </w:r>
            <w:r>
              <w:rPr>
                <w:rFonts w:ascii="Times New Roman" w:hAnsi="Times New Roman" w:eastAsia="仿宋"/>
                <w:sz w:val="28"/>
                <w:szCs w:val="28"/>
              </w:rPr>
              <w:t>8</w:t>
            </w:r>
            <w:r>
              <w:rPr>
                <w:rFonts w:hint="eastAsia" w:ascii="Times New Roman" w:hAnsi="Times New Roman" w:eastAsia="仿宋"/>
                <w:sz w:val="28"/>
                <w:szCs w:val="28"/>
              </w:rPr>
              <w:t>-</w:t>
            </w:r>
            <w:r>
              <w:rPr>
                <w:rFonts w:ascii="Times New Roman" w:hAnsi="Times New Roman" w:eastAsia="仿宋"/>
                <w:sz w:val="28"/>
                <w:szCs w:val="28"/>
              </w:rPr>
              <w:t>10</w:t>
            </w:r>
          </w:p>
        </w:tc>
      </w:tr>
      <w:tr w14:paraId="4D26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35278231">
            <w:pPr>
              <w:snapToGrid w:val="0"/>
              <w:spacing w:line="276" w:lineRule="auto"/>
              <w:rPr>
                <w:rFonts w:ascii="Times New Roman" w:hAnsi="Times New Roman" w:eastAsia="仿宋"/>
                <w:sz w:val="28"/>
                <w:szCs w:val="28"/>
              </w:rPr>
            </w:pPr>
            <w:r>
              <w:rPr>
                <w:rFonts w:ascii="Times New Roman" w:hAnsi="Times New Roman" w:eastAsia="仿宋"/>
                <w:sz w:val="28"/>
                <w:szCs w:val="28"/>
              </w:rPr>
              <w:t>9、征求成员单位合理意见，落实到本预案中；补充完善附件、附图（补充应急预案的适用范围图）。</w:t>
            </w:r>
          </w:p>
        </w:tc>
        <w:tc>
          <w:tcPr>
            <w:tcW w:w="4148" w:type="dxa"/>
            <w:tcBorders>
              <w:top w:val="single" w:color="auto" w:sz="4" w:space="0"/>
              <w:left w:val="single" w:color="auto" w:sz="4" w:space="0"/>
              <w:bottom w:val="single" w:color="auto" w:sz="4" w:space="0"/>
              <w:right w:val="single" w:color="auto" w:sz="4" w:space="0"/>
            </w:tcBorders>
            <w:vAlign w:val="center"/>
          </w:tcPr>
          <w:p w14:paraId="72F23117">
            <w:pPr>
              <w:snapToGrid w:val="0"/>
              <w:spacing w:line="276" w:lineRule="auto"/>
              <w:rPr>
                <w:rFonts w:ascii="Times New Roman" w:hAnsi="Times New Roman" w:eastAsia="仿宋"/>
                <w:sz w:val="28"/>
                <w:szCs w:val="28"/>
              </w:rPr>
            </w:pPr>
            <w:r>
              <w:rPr>
                <w:rFonts w:hint="eastAsia" w:ascii="Times New Roman" w:hAnsi="Times New Roman" w:eastAsia="仿宋"/>
                <w:sz w:val="28"/>
                <w:szCs w:val="28"/>
              </w:rPr>
              <w:t>9、已落实成员单位意见，补充完善了附件、补充了应急预案的适用范围图，详见附件2，附图2。</w:t>
            </w:r>
          </w:p>
        </w:tc>
      </w:tr>
      <w:bookmarkEnd w:id="1"/>
    </w:tbl>
    <w:p w14:paraId="2E442545">
      <w:pPr>
        <w:pStyle w:val="11"/>
        <w:tabs>
          <w:tab w:val="right" w:leader="dot" w:pos="8494"/>
        </w:tabs>
        <w:spacing w:line="360" w:lineRule="auto"/>
        <w:ind w:left="0" w:leftChars="0"/>
        <w:jc w:val="center"/>
        <w:rPr>
          <w:rFonts w:ascii="Times New Roman" w:hAnsi="Times New Roman"/>
        </w:rPr>
      </w:pPr>
    </w:p>
    <w:p w14:paraId="7CC389AC">
      <w:pPr>
        <w:rPr>
          <w:rFonts w:ascii="Times New Roman" w:hAnsi="Times New Roman"/>
        </w:rPr>
      </w:pPr>
    </w:p>
    <w:p w14:paraId="2B3A5447">
      <w:pPr>
        <w:rPr>
          <w:rFonts w:ascii="Times New Roman" w:hAnsi="Times New Roman"/>
        </w:rPr>
      </w:pPr>
    </w:p>
    <w:p w14:paraId="2235F210">
      <w:pPr>
        <w:rPr>
          <w:rFonts w:ascii="Times New Roman" w:hAnsi="Times New Roman"/>
        </w:rPr>
      </w:pPr>
    </w:p>
    <w:p w14:paraId="465DE3ED">
      <w:pPr>
        <w:pStyle w:val="17"/>
        <w:rPr>
          <w:rFonts w:ascii="Times New Roman" w:hAnsi="Times New Roman"/>
        </w:rPr>
        <w:sectPr>
          <w:pgSz w:w="11906" w:h="16838"/>
          <w:pgMar w:top="1440" w:right="1701" w:bottom="1440" w:left="1701" w:header="851" w:footer="567" w:gutter="0"/>
          <w:pgNumType w:start="1"/>
          <w:cols w:space="425" w:num="1"/>
          <w:docGrid w:type="lines" w:linePitch="312" w:charSpace="0"/>
        </w:sectPr>
      </w:pPr>
    </w:p>
    <w:p w14:paraId="7B5BD37E">
      <w:pPr>
        <w:pStyle w:val="17"/>
        <w:rPr>
          <w:rFonts w:ascii="Times New Roman" w:hAnsi="Times New Roman"/>
        </w:rPr>
      </w:pPr>
      <w:bookmarkStart w:id="2" w:name="_Toc213690682"/>
      <w:r>
        <w:rPr>
          <w:rFonts w:hint="eastAsia" w:ascii="Times New Roman" w:hAnsi="Times New Roman"/>
        </w:rPr>
        <w:t>前言</w:t>
      </w:r>
      <w:bookmarkEnd w:id="2"/>
    </w:p>
    <w:p w14:paraId="278F90D3">
      <w:pPr>
        <w:pStyle w:val="21"/>
        <w:ind w:firstLine="640" w:firstLineChars="200"/>
        <w:rPr>
          <w:rFonts w:ascii="Times New Roman" w:hAnsi="Times New Roman"/>
          <w:color w:val="auto"/>
        </w:rPr>
      </w:pPr>
      <w:bookmarkStart w:id="3" w:name="_Toc205817873"/>
      <w:r>
        <w:rPr>
          <w:rFonts w:hint="eastAsia" w:ascii="Times New Roman" w:hAnsi="Times New Roman"/>
          <w:color w:val="auto"/>
        </w:rPr>
        <w:t>1、墙框堡水库饮用水水源地概况</w:t>
      </w:r>
      <w:bookmarkEnd w:id="3"/>
    </w:p>
    <w:p w14:paraId="0C8BF2FA">
      <w:pPr>
        <w:pStyle w:val="21"/>
        <w:rPr>
          <w:rFonts w:ascii="Times New Roman" w:hAnsi="Times New Roman"/>
          <w:color w:val="auto"/>
        </w:rPr>
      </w:pPr>
      <w:r>
        <w:rPr>
          <w:rFonts w:hint="eastAsia" w:ascii="Times New Roman" w:hAnsi="Times New Roman"/>
          <w:color w:val="auto"/>
        </w:rPr>
        <w:t>云冈区行政区域内集中式地表水水源地仅有墙框堡水库饮用水源地一处。墙框堡水库饮用水水源地位于大同市云冈区墙框堡村南</w:t>
      </w:r>
      <w:r>
        <w:rPr>
          <w:rFonts w:ascii="Times New Roman" w:hAnsi="Times New Roman"/>
          <w:color w:val="auto"/>
        </w:rPr>
        <w:t>。</w:t>
      </w:r>
    </w:p>
    <w:p w14:paraId="021CBC81">
      <w:pPr>
        <w:pStyle w:val="21"/>
        <w:rPr>
          <w:rFonts w:ascii="Times New Roman" w:hAnsi="Times New Roman"/>
          <w:color w:val="auto"/>
        </w:rPr>
      </w:pPr>
      <w:r>
        <w:rPr>
          <w:rFonts w:hint="eastAsia" w:ascii="Times New Roman" w:hAnsi="Times New Roman"/>
          <w:color w:val="auto"/>
        </w:rPr>
        <w:t>（1）墙框堡水库基本情况</w:t>
      </w:r>
    </w:p>
    <w:p w14:paraId="620CC035">
      <w:pPr>
        <w:pStyle w:val="21"/>
        <w:rPr>
          <w:rFonts w:ascii="Times New Roman" w:hAnsi="Times New Roman"/>
          <w:color w:val="auto"/>
        </w:rPr>
      </w:pPr>
      <w:r>
        <w:rPr>
          <w:rFonts w:hint="eastAsia" w:ascii="Times New Roman" w:hAnsi="Times New Roman"/>
          <w:color w:val="auto"/>
        </w:rPr>
        <w:t>墙框堡水库为万家寨引黄工程北干线上的一座供水和事故调蓄水库，属于平原围封型水库，主要由环形大坝、进水闸及引水道、出水闸及出水管、水库放空管等组成。正常蓄水位</w:t>
      </w:r>
      <w:r>
        <w:rPr>
          <w:rFonts w:ascii="Times New Roman" w:hAnsi="Times New Roman"/>
          <w:color w:val="auto"/>
        </w:rPr>
        <w:t>1034.87m，死水位1028.68m</w:t>
      </w:r>
      <w:r>
        <w:rPr>
          <w:rFonts w:hint="eastAsia" w:ascii="Times New Roman" w:hAnsi="Times New Roman"/>
          <w:color w:val="auto"/>
        </w:rPr>
        <w:t>；</w:t>
      </w:r>
      <w:r>
        <w:rPr>
          <w:rFonts w:ascii="Times New Roman" w:hAnsi="Times New Roman"/>
          <w:color w:val="auto"/>
        </w:rPr>
        <w:t>总库容218.4万m</w:t>
      </w:r>
      <w:r>
        <w:rPr>
          <w:rFonts w:ascii="Times New Roman" w:hAnsi="Times New Roman"/>
          <w:color w:val="auto"/>
          <w:vertAlign w:val="superscript"/>
        </w:rPr>
        <w:t>3</w:t>
      </w:r>
      <w:r>
        <w:rPr>
          <w:rFonts w:ascii="Times New Roman" w:hAnsi="Times New Roman"/>
          <w:color w:val="auto"/>
        </w:rPr>
        <w:t>，调蓄库容195.3万m</w:t>
      </w:r>
      <w:r>
        <w:rPr>
          <w:rFonts w:ascii="Times New Roman" w:hAnsi="Times New Roman"/>
          <w:color w:val="auto"/>
          <w:vertAlign w:val="superscript"/>
        </w:rPr>
        <w:t>3</w:t>
      </w:r>
      <w:r>
        <w:rPr>
          <w:rFonts w:ascii="Times New Roman" w:hAnsi="Times New Roman"/>
          <w:color w:val="auto"/>
        </w:rPr>
        <w:t>，死库容15万m</w:t>
      </w:r>
      <w:r>
        <w:rPr>
          <w:rFonts w:ascii="Times New Roman" w:hAnsi="Times New Roman"/>
          <w:color w:val="auto"/>
          <w:vertAlign w:val="superscript"/>
        </w:rPr>
        <w:t>3</w:t>
      </w:r>
      <w:r>
        <w:rPr>
          <w:rFonts w:hint="eastAsia" w:ascii="Times New Roman" w:hAnsi="Times New Roman"/>
          <w:color w:val="auto"/>
        </w:rPr>
        <w:t>；</w:t>
      </w:r>
      <w:r>
        <w:rPr>
          <w:rFonts w:ascii="Times New Roman" w:hAnsi="Times New Roman"/>
          <w:color w:val="auto"/>
        </w:rPr>
        <w:t>坝顶高程1038.00m，最大坝高11.2m，坝顶宽6m，为全库盆土工</w:t>
      </w:r>
      <w:r>
        <w:rPr>
          <w:rFonts w:hint="eastAsia" w:ascii="Times New Roman" w:hAnsi="Times New Roman"/>
          <w:color w:val="auto"/>
        </w:rPr>
        <w:t>材料防渗均质土坝。</w:t>
      </w:r>
    </w:p>
    <w:p w14:paraId="7F3CDBE6">
      <w:pPr>
        <w:pStyle w:val="21"/>
        <w:rPr>
          <w:rFonts w:ascii="Times New Roman" w:hAnsi="Times New Roman"/>
          <w:color w:val="auto"/>
        </w:rPr>
      </w:pPr>
      <w:r>
        <w:rPr>
          <w:rFonts w:hint="eastAsia" w:ascii="Times New Roman" w:hAnsi="Times New Roman"/>
          <w:color w:val="auto"/>
        </w:rPr>
        <w:t>水库任务为每年</w:t>
      </w:r>
      <w:r>
        <w:rPr>
          <w:rFonts w:ascii="Times New Roman" w:hAnsi="Times New Roman"/>
          <w:color w:val="auto"/>
        </w:rPr>
        <w:t>10月至翌年7月，由北干线输水自留入库，8</w:t>
      </w:r>
      <w:r>
        <w:rPr>
          <w:rFonts w:hint="eastAsia" w:ascii="Times New Roman" w:hAnsi="Times New Roman"/>
          <w:color w:val="auto"/>
        </w:rPr>
        <w:t>、</w:t>
      </w:r>
      <w:r>
        <w:rPr>
          <w:rFonts w:ascii="Times New Roman" w:hAnsi="Times New Roman"/>
          <w:color w:val="auto"/>
        </w:rPr>
        <w:t>9月停水检修期间，该水库的调节水量及上游来水经水库向大同地区供水。此外，在输水线路发生事故时作为事故备用水库，墙框堡水库为北线末端水库，向大同市居民生活和工业企业供水。</w:t>
      </w:r>
    </w:p>
    <w:p w14:paraId="53016030">
      <w:pPr>
        <w:pStyle w:val="21"/>
        <w:rPr>
          <w:rFonts w:ascii="Times New Roman" w:hAnsi="Times New Roman"/>
          <w:color w:val="auto"/>
        </w:rPr>
      </w:pPr>
      <w:r>
        <w:rPr>
          <w:rFonts w:hint="eastAsia" w:ascii="Times New Roman" w:hAnsi="Times New Roman"/>
          <w:color w:val="auto"/>
        </w:rPr>
        <w:t>（2）墙框堡水库饮用水水源地概况</w:t>
      </w:r>
    </w:p>
    <w:p w14:paraId="6E0D2D8C">
      <w:pPr>
        <w:pStyle w:val="21"/>
        <w:rPr>
          <w:rFonts w:ascii="Times New Roman" w:hAnsi="Times New Roman"/>
          <w:color w:val="auto"/>
        </w:rPr>
      </w:pPr>
      <w:r>
        <w:rPr>
          <w:rFonts w:hint="eastAsia" w:ascii="Times New Roman" w:hAnsi="Times New Roman"/>
          <w:color w:val="auto"/>
        </w:rPr>
        <w:t>墙框堡水库饮用水源保护区只包括一级保护区水域和陆域。水域范围为水库大坝轴线以内圈定的水域，面积</w:t>
      </w:r>
      <w:r>
        <w:rPr>
          <w:rFonts w:ascii="Times New Roman" w:hAnsi="Times New Roman"/>
          <w:color w:val="auto"/>
        </w:rPr>
        <w:t>0.475km</w:t>
      </w:r>
      <w:r>
        <w:rPr>
          <w:rFonts w:ascii="Times New Roman" w:hAnsi="Times New Roman"/>
          <w:color w:val="auto"/>
          <w:vertAlign w:val="superscript"/>
        </w:rPr>
        <w:t>2</w:t>
      </w:r>
      <w:r>
        <w:rPr>
          <w:rFonts w:ascii="Times New Roman" w:hAnsi="Times New Roman"/>
          <w:color w:val="auto"/>
        </w:rPr>
        <w:t>。陆域范围为水库永久征地范围轴线内的陆域，面积0.727km</w:t>
      </w:r>
      <w:r>
        <w:rPr>
          <w:rFonts w:ascii="Times New Roman" w:hAnsi="Times New Roman"/>
          <w:color w:val="auto"/>
          <w:vertAlign w:val="superscript"/>
        </w:rPr>
        <w:t>2</w:t>
      </w:r>
      <w:r>
        <w:rPr>
          <w:rFonts w:ascii="Times New Roman" w:hAnsi="Times New Roman"/>
          <w:color w:val="auto"/>
        </w:rPr>
        <w:t>。</w:t>
      </w:r>
    </w:p>
    <w:p w14:paraId="26340438">
      <w:pPr>
        <w:pStyle w:val="21"/>
        <w:rPr>
          <w:rFonts w:ascii="Times New Roman" w:hAnsi="Times New Roman"/>
          <w:color w:val="auto"/>
        </w:rPr>
      </w:pPr>
      <w:r>
        <w:rPr>
          <w:rFonts w:hint="eastAsia" w:ascii="Times New Roman" w:hAnsi="Times New Roman"/>
          <w:color w:val="auto"/>
        </w:rPr>
        <w:t>《引黄工程北干线调蓄水库饮用水源保护区划分技术报告》中提出在墙框堡水库一级保护区外划定一定范围的外围控制区，在这个控制区内对一些生产生活的行为和活动进行限制，便于保护水源水质。外围控制区面积为</w:t>
      </w:r>
      <w:r>
        <w:rPr>
          <w:rFonts w:ascii="Times New Roman" w:hAnsi="Times New Roman"/>
          <w:color w:val="auto"/>
        </w:rPr>
        <w:t>2.970km</w:t>
      </w:r>
      <w:r>
        <w:rPr>
          <w:rFonts w:ascii="Times New Roman" w:hAnsi="Times New Roman"/>
          <w:color w:val="auto"/>
          <w:vertAlign w:val="superscript"/>
        </w:rPr>
        <w:t>2</w:t>
      </w:r>
      <w:r>
        <w:rPr>
          <w:rFonts w:ascii="Times New Roman" w:hAnsi="Times New Roman"/>
          <w:color w:val="auto"/>
        </w:rPr>
        <w:t>，其中东边界和西边界分别为距水库东侧和西侧凹陷处征地范围线500m的距离，南边界和北边界分别为距水库南侧和北侧征地范围线500m的距离</w:t>
      </w:r>
      <w:r>
        <w:rPr>
          <w:rFonts w:hint="eastAsia" w:ascii="Times New Roman" w:hAnsi="Times New Roman"/>
          <w:color w:val="auto"/>
        </w:rPr>
        <w:t>。</w:t>
      </w:r>
    </w:p>
    <w:p w14:paraId="38316DAC">
      <w:pPr>
        <w:pStyle w:val="21"/>
        <w:rPr>
          <w:rFonts w:ascii="Times New Roman" w:hAnsi="Times New Roman"/>
          <w:color w:val="auto"/>
        </w:rPr>
      </w:pPr>
      <w:r>
        <w:rPr>
          <w:rFonts w:hint="eastAsia" w:ascii="Times New Roman" w:hAnsi="Times New Roman"/>
          <w:color w:val="auto"/>
        </w:rPr>
        <w:t>墙框堡水库饮用水水源地保护区划分图见附图1。</w:t>
      </w:r>
    </w:p>
    <w:p w14:paraId="3E075408">
      <w:pPr>
        <w:pStyle w:val="21"/>
        <w:rPr>
          <w:rFonts w:ascii="Times New Roman" w:hAnsi="Times New Roman"/>
          <w:color w:val="auto"/>
        </w:rPr>
      </w:pPr>
      <w:bookmarkStart w:id="4" w:name="_Toc205817874"/>
      <w:r>
        <w:rPr>
          <w:rFonts w:hint="eastAsia" w:ascii="Times New Roman" w:hAnsi="Times New Roman"/>
          <w:color w:val="auto"/>
        </w:rPr>
        <w:t>2、基本环境特征</w:t>
      </w:r>
      <w:bookmarkEnd w:id="4"/>
    </w:p>
    <w:p w14:paraId="28B62493">
      <w:pPr>
        <w:pStyle w:val="21"/>
        <w:rPr>
          <w:rFonts w:ascii="Times New Roman" w:hAnsi="Times New Roman"/>
          <w:color w:val="auto"/>
        </w:rPr>
      </w:pPr>
      <w:r>
        <w:rPr>
          <w:rFonts w:hint="eastAsia" w:ascii="Times New Roman" w:hAnsi="Times New Roman"/>
          <w:color w:val="auto"/>
        </w:rPr>
        <w:t>（1）水源地基本状况</w:t>
      </w:r>
    </w:p>
    <w:p w14:paraId="7EB00B48">
      <w:pPr>
        <w:pStyle w:val="21"/>
        <w:rPr>
          <w:rFonts w:ascii="Times New Roman" w:hAnsi="Times New Roman"/>
          <w:color w:val="auto"/>
        </w:rPr>
      </w:pPr>
      <w:r>
        <w:rPr>
          <w:rFonts w:hint="eastAsia" w:ascii="Times New Roman" w:hAnsi="Times New Roman"/>
          <w:color w:val="auto"/>
        </w:rPr>
        <w:t>墙框堡水库</w:t>
      </w:r>
      <w:r>
        <w:rPr>
          <w:rFonts w:ascii="Times New Roman" w:hAnsi="Times New Roman"/>
          <w:color w:val="auto"/>
        </w:rPr>
        <w:t>2009年6月份开工建设，2011年9月16日建成正式通水，2013年10月23日通过合同完工验收。</w:t>
      </w:r>
      <w:r>
        <w:rPr>
          <w:rFonts w:hint="eastAsia" w:ascii="Times New Roman" w:hAnsi="Times New Roman"/>
          <w:color w:val="auto"/>
        </w:rPr>
        <w:t>水库蓄水运行以来，经过了历次汛期的检验，大坝及各建筑物、设备运行正常。</w:t>
      </w:r>
    </w:p>
    <w:p w14:paraId="34138246">
      <w:pPr>
        <w:pStyle w:val="21"/>
        <w:rPr>
          <w:rFonts w:ascii="Times New Roman" w:hAnsi="Times New Roman"/>
          <w:color w:val="auto"/>
        </w:rPr>
      </w:pPr>
      <w:r>
        <w:rPr>
          <w:rFonts w:hint="eastAsia" w:ascii="Times New Roman" w:hAnsi="Times New Roman"/>
          <w:color w:val="auto"/>
        </w:rPr>
        <w:t>水库由大坝、进水系统、出水系统及事故放空系统等建筑物组成。</w:t>
      </w:r>
    </w:p>
    <w:p w14:paraId="2B375ACE">
      <w:pPr>
        <w:pStyle w:val="21"/>
        <w:rPr>
          <w:rFonts w:ascii="Times New Roman" w:hAnsi="Times New Roman"/>
          <w:color w:val="auto"/>
        </w:rPr>
      </w:pPr>
      <w:r>
        <w:rPr>
          <w:rFonts w:ascii="Times New Roman" w:hAnsi="Times New Roman"/>
          <w:color w:val="auto"/>
        </w:rPr>
        <w:t>大坝</w:t>
      </w:r>
      <w:r>
        <w:rPr>
          <w:rFonts w:hint="eastAsia" w:ascii="Times New Roman" w:hAnsi="Times New Roman"/>
          <w:color w:val="auto"/>
        </w:rPr>
        <w:t>：水库大坝为碾压均质土坝，坝顶高程</w:t>
      </w:r>
      <w:r>
        <w:rPr>
          <w:rFonts w:ascii="Times New Roman" w:hAnsi="Times New Roman"/>
          <w:color w:val="auto"/>
        </w:rPr>
        <w:t>1038.50m，防浪墙顶高程为1039.70m。坝顶宽6.0m</w:t>
      </w:r>
      <w:r>
        <w:rPr>
          <w:rFonts w:hint="eastAsia" w:ascii="Times New Roman" w:hAnsi="Times New Roman"/>
          <w:color w:val="auto"/>
        </w:rPr>
        <w:t>，</w:t>
      </w:r>
      <w:r>
        <w:rPr>
          <w:rFonts w:ascii="Times New Roman" w:hAnsi="Times New Roman"/>
          <w:color w:val="auto"/>
        </w:rPr>
        <w:t>最大坝高12.0m，上游坝坡1：2.5</w:t>
      </w:r>
      <w:r>
        <w:rPr>
          <w:rFonts w:hint="eastAsia" w:ascii="Times New Roman" w:hAnsi="Times New Roman"/>
          <w:color w:val="auto"/>
        </w:rPr>
        <w:t>，</w:t>
      </w:r>
      <w:r>
        <w:rPr>
          <w:rFonts w:ascii="Times New Roman" w:hAnsi="Times New Roman"/>
          <w:color w:val="auto"/>
        </w:rPr>
        <w:t>下游坝坡1：2.0。上游坝坡采用0.25m厚的现浇混凝土板护坡，下设土工布</w:t>
      </w:r>
      <w:r>
        <w:rPr>
          <w:rFonts w:hint="eastAsia" w:ascii="Times New Roman" w:hAnsi="Times New Roman"/>
          <w:color w:val="auto"/>
        </w:rPr>
        <w:t>，</w:t>
      </w:r>
      <w:r>
        <w:rPr>
          <w:rFonts w:ascii="Times New Roman" w:hAnsi="Times New Roman"/>
          <w:color w:val="auto"/>
        </w:rPr>
        <w:t>土工布下铺设0.3m厚中粗砂垫层</w:t>
      </w:r>
      <w:r>
        <w:rPr>
          <w:rFonts w:hint="eastAsia" w:ascii="Times New Roman" w:hAnsi="Times New Roman"/>
          <w:color w:val="auto"/>
        </w:rPr>
        <w:t>，</w:t>
      </w:r>
      <w:r>
        <w:rPr>
          <w:rFonts w:ascii="Times New Roman" w:hAnsi="Times New Roman"/>
          <w:color w:val="auto"/>
        </w:rPr>
        <w:t>垫层下铺设防渗复合土工膜。下游坝坡采用三维植被网植草防护，坡面布设横向排水沟，浆砌石结构，间距100m。库区采用土工膜防渗。在大坝外坡脚布置贴坡排水及浆砌石排水沟。</w:t>
      </w:r>
    </w:p>
    <w:p w14:paraId="07200914">
      <w:pPr>
        <w:pStyle w:val="21"/>
        <w:rPr>
          <w:rFonts w:ascii="Times New Roman" w:hAnsi="Times New Roman"/>
          <w:color w:val="auto"/>
        </w:rPr>
      </w:pPr>
      <w:r>
        <w:rPr>
          <w:rFonts w:ascii="Times New Roman" w:hAnsi="Times New Roman"/>
          <w:color w:val="auto"/>
        </w:rPr>
        <w:t>水库进水系统</w:t>
      </w:r>
      <w:r>
        <w:rPr>
          <w:rFonts w:hint="eastAsia" w:ascii="Times New Roman" w:hAnsi="Times New Roman"/>
          <w:color w:val="auto"/>
        </w:rPr>
        <w:t>：水库进水系统布置在水库东北角，底高程</w:t>
      </w:r>
      <w:r>
        <w:rPr>
          <w:rFonts w:ascii="Times New Roman" w:hAnsi="Times New Roman"/>
          <w:color w:val="auto"/>
        </w:rPr>
        <w:t>1034.35m，入库流量6.0m</w:t>
      </w:r>
      <w:r>
        <w:rPr>
          <w:rFonts w:ascii="Times New Roman" w:hAnsi="Times New Roman"/>
          <w:color w:val="auto"/>
          <w:vertAlign w:val="superscript"/>
        </w:rPr>
        <w:t>3</w:t>
      </w:r>
      <w:r>
        <w:rPr>
          <w:rFonts w:ascii="Times New Roman" w:hAnsi="Times New Roman"/>
          <w:color w:val="auto"/>
        </w:rPr>
        <w:t>/s，主要由进水闸室段、箱涵段、消能段和护坦段等组成。</w:t>
      </w:r>
    </w:p>
    <w:p w14:paraId="29C4028F">
      <w:pPr>
        <w:pStyle w:val="21"/>
        <w:rPr>
          <w:rFonts w:ascii="Times New Roman" w:hAnsi="Times New Roman"/>
          <w:color w:val="auto"/>
        </w:rPr>
      </w:pPr>
      <w:r>
        <w:rPr>
          <w:rFonts w:ascii="Times New Roman" w:hAnsi="Times New Roman"/>
          <w:color w:val="auto"/>
        </w:rPr>
        <w:t>水库出水系统</w:t>
      </w:r>
      <w:r>
        <w:rPr>
          <w:rFonts w:hint="eastAsia" w:ascii="Times New Roman" w:hAnsi="Times New Roman"/>
          <w:color w:val="auto"/>
        </w:rPr>
        <w:t>：水库出水系统布置在水库南端较低处，底高程</w:t>
      </w:r>
      <w:r>
        <w:rPr>
          <w:rFonts w:ascii="Times New Roman" w:hAnsi="Times New Roman"/>
          <w:color w:val="auto"/>
        </w:rPr>
        <w:t>1025.70m，出库流量5.9m/s。出水采用坝下廊道型式，在距坝线约350m后与口泉水厂供水管线相接。主要建筑物由出水池、出水闸、交通桥、坝下廊道、工作闸室、流量计井及出水管线等组成，出水钢管直径1.6m</w:t>
      </w:r>
      <w:r>
        <w:rPr>
          <w:rFonts w:hint="eastAsia" w:ascii="Times New Roman" w:hAnsi="Times New Roman"/>
          <w:color w:val="auto"/>
        </w:rPr>
        <w:t>～</w:t>
      </w:r>
      <w:r>
        <w:rPr>
          <w:rFonts w:ascii="Times New Roman" w:hAnsi="Times New Roman"/>
          <w:color w:val="auto"/>
        </w:rPr>
        <w:t>2.0m。出水闸由交通桥连接，桥长15m。</w:t>
      </w:r>
    </w:p>
    <w:p w14:paraId="6033B4F0">
      <w:pPr>
        <w:pStyle w:val="21"/>
        <w:rPr>
          <w:rFonts w:ascii="Times New Roman" w:hAnsi="Times New Roman"/>
          <w:color w:val="auto"/>
        </w:rPr>
      </w:pPr>
      <w:r>
        <w:rPr>
          <w:rFonts w:ascii="Times New Roman" w:hAnsi="Times New Roman"/>
          <w:color w:val="auto"/>
        </w:rPr>
        <w:t>水库事故放空系统</w:t>
      </w:r>
      <w:r>
        <w:rPr>
          <w:rFonts w:hint="eastAsia" w:ascii="Times New Roman" w:hAnsi="Times New Roman"/>
          <w:color w:val="auto"/>
        </w:rPr>
        <w:t>：水库事故放空系统在出水管后与放水管呈</w:t>
      </w:r>
      <w:r>
        <w:rPr>
          <w:rFonts w:ascii="Times New Roman" w:hAnsi="Times New Roman"/>
          <w:color w:val="auto"/>
        </w:rPr>
        <w:t>T形接口，放空管直径1.5m，放空管平均放空流量为4m</w:t>
      </w:r>
      <w:r>
        <w:rPr>
          <w:rFonts w:ascii="Times New Roman" w:hAnsi="Times New Roman"/>
          <w:color w:val="auto"/>
          <w:vertAlign w:val="superscript"/>
        </w:rPr>
        <w:t>3</w:t>
      </w:r>
      <w:r>
        <w:rPr>
          <w:rFonts w:ascii="Times New Roman" w:hAnsi="Times New Roman"/>
          <w:color w:val="auto"/>
        </w:rPr>
        <w:t>/s。消力池后接内断面为2.0m</w:t>
      </w:r>
      <w:r>
        <w:rPr>
          <w:rFonts w:hint="eastAsia" w:ascii="Times New Roman" w:hAnsi="Times New Roman"/>
          <w:color w:val="auto"/>
        </w:rPr>
        <w:t>×</w:t>
      </w:r>
      <w:r>
        <w:rPr>
          <w:rFonts w:ascii="Times New Roman" w:hAnsi="Times New Roman"/>
          <w:color w:val="auto"/>
        </w:rPr>
        <w:t>1.5m的无压箱涵，出口与口泉河滩地连接</w:t>
      </w:r>
      <w:r>
        <w:rPr>
          <w:rFonts w:hint="eastAsia" w:ascii="Times New Roman" w:hAnsi="Times New Roman"/>
          <w:color w:val="auto"/>
        </w:rPr>
        <w:t>。</w:t>
      </w:r>
    </w:p>
    <w:p w14:paraId="17266C02">
      <w:pPr>
        <w:pStyle w:val="21"/>
        <w:rPr>
          <w:rFonts w:ascii="Times New Roman" w:hAnsi="Times New Roman"/>
          <w:color w:val="auto"/>
        </w:rPr>
      </w:pPr>
      <w:r>
        <w:rPr>
          <w:rFonts w:hint="eastAsia" w:ascii="Times New Roman" w:hAnsi="Times New Roman"/>
          <w:color w:val="auto"/>
        </w:rPr>
        <w:t>防控体系建设情况：墙框堡水库水源地设有明显的标识牌，水库周围设有高于库区水面的大坝，水库环坝公路上安装有可视化视频系统，库区设有应急物资库。</w:t>
      </w:r>
    </w:p>
    <w:p w14:paraId="0561976C">
      <w:pPr>
        <w:pStyle w:val="21"/>
        <w:rPr>
          <w:rFonts w:ascii="Times New Roman" w:hAnsi="Times New Roman"/>
          <w:color w:val="auto"/>
        </w:rPr>
      </w:pPr>
      <w:r>
        <w:rPr>
          <w:rFonts w:hint="eastAsia" w:ascii="Times New Roman" w:hAnsi="Times New Roman"/>
          <w:color w:val="auto"/>
        </w:rPr>
        <w:t>（2）自然地理特征</w:t>
      </w:r>
    </w:p>
    <w:p w14:paraId="065B7BE4">
      <w:pPr>
        <w:pStyle w:val="21"/>
        <w:rPr>
          <w:rFonts w:ascii="Times New Roman" w:hAnsi="Times New Roman"/>
          <w:color w:val="auto"/>
        </w:rPr>
      </w:pPr>
      <w:r>
        <w:rPr>
          <w:rFonts w:hint="eastAsia" w:ascii="Times New Roman" w:hAnsi="Times New Roman"/>
          <w:color w:val="auto"/>
        </w:rPr>
        <w:t>墙框堡水库为围封式水库，入库水流为地下泵站抽水入库和垂向大气降水，除黄河水外无客水汇入。</w:t>
      </w:r>
    </w:p>
    <w:p w14:paraId="413FD6BA">
      <w:pPr>
        <w:pStyle w:val="21"/>
        <w:rPr>
          <w:rFonts w:ascii="Times New Roman" w:hAnsi="Times New Roman"/>
          <w:color w:val="auto"/>
        </w:rPr>
      </w:pPr>
      <w:r>
        <w:rPr>
          <w:rFonts w:hint="eastAsia" w:ascii="Times New Roman" w:hAnsi="Times New Roman"/>
          <w:color w:val="auto"/>
        </w:rPr>
        <w:t>墙框堡水库库区处于大同盆地西侧边缘地带，地貌单元属于山前冲洪积倾斜平原区，由一系列洪积扇重叠相连组成，呈北高南低缓坡地形，地面高程</w:t>
      </w:r>
      <w:r>
        <w:rPr>
          <w:rFonts w:ascii="Times New Roman" w:hAnsi="Times New Roman"/>
          <w:color w:val="auto"/>
        </w:rPr>
        <w:t>1027.9</w:t>
      </w:r>
      <w:r>
        <w:rPr>
          <w:rFonts w:hint="eastAsia" w:ascii="Times New Roman" w:hAnsi="Times New Roman"/>
          <w:color w:val="auto"/>
        </w:rPr>
        <w:t>～</w:t>
      </w:r>
      <w:r>
        <w:rPr>
          <w:rFonts w:ascii="Times New Roman" w:hAnsi="Times New Roman"/>
          <w:color w:val="auto"/>
        </w:rPr>
        <w:t>1036.1m。</w:t>
      </w:r>
    </w:p>
    <w:p w14:paraId="4529361B">
      <w:pPr>
        <w:pStyle w:val="21"/>
        <w:rPr>
          <w:rFonts w:ascii="Times New Roman" w:hAnsi="Times New Roman"/>
          <w:color w:val="auto"/>
        </w:rPr>
      </w:pPr>
      <w:r>
        <w:rPr>
          <w:rFonts w:hint="eastAsia" w:ascii="Times New Roman" w:hAnsi="Times New Roman"/>
          <w:color w:val="auto"/>
        </w:rPr>
        <w:t>（3）社会经济状况</w:t>
      </w:r>
    </w:p>
    <w:p w14:paraId="63C5668E">
      <w:pPr>
        <w:pStyle w:val="21"/>
        <w:rPr>
          <w:rFonts w:ascii="Times New Roman" w:hAnsi="Times New Roman"/>
          <w:color w:val="auto"/>
        </w:rPr>
      </w:pPr>
      <w:r>
        <w:rPr>
          <w:rFonts w:hint="eastAsia" w:ascii="Times New Roman" w:hAnsi="Times New Roman"/>
          <w:color w:val="auto"/>
        </w:rPr>
        <w:t>云冈区位于大同市西南部，经国务院批准，按照省政府关于同意我市调整部分行政区划的批复正式设立，以原城区的西花园街道、老平旺街道，原南郊区的高山镇、云冈镇、口泉乡、平旺乡、西韩岭乡、鸦儿崖乡，原矿区的行政区域为云冈区的行政区域。</w:t>
      </w:r>
    </w:p>
    <w:p w14:paraId="62BE8FEB">
      <w:pPr>
        <w:pStyle w:val="21"/>
        <w:rPr>
          <w:rFonts w:ascii="Times New Roman" w:hAnsi="Times New Roman"/>
          <w:color w:val="auto"/>
        </w:rPr>
      </w:pPr>
      <w:r>
        <w:rPr>
          <w:rFonts w:hint="eastAsia" w:ascii="Times New Roman" w:hAnsi="Times New Roman"/>
          <w:color w:val="auto"/>
        </w:rPr>
        <w:t>云冈区政府驻口泉乡，云冈区东邻平城区、云州区，西接左云县，南连怀仁市，北依新荣区，总面积</w:t>
      </w:r>
      <w:r>
        <w:rPr>
          <w:rFonts w:ascii="Times New Roman" w:hAnsi="Times New Roman"/>
          <w:color w:val="auto"/>
        </w:rPr>
        <w:t>737．81平方公里，辖4乡2镇、94个行政村、21个街道、152个社区，常住人口67．75万人。</w:t>
      </w:r>
    </w:p>
    <w:p w14:paraId="1CC3B615">
      <w:pPr>
        <w:pStyle w:val="21"/>
        <w:rPr>
          <w:rFonts w:ascii="Times New Roman" w:hAnsi="Times New Roman"/>
          <w:color w:val="auto"/>
        </w:rPr>
      </w:pPr>
      <w:r>
        <w:rPr>
          <w:rFonts w:hint="eastAsia" w:ascii="Times New Roman" w:hAnsi="Times New Roman"/>
          <w:color w:val="auto"/>
        </w:rPr>
        <w:t>云冈区工业工业雄厚、商贸繁荣。有晋能控股煤业有限公司、山西柴油机厂、大唐热电、中煤能源、冀东水泥等一批国有大中型企业，是典型的传统能源重化工基地。电力资源丰富，现有各类电厂</w:t>
      </w:r>
      <w:r>
        <w:rPr>
          <w:rFonts w:ascii="Times New Roman" w:hAnsi="Times New Roman"/>
          <w:color w:val="auto"/>
        </w:rPr>
        <w:t>21座，火力发电总装机规模474．4万千瓦，光伏发电核准容量合计84万千瓦。2023年全区火电和光伏累计发电量254．78亿千瓦时，占全省发电总量的5．71％，占全市发电总量的45．02％。（2024年上半年全区火电和光伏累计发电量121．90千瓦时）</w:t>
      </w:r>
      <w:r>
        <w:rPr>
          <w:rFonts w:hint="eastAsia" w:ascii="Times New Roman" w:hAnsi="Times New Roman"/>
          <w:color w:val="auto"/>
        </w:rPr>
        <w:t>。</w:t>
      </w:r>
    </w:p>
    <w:p w14:paraId="1444B10F">
      <w:pPr>
        <w:pStyle w:val="21"/>
        <w:rPr>
          <w:rFonts w:ascii="Times New Roman" w:hAnsi="Times New Roman"/>
          <w:color w:val="auto"/>
        </w:rPr>
      </w:pPr>
      <w:r>
        <w:rPr>
          <w:rFonts w:ascii="Times New Roman" w:hAnsi="Times New Roman"/>
          <w:color w:val="auto"/>
        </w:rPr>
        <w:t>2024年上半年，全区地区生产总值249．14亿元，增速－1．3％；规模以上工业增加值增速为－5．5％；固定资产投资53．2亿元，增速21．5％；社会消费品零售总额74．77亿元，增速3．9％；一般公共预算收入9．19亿元，增速－15．7％；城镇居民人均可支配收入21128元，增速4．5％；农村居民人均可支配收入9433元，增速6．5％。</w:t>
      </w:r>
    </w:p>
    <w:p w14:paraId="55E1C1F0">
      <w:pPr>
        <w:pStyle w:val="21"/>
        <w:rPr>
          <w:rFonts w:ascii="Times New Roman" w:hAnsi="Times New Roman"/>
          <w:color w:val="auto"/>
        </w:rPr>
      </w:pPr>
      <w:r>
        <w:rPr>
          <w:rFonts w:hint="eastAsia" w:ascii="Times New Roman" w:hAnsi="Times New Roman"/>
          <w:color w:val="auto"/>
        </w:rPr>
        <w:t>（4）水环境质量状况</w:t>
      </w:r>
    </w:p>
    <w:p w14:paraId="4A0107FE">
      <w:pPr>
        <w:pStyle w:val="21"/>
        <w:rPr>
          <w:rFonts w:ascii="Times New Roman" w:hAnsi="Times New Roman"/>
          <w:color w:val="auto"/>
        </w:rPr>
      </w:pPr>
      <w:r>
        <w:rPr>
          <w:rFonts w:ascii="Times New Roman" w:hAnsi="Times New Roman"/>
          <w:color w:val="auto"/>
        </w:rPr>
        <w:t>2025年山西省大同生态环境监测中心对</w:t>
      </w:r>
      <w:r>
        <w:rPr>
          <w:rFonts w:hint="eastAsia" w:ascii="Times New Roman" w:hAnsi="Times New Roman"/>
          <w:color w:val="auto"/>
        </w:rPr>
        <w:t>墙框堡水库水源地水质进行了监测，监测断面设置在水库出水区，监测项目为《地表水环境质量标准》（</w:t>
      </w:r>
      <w:r>
        <w:rPr>
          <w:rFonts w:ascii="Times New Roman" w:hAnsi="Times New Roman"/>
          <w:color w:val="auto"/>
        </w:rPr>
        <w:t>GB3838-2002）表1的基本项目（23项，化学需氧量除外）、表2的补充项目（5项）和表3的优选特定项目（33项），共61项，其中湖库型加测叶绿素a和透明度。</w:t>
      </w:r>
      <w:r>
        <w:rPr>
          <w:rFonts w:hint="eastAsia" w:ascii="Times New Roman" w:hAnsi="Times New Roman"/>
          <w:color w:val="auto"/>
        </w:rPr>
        <w:t>根据大同市发布的饮用水源地水质月报，2</w:t>
      </w:r>
      <w:r>
        <w:rPr>
          <w:rFonts w:ascii="Times New Roman" w:hAnsi="Times New Roman"/>
          <w:color w:val="auto"/>
        </w:rPr>
        <w:t>025</w:t>
      </w:r>
      <w:r>
        <w:rPr>
          <w:rFonts w:hint="eastAsia" w:ascii="Times New Roman" w:hAnsi="Times New Roman"/>
          <w:color w:val="auto"/>
        </w:rPr>
        <w:t>年1-</w:t>
      </w:r>
      <w:r>
        <w:rPr>
          <w:rFonts w:ascii="Times New Roman" w:hAnsi="Times New Roman"/>
          <w:color w:val="auto"/>
        </w:rPr>
        <w:t>6</w:t>
      </w:r>
      <w:r>
        <w:rPr>
          <w:rFonts w:hint="eastAsia" w:ascii="Times New Roman" w:hAnsi="Times New Roman"/>
          <w:color w:val="auto"/>
        </w:rPr>
        <w:t>月份墙框堡水库水源地水质达标。</w:t>
      </w:r>
    </w:p>
    <w:p w14:paraId="2E8262E4">
      <w:pPr>
        <w:pStyle w:val="21"/>
        <w:rPr>
          <w:rFonts w:ascii="Times New Roman" w:hAnsi="Times New Roman"/>
          <w:color w:val="auto"/>
        </w:rPr>
      </w:pPr>
      <w:bookmarkStart w:id="5" w:name="_Toc205817876"/>
      <w:r>
        <w:rPr>
          <w:rFonts w:hint="eastAsia" w:ascii="Times New Roman" w:hAnsi="Times New Roman"/>
          <w:color w:val="auto"/>
        </w:rPr>
        <w:t>3、风险评估</w:t>
      </w:r>
      <w:bookmarkEnd w:id="5"/>
    </w:p>
    <w:p w14:paraId="5B30F8B9">
      <w:pPr>
        <w:pStyle w:val="21"/>
        <w:rPr>
          <w:rFonts w:ascii="Times New Roman" w:hAnsi="Times New Roman"/>
          <w:color w:val="auto"/>
        </w:rPr>
      </w:pPr>
      <w:r>
        <w:rPr>
          <w:rFonts w:hint="eastAsia" w:ascii="Times New Roman" w:hAnsi="Times New Roman"/>
          <w:color w:val="auto"/>
        </w:rPr>
        <w:t>根据《集中式饮用水水源地规范化建设环境保护技术要求》</w:t>
      </w:r>
      <w:r>
        <w:rPr>
          <w:rFonts w:ascii="Times New Roman" w:hAnsi="Times New Roman"/>
          <w:color w:val="auto"/>
        </w:rPr>
        <w:t>（HJ773-2015）和《集中式饮用水水源地环境保护状况评估技术规范》（HJ774-2015），风险源为可能向饮用水水源地释放有毒有害物质，造成饮用水水源水质恶化的污染源，包括但不限于工矿企业、事业单位以及输送石化、化工产品的管线等点源</w:t>
      </w:r>
      <w:r>
        <w:rPr>
          <w:rFonts w:hint="eastAsia" w:ascii="Times New Roman" w:hAnsi="Times New Roman"/>
          <w:color w:val="auto"/>
        </w:rPr>
        <w:t>；</w:t>
      </w:r>
      <w:r>
        <w:rPr>
          <w:rFonts w:ascii="Times New Roman" w:hAnsi="Times New Roman"/>
          <w:color w:val="auto"/>
        </w:rPr>
        <w:t>运输危险化学品、危险废物及其他影响饮用水水源安全物质的车辆、船舶等流动源</w:t>
      </w:r>
      <w:r>
        <w:rPr>
          <w:rFonts w:hint="eastAsia" w:ascii="Times New Roman" w:hAnsi="Times New Roman"/>
          <w:color w:val="auto"/>
        </w:rPr>
        <w:t>；</w:t>
      </w:r>
      <w:r>
        <w:rPr>
          <w:rFonts w:ascii="Times New Roman" w:hAnsi="Times New Roman"/>
          <w:color w:val="auto"/>
        </w:rPr>
        <w:t>有可能对水源</w:t>
      </w:r>
      <w:r>
        <w:rPr>
          <w:rFonts w:hint="eastAsia" w:ascii="Times New Roman" w:hAnsi="Times New Roman"/>
          <w:color w:val="auto"/>
        </w:rPr>
        <w:t>地水质造成影响的无固定污染排放点的畜禽、水产养殖污水等非点源。</w:t>
      </w:r>
    </w:p>
    <w:p w14:paraId="41C0B011">
      <w:pPr>
        <w:pStyle w:val="21"/>
        <w:rPr>
          <w:rFonts w:ascii="Times New Roman" w:hAnsi="Times New Roman"/>
          <w:color w:val="auto"/>
        </w:rPr>
      </w:pPr>
      <w:r>
        <w:rPr>
          <w:rFonts w:hint="eastAsia" w:ascii="Times New Roman" w:hAnsi="Times New Roman"/>
          <w:color w:val="auto"/>
        </w:rPr>
        <w:t>经现场调查，墙框堡水库饮用水源一级保护区属封闭型管理，保护区内无居民，无工业企业，无畜禽养殖企业，无农业种植业，无固体废物堆存，不存在风险源。</w:t>
      </w:r>
    </w:p>
    <w:p w14:paraId="20CECA6D">
      <w:pPr>
        <w:pStyle w:val="21"/>
        <w:rPr>
          <w:rFonts w:ascii="Times New Roman" w:hAnsi="Times New Roman"/>
          <w:color w:val="auto"/>
        </w:rPr>
      </w:pPr>
      <w:r>
        <w:rPr>
          <w:rFonts w:hint="eastAsia" w:ascii="Times New Roman" w:hAnsi="Times New Roman"/>
          <w:color w:val="auto"/>
        </w:rPr>
        <w:t>外围控制区内，一级保护区外的东侧</w:t>
      </w:r>
      <w:r>
        <w:rPr>
          <w:rFonts w:ascii="Times New Roman" w:hAnsi="Times New Roman"/>
          <w:color w:val="auto"/>
        </w:rPr>
        <w:t>有一家规模化奶牛养殖场，</w:t>
      </w:r>
      <w:r>
        <w:rPr>
          <w:rFonts w:hint="eastAsia" w:ascii="Times New Roman" w:hAnsi="Times New Roman"/>
          <w:color w:val="auto"/>
        </w:rPr>
        <w:t>一级保护区的东南侧为康晟葡萄采摘园，其余区域为农业种植区和村庄。</w:t>
      </w:r>
    </w:p>
    <w:p w14:paraId="6D0E42ED">
      <w:pPr>
        <w:pStyle w:val="21"/>
        <w:rPr>
          <w:rFonts w:ascii="Times New Roman" w:hAnsi="Times New Roman"/>
          <w:color w:val="auto"/>
        </w:rPr>
      </w:pPr>
      <w:r>
        <w:rPr>
          <w:rFonts w:hint="eastAsia" w:ascii="Times New Roman" w:hAnsi="Times New Roman"/>
          <w:color w:val="auto"/>
        </w:rPr>
        <w:t>基于上述调查信息，确定墙框堡水库饮用水水源地风险源为奶牛养殖场、葡萄采摘园、村民生活源及农业面源污染。</w:t>
      </w:r>
    </w:p>
    <w:p w14:paraId="63E04092">
      <w:pPr>
        <w:pStyle w:val="21"/>
        <w:rPr>
          <w:rFonts w:ascii="Times New Roman" w:hAnsi="Times New Roman"/>
          <w:color w:val="auto"/>
        </w:rPr>
      </w:pPr>
    </w:p>
    <w:p w14:paraId="14183386">
      <w:pPr>
        <w:pStyle w:val="21"/>
        <w:rPr>
          <w:rFonts w:ascii="Times New Roman" w:hAnsi="Times New Roman"/>
          <w:color w:val="auto"/>
        </w:rPr>
      </w:pPr>
    </w:p>
    <w:p w14:paraId="196C1919">
      <w:pPr>
        <w:pStyle w:val="17"/>
        <w:rPr>
          <w:rFonts w:ascii="Times New Roman" w:hAnsi="Times New Roman"/>
        </w:rPr>
        <w:sectPr>
          <w:footerReference r:id="rId6" w:type="default"/>
          <w:pgSz w:w="11906" w:h="16838"/>
          <w:pgMar w:top="1440" w:right="1701" w:bottom="1440" w:left="1701" w:header="851" w:footer="992" w:gutter="0"/>
          <w:pgNumType w:start="1"/>
          <w:cols w:space="425" w:num="1"/>
          <w:docGrid w:type="lines" w:linePitch="312" w:charSpace="0"/>
        </w:sectPr>
      </w:pPr>
    </w:p>
    <w:p w14:paraId="3A266C8C">
      <w:pPr>
        <w:pStyle w:val="17"/>
        <w:rPr>
          <w:rFonts w:ascii="Times New Roman" w:hAnsi="Times New Roman"/>
        </w:rPr>
      </w:pPr>
      <w:bookmarkStart w:id="6" w:name="_Toc213690683"/>
      <w:r>
        <w:rPr>
          <w:rFonts w:ascii="Times New Roman" w:hAnsi="Times New Roman"/>
        </w:rPr>
        <w:t>1总则</w:t>
      </w:r>
      <w:bookmarkEnd w:id="6"/>
    </w:p>
    <w:p w14:paraId="3853E22B">
      <w:pPr>
        <w:pStyle w:val="18"/>
        <w:rPr>
          <w:rFonts w:ascii="Times New Roman" w:hAnsi="Times New Roman"/>
        </w:rPr>
      </w:pPr>
      <w:bookmarkStart w:id="7" w:name="_Toc213690684"/>
      <w:r>
        <w:rPr>
          <w:rFonts w:ascii="Times New Roman" w:hAnsi="Times New Roman"/>
        </w:rPr>
        <w:t>1.1编制目的</w:t>
      </w:r>
      <w:bookmarkEnd w:id="7"/>
    </w:p>
    <w:p w14:paraId="7D96A4CE">
      <w:pPr>
        <w:pStyle w:val="21"/>
        <w:rPr>
          <w:rFonts w:ascii="Times New Roman" w:hAnsi="Times New Roman"/>
          <w:color w:val="auto"/>
        </w:rPr>
      </w:pPr>
      <w:r>
        <w:rPr>
          <w:rFonts w:hint="eastAsia" w:ascii="Times New Roman" w:hAnsi="Times New Roman"/>
          <w:color w:val="auto"/>
        </w:rPr>
        <w:t>为切实做好大同市云冈区集中式地表水饮用水水源地突发环境事件应急工作，建立健全饮用水水源地突发环境事件的应急机制，高效、有序地组织预警、控制和处置饮用水水源地突发环境事件，提高政府应对饮用水水源地突发环境事件的能力，确保饮用水水源安全，维护社会稳定，保障公众生命健康和财产安全，保护环境，促进经济社会全面、协调、可持续发展，特制定本预案。</w:t>
      </w:r>
    </w:p>
    <w:p w14:paraId="0C5C1F98">
      <w:pPr>
        <w:pStyle w:val="18"/>
        <w:rPr>
          <w:rFonts w:ascii="Times New Roman" w:hAnsi="Times New Roman"/>
        </w:rPr>
      </w:pPr>
      <w:bookmarkStart w:id="8" w:name="_Toc213690685"/>
      <w:r>
        <w:rPr>
          <w:rFonts w:hint="eastAsia" w:ascii="Times New Roman" w:hAnsi="Times New Roman"/>
        </w:rPr>
        <w:t>1</w:t>
      </w:r>
      <w:r>
        <w:rPr>
          <w:rFonts w:ascii="Times New Roman" w:hAnsi="Times New Roman"/>
        </w:rPr>
        <w:t>.2</w:t>
      </w:r>
      <w:r>
        <w:rPr>
          <w:rFonts w:hint="eastAsia" w:ascii="Times New Roman" w:hAnsi="Times New Roman"/>
        </w:rPr>
        <w:t>编制依据</w:t>
      </w:r>
      <w:bookmarkEnd w:id="8"/>
    </w:p>
    <w:p w14:paraId="7C5DC05C">
      <w:pPr>
        <w:pStyle w:val="23"/>
        <w:rPr>
          <w:rFonts w:ascii="Times New Roman" w:hAnsi="Times New Roman"/>
        </w:rPr>
      </w:pPr>
      <w:bookmarkStart w:id="9" w:name="_Toc213690686"/>
      <w:r>
        <w:rPr>
          <w:rFonts w:hint="eastAsia" w:ascii="Times New Roman" w:hAnsi="Times New Roman"/>
        </w:rPr>
        <w:t>1</w:t>
      </w:r>
      <w:r>
        <w:rPr>
          <w:rFonts w:ascii="Times New Roman" w:hAnsi="Times New Roman"/>
        </w:rPr>
        <w:t>.2.1</w:t>
      </w:r>
      <w:r>
        <w:rPr>
          <w:rFonts w:hint="eastAsia" w:ascii="Times New Roman" w:hAnsi="Times New Roman"/>
        </w:rPr>
        <w:t>法律法规、规章</w:t>
      </w:r>
      <w:bookmarkEnd w:id="9"/>
    </w:p>
    <w:p w14:paraId="469B040D">
      <w:pPr>
        <w:pStyle w:val="21"/>
        <w:rPr>
          <w:rFonts w:ascii="Times New Roman" w:hAnsi="Times New Roman"/>
          <w:color w:val="auto"/>
        </w:rPr>
      </w:pPr>
      <w:r>
        <w:rPr>
          <w:rFonts w:hint="eastAsia" w:ascii="Times New Roman" w:hAnsi="Times New Roman"/>
          <w:color w:val="auto"/>
        </w:rPr>
        <w:t>（1）《中华人民共和国环境保护法》</w:t>
      </w:r>
      <w:r>
        <w:rPr>
          <w:rFonts w:ascii="Times New Roman" w:hAnsi="Times New Roman"/>
          <w:color w:val="auto"/>
        </w:rPr>
        <w:t>（2015年1月1日起实施）</w:t>
      </w:r>
      <w:r>
        <w:rPr>
          <w:rFonts w:hint="eastAsia" w:ascii="Times New Roman" w:hAnsi="Times New Roman"/>
          <w:color w:val="auto"/>
        </w:rPr>
        <w:t>；</w:t>
      </w:r>
    </w:p>
    <w:p w14:paraId="5E1B1F7D">
      <w:pPr>
        <w:pStyle w:val="21"/>
        <w:rPr>
          <w:rFonts w:ascii="Times New Roman" w:hAnsi="Times New Roman"/>
          <w:color w:val="auto"/>
        </w:rPr>
      </w:pPr>
      <w:r>
        <w:rPr>
          <w:rFonts w:hint="eastAsia" w:ascii="Times New Roman" w:hAnsi="Times New Roman"/>
          <w:color w:val="auto"/>
        </w:rPr>
        <w:t>（2）《中华人民共和国突发事件应对法》（2</w:t>
      </w:r>
      <w:r>
        <w:rPr>
          <w:rFonts w:ascii="Times New Roman" w:hAnsi="Times New Roman"/>
          <w:color w:val="auto"/>
        </w:rPr>
        <w:t>024</w:t>
      </w:r>
      <w:r>
        <w:rPr>
          <w:rFonts w:hint="eastAsia" w:ascii="Times New Roman" w:hAnsi="Times New Roman"/>
          <w:color w:val="auto"/>
        </w:rPr>
        <w:t>年1</w:t>
      </w:r>
      <w:r>
        <w:rPr>
          <w:rFonts w:ascii="Times New Roman" w:hAnsi="Times New Roman"/>
          <w:color w:val="auto"/>
        </w:rPr>
        <w:t>1</w:t>
      </w:r>
      <w:r>
        <w:rPr>
          <w:rFonts w:hint="eastAsia" w:ascii="Times New Roman" w:hAnsi="Times New Roman"/>
          <w:color w:val="auto"/>
        </w:rPr>
        <w:t>月</w:t>
      </w:r>
      <w:r>
        <w:rPr>
          <w:rFonts w:ascii="Times New Roman" w:hAnsi="Times New Roman"/>
          <w:color w:val="auto"/>
        </w:rPr>
        <w:t>1</w:t>
      </w:r>
      <w:r>
        <w:rPr>
          <w:rFonts w:hint="eastAsia" w:ascii="Times New Roman" w:hAnsi="Times New Roman"/>
          <w:color w:val="auto"/>
        </w:rPr>
        <w:t>日起实施）；</w:t>
      </w:r>
    </w:p>
    <w:p w14:paraId="2B7E0EF1">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w:t>
      </w:r>
      <w:r>
        <w:rPr>
          <w:rFonts w:hint="eastAsia" w:ascii="Times New Roman" w:hAnsi="Times New Roman"/>
          <w:color w:val="auto"/>
        </w:rPr>
        <w:t>）</w:t>
      </w:r>
      <w:r>
        <w:rPr>
          <w:rFonts w:ascii="Times New Roman" w:hAnsi="Times New Roman"/>
          <w:color w:val="auto"/>
        </w:rPr>
        <w:t>《中华人民共和国水污染防治法》</w:t>
      </w:r>
      <w:r>
        <w:rPr>
          <w:rFonts w:hint="eastAsia" w:ascii="Times New Roman" w:hAnsi="Times New Roman"/>
          <w:color w:val="auto"/>
        </w:rPr>
        <w:t>（</w:t>
      </w:r>
      <w:r>
        <w:rPr>
          <w:rFonts w:ascii="Times New Roman" w:hAnsi="Times New Roman"/>
          <w:color w:val="auto"/>
        </w:rPr>
        <w:t>2018年1月1日起施行</w:t>
      </w:r>
      <w:r>
        <w:rPr>
          <w:rFonts w:hint="eastAsia" w:ascii="Times New Roman" w:hAnsi="Times New Roman"/>
          <w:color w:val="auto"/>
        </w:rPr>
        <w:t>）；</w:t>
      </w:r>
    </w:p>
    <w:p w14:paraId="2A250F4F">
      <w:pPr>
        <w:pStyle w:val="21"/>
        <w:rPr>
          <w:rFonts w:ascii="Times New Roman" w:hAnsi="Times New Roman"/>
          <w:color w:val="auto"/>
        </w:rPr>
      </w:pPr>
      <w:r>
        <w:rPr>
          <w:rFonts w:hint="eastAsia" w:ascii="Times New Roman" w:hAnsi="Times New Roman"/>
          <w:color w:val="auto"/>
        </w:rPr>
        <w:t>（4）《饮用水水源保护区污染防治管理规定》（环境保护部令第</w:t>
      </w:r>
      <w:r>
        <w:rPr>
          <w:rFonts w:ascii="Times New Roman" w:hAnsi="Times New Roman"/>
          <w:color w:val="auto"/>
        </w:rPr>
        <w:t>16号）；</w:t>
      </w:r>
    </w:p>
    <w:p w14:paraId="5A6F9503">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5）《突发环境事件应急预案管理办法》（2015年6月5日起实施）；</w:t>
      </w:r>
    </w:p>
    <w:p w14:paraId="2A478DB8">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6）《突发环境事件信息报告办法》（2011年5月1日起实施）；</w:t>
      </w:r>
    </w:p>
    <w:p w14:paraId="32C8A270">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7）《突发环境事件调查处理办法》（2015年3月1日起施行）；</w:t>
      </w:r>
    </w:p>
    <w:p w14:paraId="1FAFD581">
      <w:pPr>
        <w:pStyle w:val="21"/>
        <w:rPr>
          <w:rFonts w:ascii="Times New Roman" w:hAnsi="Times New Roman"/>
          <w:color w:val="auto"/>
        </w:rPr>
      </w:pPr>
      <w:r>
        <w:rPr>
          <w:rFonts w:hint="eastAsia" w:ascii="Times New Roman" w:hAnsi="Times New Roman"/>
          <w:color w:val="auto"/>
        </w:rPr>
        <w:t>（8）《城市供水水质管理规定》（建设部令第</w:t>
      </w:r>
      <w:r>
        <w:rPr>
          <w:rFonts w:ascii="Times New Roman" w:hAnsi="Times New Roman"/>
          <w:color w:val="auto"/>
        </w:rPr>
        <w:t>156号）；</w:t>
      </w:r>
    </w:p>
    <w:p w14:paraId="6F8E632D">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9）《山西省突发事件应对条例》（2012年6月1日起实施）；</w:t>
      </w:r>
    </w:p>
    <w:p w14:paraId="796839E6">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10）《山西省突发事件应急管理办法》（2024年6月7日实施）；</w:t>
      </w:r>
    </w:p>
    <w:p w14:paraId="0B9EA455">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11）山西省人民政府办公厅关于印发《山西省突发环境事件应急预案》的通知（晋政办发</w:t>
      </w:r>
      <w:bookmarkStart w:id="10" w:name="OLE_LINK197"/>
      <w:bookmarkStart w:id="11" w:name="OLE_LINK198"/>
      <w:r>
        <w:rPr>
          <w:rFonts w:hint="eastAsia" w:ascii="Times New Roman" w:hAnsi="Times New Roman"/>
          <w:color w:val="auto"/>
        </w:rPr>
        <w:t>〔</w:t>
      </w:r>
      <w:r>
        <w:rPr>
          <w:rFonts w:ascii="Times New Roman" w:hAnsi="Times New Roman"/>
          <w:color w:val="auto"/>
        </w:rPr>
        <w:t>2020〕</w:t>
      </w:r>
      <w:bookmarkEnd w:id="10"/>
      <w:bookmarkEnd w:id="11"/>
      <w:r>
        <w:rPr>
          <w:rFonts w:ascii="Times New Roman" w:hAnsi="Times New Roman"/>
          <w:color w:val="auto"/>
        </w:rPr>
        <w:t>104号）；</w:t>
      </w:r>
    </w:p>
    <w:p w14:paraId="56DBC041">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12）《大同市突发事件应急预案管理办法》（2025年4月15日实施）</w:t>
      </w:r>
      <w:r>
        <w:rPr>
          <w:rFonts w:hint="eastAsia" w:ascii="Times New Roman" w:hAnsi="Times New Roman"/>
          <w:color w:val="auto"/>
        </w:rPr>
        <w:t>；</w:t>
      </w:r>
    </w:p>
    <w:p w14:paraId="7FA2ED74">
      <w:pPr>
        <w:pStyle w:val="21"/>
        <w:rPr>
          <w:rFonts w:ascii="Times New Roman" w:hAnsi="Times New Roman"/>
          <w:color w:val="auto"/>
        </w:rPr>
      </w:pPr>
      <w:r>
        <w:rPr>
          <w:rFonts w:hint="eastAsia" w:ascii="Times New Roman" w:hAnsi="Times New Roman"/>
          <w:color w:val="auto"/>
        </w:rPr>
        <w:t>（1</w:t>
      </w:r>
      <w:r>
        <w:rPr>
          <w:rFonts w:ascii="Times New Roman" w:hAnsi="Times New Roman"/>
          <w:color w:val="auto"/>
        </w:rPr>
        <w:t>3</w:t>
      </w:r>
      <w:r>
        <w:rPr>
          <w:rFonts w:hint="eastAsia" w:ascii="Times New Roman" w:hAnsi="Times New Roman"/>
          <w:color w:val="auto"/>
        </w:rPr>
        <w:t>）</w:t>
      </w:r>
      <w:r>
        <w:rPr>
          <w:rFonts w:ascii="Times New Roman" w:hAnsi="Times New Roman"/>
          <w:color w:val="auto"/>
        </w:rPr>
        <w:t>《生活饮用水卫生监督管理办法》（</w:t>
      </w:r>
      <w:r>
        <w:rPr>
          <w:rFonts w:hint="eastAsia" w:ascii="Times New Roman" w:hAnsi="Times New Roman"/>
          <w:color w:val="auto"/>
        </w:rPr>
        <w:t>2</w:t>
      </w:r>
      <w:r>
        <w:rPr>
          <w:rFonts w:ascii="Times New Roman" w:hAnsi="Times New Roman"/>
          <w:color w:val="auto"/>
        </w:rPr>
        <w:t>016</w:t>
      </w:r>
      <w:r>
        <w:rPr>
          <w:rFonts w:hint="eastAsia" w:ascii="Times New Roman" w:hAnsi="Times New Roman"/>
          <w:color w:val="auto"/>
        </w:rPr>
        <w:t>年修正</w:t>
      </w:r>
      <w:r>
        <w:rPr>
          <w:rFonts w:ascii="Times New Roman" w:hAnsi="Times New Roman"/>
          <w:color w:val="auto"/>
        </w:rPr>
        <w:t>）</w:t>
      </w:r>
      <w:r>
        <w:rPr>
          <w:rFonts w:hint="eastAsia" w:ascii="Times New Roman" w:hAnsi="Times New Roman"/>
          <w:color w:val="auto"/>
        </w:rPr>
        <w:t>；</w:t>
      </w:r>
    </w:p>
    <w:p w14:paraId="2EECD25F">
      <w:pPr>
        <w:pStyle w:val="21"/>
        <w:rPr>
          <w:rFonts w:ascii="Times New Roman" w:hAnsi="Times New Roman"/>
          <w:color w:val="auto"/>
        </w:rPr>
      </w:pPr>
      <w:r>
        <w:rPr>
          <w:rFonts w:hint="eastAsia" w:ascii="Times New Roman" w:hAnsi="Times New Roman"/>
          <w:color w:val="auto"/>
        </w:rPr>
        <w:t>（1</w:t>
      </w:r>
      <w:r>
        <w:rPr>
          <w:rFonts w:ascii="Times New Roman" w:hAnsi="Times New Roman"/>
          <w:color w:val="auto"/>
        </w:rPr>
        <w:t>4</w:t>
      </w:r>
      <w:r>
        <w:rPr>
          <w:rFonts w:hint="eastAsia" w:ascii="Times New Roman" w:hAnsi="Times New Roman"/>
          <w:color w:val="auto"/>
        </w:rPr>
        <w:t>）</w:t>
      </w:r>
      <w:r>
        <w:rPr>
          <w:rFonts w:ascii="Times New Roman" w:hAnsi="Times New Roman"/>
          <w:color w:val="auto"/>
        </w:rPr>
        <w:t>《黄河流域生态保护和高质量发展规划纲要》（2021年10月8日中共中央、国务院印发）</w:t>
      </w:r>
      <w:r>
        <w:rPr>
          <w:rFonts w:hint="eastAsia" w:ascii="Times New Roman" w:hAnsi="Times New Roman"/>
          <w:color w:val="auto"/>
        </w:rPr>
        <w:t>。</w:t>
      </w:r>
    </w:p>
    <w:p w14:paraId="5E3EFB98">
      <w:pPr>
        <w:pStyle w:val="23"/>
        <w:rPr>
          <w:rFonts w:ascii="Times New Roman" w:hAnsi="Times New Roman"/>
        </w:rPr>
      </w:pPr>
      <w:bookmarkStart w:id="12" w:name="_Toc213690687"/>
      <w:r>
        <w:rPr>
          <w:rFonts w:ascii="Times New Roman" w:hAnsi="Times New Roman"/>
        </w:rPr>
        <w:t>1.2.2</w:t>
      </w:r>
      <w:r>
        <w:rPr>
          <w:rFonts w:hint="eastAsia" w:ascii="Times New Roman" w:hAnsi="Times New Roman"/>
        </w:rPr>
        <w:t>有关预案、标准规范和规范性文件</w:t>
      </w:r>
      <w:bookmarkEnd w:id="12"/>
    </w:p>
    <w:p w14:paraId="2B2EC187">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1）《国家突发环境事件应急预案》（2014年12月29日起实施）；</w:t>
      </w:r>
    </w:p>
    <w:p w14:paraId="73E41EE3">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2</w:t>
      </w:r>
      <w:r>
        <w:rPr>
          <w:rFonts w:hint="eastAsia" w:ascii="Times New Roman" w:hAnsi="Times New Roman"/>
          <w:color w:val="auto"/>
        </w:rPr>
        <w:t>）</w:t>
      </w:r>
      <w:r>
        <w:rPr>
          <w:rFonts w:ascii="Times New Roman" w:hAnsi="Times New Roman"/>
          <w:color w:val="auto"/>
        </w:rPr>
        <w:t>《地表水环境质量标准》（GB3838</w:t>
      </w:r>
      <w:r>
        <w:rPr>
          <w:rFonts w:hint="eastAsia" w:ascii="Times New Roman" w:hAnsi="Times New Roman"/>
          <w:color w:val="auto"/>
        </w:rPr>
        <w:t>-</w:t>
      </w:r>
      <w:r>
        <w:rPr>
          <w:rFonts w:ascii="Times New Roman" w:hAnsi="Times New Roman"/>
          <w:color w:val="auto"/>
        </w:rPr>
        <w:t>2002）</w:t>
      </w:r>
      <w:r>
        <w:rPr>
          <w:rFonts w:hint="eastAsia" w:ascii="Times New Roman" w:hAnsi="Times New Roman"/>
          <w:color w:val="auto"/>
        </w:rPr>
        <w:t>；</w:t>
      </w:r>
    </w:p>
    <w:p w14:paraId="62D5B414">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w:t>
      </w:r>
      <w:r>
        <w:rPr>
          <w:rFonts w:hint="eastAsia" w:ascii="Times New Roman" w:hAnsi="Times New Roman"/>
          <w:color w:val="auto"/>
        </w:rPr>
        <w:t>）《</w:t>
      </w:r>
      <w:bookmarkStart w:id="13" w:name="OLE_LINK115"/>
      <w:bookmarkStart w:id="14" w:name="OLE_LINK116"/>
      <w:r>
        <w:rPr>
          <w:rFonts w:ascii="Times New Roman" w:hAnsi="Times New Roman"/>
          <w:color w:val="auto"/>
        </w:rPr>
        <w:t>突发环境事件应急监测技术规范</w:t>
      </w:r>
      <w:bookmarkEnd w:id="13"/>
      <w:bookmarkEnd w:id="14"/>
      <w:r>
        <w:rPr>
          <w:rFonts w:hint="eastAsia" w:ascii="Times New Roman" w:hAnsi="Times New Roman"/>
          <w:color w:val="auto"/>
        </w:rPr>
        <w:t>》（</w:t>
      </w:r>
      <w:r>
        <w:rPr>
          <w:rFonts w:ascii="Times New Roman" w:hAnsi="Times New Roman"/>
          <w:color w:val="auto"/>
        </w:rPr>
        <w:t>HJ589—2021</w:t>
      </w:r>
      <w:r>
        <w:rPr>
          <w:rFonts w:hint="eastAsia" w:ascii="Times New Roman" w:hAnsi="Times New Roman"/>
          <w:color w:val="auto"/>
        </w:rPr>
        <w:t>）；</w:t>
      </w:r>
    </w:p>
    <w:p w14:paraId="1FDA8A76">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4</w:t>
      </w:r>
      <w:r>
        <w:rPr>
          <w:rFonts w:hint="eastAsia" w:ascii="Times New Roman" w:hAnsi="Times New Roman"/>
          <w:color w:val="auto"/>
        </w:rPr>
        <w:t>）《集中式饮用水水源地规范化建设环境保护技术要求》（</w:t>
      </w:r>
      <w:r>
        <w:rPr>
          <w:rFonts w:ascii="Times New Roman" w:hAnsi="Times New Roman"/>
          <w:color w:val="auto"/>
        </w:rPr>
        <w:t>HJ773）；</w:t>
      </w:r>
    </w:p>
    <w:p w14:paraId="29CAB424">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5</w:t>
      </w:r>
      <w:r>
        <w:rPr>
          <w:rFonts w:hint="eastAsia" w:ascii="Times New Roman" w:hAnsi="Times New Roman"/>
          <w:color w:val="auto"/>
        </w:rPr>
        <w:t>）《集中式饮用水水源地环境保护状况评估技术规范》（</w:t>
      </w:r>
      <w:r>
        <w:rPr>
          <w:rFonts w:ascii="Times New Roman" w:hAnsi="Times New Roman"/>
          <w:color w:val="auto"/>
        </w:rPr>
        <w:t>HJ774）；</w:t>
      </w:r>
    </w:p>
    <w:p w14:paraId="7EE08D03">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6</w:t>
      </w:r>
      <w:r>
        <w:rPr>
          <w:rFonts w:hint="eastAsia" w:ascii="Times New Roman" w:hAnsi="Times New Roman"/>
          <w:color w:val="auto"/>
        </w:rPr>
        <w:t>）《突发环境事件应急预案管理暂行办法》（环发〔</w:t>
      </w:r>
      <w:r>
        <w:rPr>
          <w:rFonts w:ascii="Times New Roman" w:hAnsi="Times New Roman"/>
          <w:color w:val="auto"/>
        </w:rPr>
        <w:t>2010〕113</w:t>
      </w:r>
      <w:r>
        <w:rPr>
          <w:rFonts w:hint="eastAsia" w:ascii="Times New Roman" w:hAnsi="Times New Roman"/>
          <w:color w:val="auto"/>
        </w:rPr>
        <w:t>号）；</w:t>
      </w:r>
    </w:p>
    <w:p w14:paraId="51B56746">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7</w:t>
      </w:r>
      <w:r>
        <w:rPr>
          <w:rFonts w:hint="eastAsia" w:ascii="Times New Roman" w:hAnsi="Times New Roman"/>
          <w:color w:val="auto"/>
        </w:rPr>
        <w:t>）《集中式地表饮用水水源地环境应急管理工作指南》（环办〔</w:t>
      </w:r>
      <w:r>
        <w:rPr>
          <w:rFonts w:ascii="Times New Roman" w:hAnsi="Times New Roman"/>
          <w:color w:val="auto"/>
        </w:rPr>
        <w:t>2011〕93号）；</w:t>
      </w:r>
    </w:p>
    <w:p w14:paraId="40AE322D">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8</w:t>
      </w:r>
      <w:r>
        <w:rPr>
          <w:rFonts w:hint="eastAsia" w:ascii="Times New Roman" w:hAnsi="Times New Roman"/>
          <w:color w:val="auto"/>
        </w:rPr>
        <w:t>）《集中式饮用水水源环境保护指南（试行）》（环办〔</w:t>
      </w:r>
      <w:r>
        <w:rPr>
          <w:rFonts w:ascii="Times New Roman" w:hAnsi="Times New Roman"/>
          <w:color w:val="auto"/>
        </w:rPr>
        <w:t>2012〕50号）；</w:t>
      </w:r>
    </w:p>
    <w:p w14:paraId="7884CC5D">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9</w:t>
      </w:r>
      <w:r>
        <w:rPr>
          <w:rFonts w:hint="eastAsia" w:ascii="Times New Roman" w:hAnsi="Times New Roman"/>
          <w:color w:val="auto"/>
        </w:rPr>
        <w:t>）《行政区域突发环境事件风险评估推荐方法》（环办应急〔</w:t>
      </w:r>
      <w:r>
        <w:rPr>
          <w:rFonts w:ascii="Times New Roman" w:hAnsi="Times New Roman"/>
          <w:color w:val="auto"/>
        </w:rPr>
        <w:t>2018〕9号）</w:t>
      </w:r>
      <w:r>
        <w:rPr>
          <w:rFonts w:hint="eastAsia" w:ascii="Times New Roman" w:hAnsi="Times New Roman"/>
          <w:color w:val="auto"/>
        </w:rPr>
        <w:t>；</w:t>
      </w:r>
    </w:p>
    <w:p w14:paraId="7075E1D6">
      <w:pPr>
        <w:pStyle w:val="21"/>
        <w:rPr>
          <w:rFonts w:ascii="Times New Roman" w:hAnsi="Times New Roman"/>
          <w:color w:val="auto"/>
        </w:rPr>
      </w:pPr>
      <w:r>
        <w:rPr>
          <w:rFonts w:hint="eastAsia" w:ascii="Times New Roman" w:hAnsi="Times New Roman"/>
          <w:color w:val="auto"/>
        </w:rPr>
        <w:t>（1</w:t>
      </w:r>
      <w:r>
        <w:rPr>
          <w:rFonts w:ascii="Times New Roman" w:hAnsi="Times New Roman"/>
          <w:color w:val="auto"/>
        </w:rPr>
        <w:t>0</w:t>
      </w:r>
      <w:r>
        <w:rPr>
          <w:rFonts w:hint="eastAsia" w:ascii="Times New Roman" w:hAnsi="Times New Roman"/>
          <w:color w:val="auto"/>
        </w:rPr>
        <w:t>）《企业突发环境事件风险评估指南（试行）》（环办〔</w:t>
      </w:r>
      <w:r>
        <w:rPr>
          <w:rFonts w:ascii="Times New Roman" w:hAnsi="Times New Roman"/>
          <w:color w:val="auto"/>
        </w:rPr>
        <w:t xml:space="preserve">2014〕34号）； </w:t>
      </w:r>
    </w:p>
    <w:p w14:paraId="3AEB7B1D">
      <w:pPr>
        <w:pStyle w:val="21"/>
        <w:rPr>
          <w:rFonts w:ascii="Times New Roman" w:hAnsi="Times New Roman"/>
          <w:color w:val="auto"/>
        </w:rPr>
      </w:pPr>
      <w:r>
        <w:rPr>
          <w:rFonts w:hint="eastAsia" w:ascii="Times New Roman" w:hAnsi="Times New Roman"/>
          <w:color w:val="auto"/>
        </w:rPr>
        <w:t>（1</w:t>
      </w:r>
      <w:r>
        <w:rPr>
          <w:rFonts w:ascii="Times New Roman" w:hAnsi="Times New Roman"/>
          <w:color w:val="auto"/>
        </w:rPr>
        <w:t>1</w:t>
      </w:r>
      <w:r>
        <w:rPr>
          <w:rFonts w:hint="eastAsia" w:ascii="Times New Roman" w:hAnsi="Times New Roman"/>
          <w:color w:val="auto"/>
        </w:rPr>
        <w:t>）《企业事业单位突发环境事件应急预案备案管理办法（试行）》（环发〔</w:t>
      </w:r>
      <w:r>
        <w:rPr>
          <w:rFonts w:ascii="Times New Roman" w:hAnsi="Times New Roman"/>
          <w:color w:val="auto"/>
        </w:rPr>
        <w:t>2015〕4号）</w:t>
      </w:r>
      <w:r>
        <w:rPr>
          <w:rFonts w:hint="eastAsia" w:ascii="Times New Roman" w:hAnsi="Times New Roman"/>
          <w:color w:val="auto"/>
        </w:rPr>
        <w:t>；</w:t>
      </w:r>
      <w:r>
        <w:rPr>
          <w:rFonts w:ascii="Times New Roman" w:hAnsi="Times New Roman"/>
          <w:color w:val="auto"/>
        </w:rPr>
        <w:t xml:space="preserve"> </w:t>
      </w:r>
    </w:p>
    <w:p w14:paraId="23E72965">
      <w:pPr>
        <w:pStyle w:val="21"/>
        <w:rPr>
          <w:rFonts w:ascii="Times New Roman" w:hAnsi="Times New Roman"/>
          <w:color w:val="auto"/>
        </w:rPr>
      </w:pPr>
      <w:r>
        <w:rPr>
          <w:rFonts w:hint="eastAsia" w:ascii="Times New Roman" w:hAnsi="Times New Roman"/>
          <w:color w:val="auto"/>
        </w:rPr>
        <w:t>（1</w:t>
      </w:r>
      <w:r>
        <w:rPr>
          <w:rFonts w:ascii="Times New Roman" w:hAnsi="Times New Roman"/>
          <w:color w:val="auto"/>
        </w:rPr>
        <w:t>2</w:t>
      </w:r>
      <w:r>
        <w:rPr>
          <w:rFonts w:hint="eastAsia" w:ascii="Times New Roman" w:hAnsi="Times New Roman"/>
          <w:color w:val="auto"/>
        </w:rPr>
        <w:t>）《</w:t>
      </w:r>
      <w:bookmarkStart w:id="15" w:name="OLE_LINK113"/>
      <w:bookmarkStart w:id="16" w:name="OLE_LINK114"/>
      <w:r>
        <w:rPr>
          <w:rFonts w:hint="eastAsia" w:ascii="Times New Roman" w:hAnsi="Times New Roman"/>
          <w:color w:val="auto"/>
        </w:rPr>
        <w:t>集中式地表水饮用水水源地突发环境事件应急预案编制指南</w:t>
      </w:r>
      <w:bookmarkEnd w:id="15"/>
      <w:bookmarkEnd w:id="16"/>
      <w:r>
        <w:rPr>
          <w:rFonts w:hint="eastAsia" w:ascii="Times New Roman" w:hAnsi="Times New Roman"/>
          <w:color w:val="auto"/>
        </w:rPr>
        <w:t>》（生态环境部办公厅</w:t>
      </w:r>
      <w:r>
        <w:rPr>
          <w:rFonts w:ascii="Times New Roman" w:hAnsi="Times New Roman"/>
          <w:color w:val="auto"/>
        </w:rPr>
        <w:t>2018年3月26日印发</w:t>
      </w:r>
      <w:r>
        <w:rPr>
          <w:rFonts w:hint="eastAsia" w:ascii="Times New Roman" w:hAnsi="Times New Roman"/>
          <w:color w:val="auto"/>
        </w:rPr>
        <w:t>）。</w:t>
      </w:r>
    </w:p>
    <w:p w14:paraId="507A195B">
      <w:pPr>
        <w:pStyle w:val="18"/>
        <w:rPr>
          <w:rFonts w:ascii="Times New Roman" w:hAnsi="Times New Roman"/>
        </w:rPr>
      </w:pPr>
      <w:bookmarkStart w:id="17" w:name="_Toc213690688"/>
      <w:r>
        <w:rPr>
          <w:rFonts w:hint="eastAsia" w:ascii="Times New Roman" w:hAnsi="Times New Roman"/>
        </w:rPr>
        <w:t>1</w:t>
      </w:r>
      <w:r>
        <w:rPr>
          <w:rFonts w:ascii="Times New Roman" w:hAnsi="Times New Roman"/>
        </w:rPr>
        <w:t xml:space="preserve">.3 </w:t>
      </w:r>
      <w:r>
        <w:rPr>
          <w:rFonts w:hint="eastAsia" w:ascii="Times New Roman" w:hAnsi="Times New Roman"/>
        </w:rPr>
        <w:t>适用范围</w:t>
      </w:r>
      <w:bookmarkEnd w:id="17"/>
    </w:p>
    <w:p w14:paraId="6B7656D5">
      <w:pPr>
        <w:pStyle w:val="21"/>
        <w:rPr>
          <w:rFonts w:ascii="Times New Roman" w:hAnsi="Times New Roman"/>
          <w:color w:val="auto"/>
          <w:spacing w:val="-6"/>
        </w:rPr>
      </w:pPr>
      <w:bookmarkStart w:id="18" w:name="OLE_LINK8"/>
      <w:bookmarkStart w:id="19" w:name="OLE_LINK7"/>
      <w:r>
        <w:rPr>
          <w:rFonts w:hint="eastAsia" w:ascii="Times New Roman" w:hAnsi="Times New Roman"/>
          <w:color w:val="auto"/>
          <w:spacing w:val="-6"/>
        </w:rPr>
        <w:t>云冈区行政区域内集中式地表水水源地仅有墙框堡水库饮用水源地一处，</w:t>
      </w:r>
      <w:bookmarkEnd w:id="18"/>
      <w:bookmarkEnd w:id="19"/>
      <w:bookmarkStart w:id="20" w:name="OLE_LINK119"/>
      <w:bookmarkStart w:id="21" w:name="OLE_LINK120"/>
      <w:r>
        <w:rPr>
          <w:rFonts w:hint="eastAsia" w:ascii="Times New Roman" w:hAnsi="Times New Roman"/>
          <w:color w:val="auto"/>
          <w:spacing w:val="-6"/>
        </w:rPr>
        <w:t>根据水源地周围污染源分布，</w:t>
      </w:r>
      <w:bookmarkStart w:id="22" w:name="OLE_LINK10"/>
      <w:bookmarkStart w:id="23" w:name="OLE_LINK9"/>
      <w:r>
        <w:rPr>
          <w:rFonts w:hint="eastAsia" w:ascii="Times New Roman" w:hAnsi="Times New Roman"/>
          <w:color w:val="auto"/>
          <w:spacing w:val="-6"/>
        </w:rPr>
        <w:t>本预案适用地域范围</w:t>
      </w:r>
      <w:bookmarkEnd w:id="22"/>
      <w:bookmarkEnd w:id="23"/>
      <w:r>
        <w:rPr>
          <w:rFonts w:hint="eastAsia" w:ascii="Times New Roman" w:hAnsi="Times New Roman"/>
          <w:color w:val="auto"/>
          <w:spacing w:val="-6"/>
        </w:rPr>
        <w:t>为墙框堡水库地表水水源地以及水源地外围控制区外扩3</w:t>
      </w:r>
      <w:r>
        <w:rPr>
          <w:rFonts w:ascii="Times New Roman" w:hAnsi="Times New Roman"/>
          <w:color w:val="auto"/>
          <w:spacing w:val="-6"/>
        </w:rPr>
        <w:t>00m</w:t>
      </w:r>
      <w:r>
        <w:rPr>
          <w:rFonts w:hint="eastAsia" w:ascii="Times New Roman" w:hAnsi="Times New Roman"/>
          <w:color w:val="auto"/>
          <w:spacing w:val="-6"/>
        </w:rPr>
        <w:t>范围的区域。</w:t>
      </w:r>
    </w:p>
    <w:bookmarkEnd w:id="20"/>
    <w:bookmarkEnd w:id="21"/>
    <w:p w14:paraId="1381D81A">
      <w:pPr>
        <w:pStyle w:val="21"/>
        <w:rPr>
          <w:rFonts w:ascii="Times New Roman" w:hAnsi="Times New Roman"/>
          <w:color w:val="auto"/>
          <w:spacing w:val="-6"/>
        </w:rPr>
      </w:pPr>
      <w:r>
        <w:rPr>
          <w:rFonts w:hint="eastAsia" w:ascii="Times New Roman" w:hAnsi="Times New Roman"/>
          <w:color w:val="auto"/>
          <w:spacing w:val="-6"/>
        </w:rPr>
        <w:t>本预案适用于地域范围内突然发生或者可能造成的重大水污染事件。具体包括：</w:t>
      </w:r>
    </w:p>
    <w:p w14:paraId="6EE7F9BC">
      <w:pPr>
        <w:pStyle w:val="21"/>
        <w:rPr>
          <w:rFonts w:ascii="Times New Roman" w:hAnsi="Times New Roman"/>
          <w:color w:val="auto"/>
          <w:spacing w:val="-6"/>
        </w:rPr>
      </w:pPr>
      <w:r>
        <w:rPr>
          <w:rFonts w:hint="eastAsia" w:ascii="Times New Roman" w:hAnsi="Times New Roman"/>
          <w:color w:val="auto"/>
          <w:spacing w:val="-6"/>
        </w:rPr>
        <w:t>1、流动源突发环境事件：可能发生突发环境事件的排放污染物企业事业单位，生产、储存、运输、使用危险化学品的企业，产生、收集、贮存、运输、利用、处置危险废物的企业，以及尾矿库等固定源，因自然灾害、生产安全事故、违法排污等原因，导致水源地风险物质直接或间接排入水源保护区或其上游连接水体，造成水质污染的事件。</w:t>
      </w:r>
    </w:p>
    <w:p w14:paraId="3AEDB358">
      <w:pPr>
        <w:pStyle w:val="21"/>
        <w:rPr>
          <w:rFonts w:ascii="Times New Roman" w:hAnsi="Times New Roman"/>
          <w:color w:val="auto"/>
          <w:spacing w:val="-6"/>
        </w:rPr>
      </w:pPr>
      <w:r>
        <w:rPr>
          <w:rFonts w:hint="eastAsia" w:ascii="Times New Roman" w:hAnsi="Times New Roman"/>
          <w:color w:val="auto"/>
          <w:spacing w:val="-6"/>
        </w:rPr>
        <w:t>2、固定源突发环境事件：在公路或水路运输过程中，由于交通事故等原因，导致油品、化学品或其他有毒有害物质进入水源保护区或其上游连接水体，造成水质污染的事件。</w:t>
      </w:r>
    </w:p>
    <w:p w14:paraId="3F20257F">
      <w:pPr>
        <w:pStyle w:val="21"/>
        <w:rPr>
          <w:rFonts w:ascii="Times New Roman" w:hAnsi="Times New Roman"/>
          <w:color w:val="auto"/>
          <w:spacing w:val="-6"/>
        </w:rPr>
      </w:pPr>
      <w:r>
        <w:rPr>
          <w:rFonts w:ascii="Times New Roman" w:hAnsi="Times New Roman"/>
          <w:color w:val="auto"/>
          <w:spacing w:val="-6"/>
        </w:rPr>
        <w:t>3</w:t>
      </w:r>
      <w:r>
        <w:rPr>
          <w:rFonts w:hint="eastAsia" w:ascii="Times New Roman" w:hAnsi="Times New Roman"/>
          <w:color w:val="auto"/>
          <w:spacing w:val="-6"/>
        </w:rPr>
        <w:t>、非点源突发环境事件：主要包括以下两种情形：一是暴雨冲刷畜禽养殖废物、农田或果园土壤，导致大量细菌、农药、化肥等随地表或地下径流进入水源保护区或其上游连接水体，造成水质污染的事件；二是闸坝调控等原因，导致坝前污水短期内集中排放造成水源保护区或其上游连接水体水质污染的事件。</w:t>
      </w:r>
    </w:p>
    <w:p w14:paraId="0FDD6E44">
      <w:pPr>
        <w:pStyle w:val="21"/>
        <w:rPr>
          <w:rFonts w:ascii="Times New Roman" w:hAnsi="Times New Roman"/>
          <w:color w:val="auto"/>
          <w:spacing w:val="-6"/>
        </w:rPr>
      </w:pPr>
      <w:r>
        <w:rPr>
          <w:rFonts w:hint="eastAsia" w:ascii="Times New Roman" w:hAnsi="Times New Roman"/>
          <w:color w:val="auto"/>
          <w:spacing w:val="-6"/>
        </w:rPr>
        <w:t>4、水华灾害事件：封闭型或半封闭型的水域（湖泊、水库）在营养条件、水动力条件、光热条件等适宜情况下，浮游藻类大量繁殖并聚集，使得水体色度发生变化、水体溶氧降低、藻类厌氧分解产生异味或毒性物质，导致水华灾害的事件。</w:t>
      </w:r>
    </w:p>
    <w:p w14:paraId="08E81C2D">
      <w:pPr>
        <w:pStyle w:val="21"/>
        <w:rPr>
          <w:rFonts w:ascii="Times New Roman" w:hAnsi="Times New Roman"/>
          <w:color w:val="auto"/>
          <w:spacing w:val="-6"/>
        </w:rPr>
      </w:pPr>
      <w:r>
        <w:rPr>
          <w:rFonts w:hint="eastAsia" w:ascii="Times New Roman" w:hAnsi="Times New Roman"/>
          <w:color w:val="auto"/>
          <w:spacing w:val="-6"/>
        </w:rPr>
        <w:t>5、其他事件情景：主要为上述四种事件情景中一种或多种同时出现的情形。根据需要，还可考虑汛期、枯水期、雨雪冰冻或台风等特殊时期可能造成水源地水质污染的情景。</w:t>
      </w:r>
    </w:p>
    <w:p w14:paraId="47047C65">
      <w:pPr>
        <w:pStyle w:val="18"/>
        <w:rPr>
          <w:rFonts w:ascii="Times New Roman" w:hAnsi="Times New Roman"/>
        </w:rPr>
      </w:pPr>
      <w:bookmarkStart w:id="24" w:name="_Toc213690689"/>
      <w:r>
        <w:rPr>
          <w:rFonts w:hint="eastAsia" w:ascii="Times New Roman" w:hAnsi="Times New Roman"/>
        </w:rPr>
        <w:t>1</w:t>
      </w:r>
      <w:r>
        <w:rPr>
          <w:rFonts w:ascii="Times New Roman" w:hAnsi="Times New Roman"/>
        </w:rPr>
        <w:t>.4</w:t>
      </w:r>
      <w:r>
        <w:rPr>
          <w:rFonts w:hint="eastAsia" w:ascii="Times New Roman" w:hAnsi="Times New Roman"/>
        </w:rPr>
        <w:t>预案衔接</w:t>
      </w:r>
      <w:bookmarkEnd w:id="24"/>
    </w:p>
    <w:p w14:paraId="46E039FD">
      <w:pPr>
        <w:pStyle w:val="21"/>
        <w:rPr>
          <w:rFonts w:ascii="Times New Roman" w:hAnsi="Times New Roman"/>
          <w:color w:val="auto"/>
        </w:rPr>
      </w:pPr>
      <w:r>
        <w:rPr>
          <w:rFonts w:hint="eastAsia" w:ascii="Times New Roman" w:hAnsi="Times New Roman"/>
          <w:color w:val="auto"/>
        </w:rPr>
        <w:t>本预案属于云冈区人民政府《大同市云冈区突发环境事件应急预案》的专项应急预案，与其他政府部门有关饮用水供水安全的应急预案相衔接。本预案与市级人民政府地表水水源地应急预案应衔接。同时应重点与可能产生相互影响的上下游企业事业单位的有关预案相互衔接。</w:t>
      </w:r>
    </w:p>
    <w:p w14:paraId="263C816D">
      <w:pPr>
        <w:pStyle w:val="18"/>
        <w:rPr>
          <w:rFonts w:ascii="Times New Roman" w:hAnsi="Times New Roman"/>
        </w:rPr>
      </w:pPr>
      <w:bookmarkStart w:id="25" w:name="_Toc213690690"/>
      <w:r>
        <w:rPr>
          <w:rFonts w:hint="eastAsia" w:ascii="Times New Roman" w:hAnsi="Times New Roman"/>
        </w:rPr>
        <w:t>1</w:t>
      </w:r>
      <w:r>
        <w:rPr>
          <w:rFonts w:ascii="Times New Roman" w:hAnsi="Times New Roman"/>
        </w:rPr>
        <w:t>.5</w:t>
      </w:r>
      <w:r>
        <w:rPr>
          <w:rFonts w:hint="eastAsia" w:ascii="Times New Roman" w:hAnsi="Times New Roman"/>
        </w:rPr>
        <w:t>工作原则</w:t>
      </w:r>
      <w:bookmarkEnd w:id="25"/>
    </w:p>
    <w:p w14:paraId="3534172C">
      <w:pPr>
        <w:snapToGrid w:val="0"/>
        <w:spacing w:line="560" w:lineRule="exact"/>
        <w:ind w:firstLine="567"/>
        <w:rPr>
          <w:rFonts w:ascii="Times New Roman" w:hAnsi="Times New Roman" w:eastAsia="仿宋"/>
          <w:sz w:val="32"/>
        </w:rPr>
      </w:pPr>
      <w:r>
        <w:rPr>
          <w:rFonts w:hint="eastAsia" w:ascii="Times New Roman" w:hAnsi="Times New Roman" w:eastAsia="仿宋"/>
          <w:sz w:val="32"/>
        </w:rPr>
        <w:t>（</w:t>
      </w:r>
      <w:r>
        <w:rPr>
          <w:rFonts w:ascii="Times New Roman" w:hAnsi="Times New Roman" w:eastAsia="仿宋"/>
          <w:sz w:val="32"/>
        </w:rPr>
        <w:t>1</w:t>
      </w:r>
      <w:r>
        <w:rPr>
          <w:rFonts w:hint="eastAsia" w:ascii="Times New Roman" w:hAnsi="Times New Roman" w:eastAsia="仿宋"/>
          <w:sz w:val="32"/>
        </w:rPr>
        <w:t>）统一领导、分工负责、协调联动。</w:t>
      </w:r>
    </w:p>
    <w:p w14:paraId="1F7C46FA">
      <w:pPr>
        <w:snapToGrid w:val="0"/>
        <w:spacing w:line="560" w:lineRule="exact"/>
        <w:ind w:firstLine="567"/>
        <w:rPr>
          <w:rFonts w:ascii="Times New Roman" w:hAnsi="Times New Roman" w:eastAsia="仿宋"/>
          <w:sz w:val="32"/>
        </w:rPr>
      </w:pPr>
      <w:r>
        <w:rPr>
          <w:rFonts w:hint="eastAsia" w:ascii="Times New Roman" w:hAnsi="Times New Roman" w:eastAsia="仿宋"/>
          <w:sz w:val="32"/>
        </w:rPr>
        <w:t>在云冈区突发环境事件应急指挥部的统一领导下，建立健全应急机制，落实应急职责，各部门协同配合，做好应对突发环境事件的各项准备工作。</w:t>
      </w:r>
    </w:p>
    <w:p w14:paraId="26A11BC1">
      <w:pPr>
        <w:snapToGrid w:val="0"/>
        <w:spacing w:line="560" w:lineRule="exact"/>
        <w:ind w:firstLine="567"/>
        <w:rPr>
          <w:rFonts w:ascii="Times New Roman" w:hAnsi="Times New Roman" w:eastAsia="仿宋"/>
          <w:sz w:val="32"/>
        </w:rPr>
      </w:pPr>
      <w:r>
        <w:rPr>
          <w:rFonts w:hint="eastAsia" w:ascii="Times New Roman" w:hAnsi="Times New Roman" w:eastAsia="仿宋"/>
          <w:sz w:val="32"/>
        </w:rPr>
        <w:t>（</w:t>
      </w:r>
      <w:r>
        <w:rPr>
          <w:rFonts w:ascii="Times New Roman" w:hAnsi="Times New Roman" w:eastAsia="仿宋"/>
          <w:sz w:val="32"/>
        </w:rPr>
        <w:t>2</w:t>
      </w:r>
      <w:r>
        <w:rPr>
          <w:rFonts w:hint="eastAsia" w:ascii="Times New Roman" w:hAnsi="Times New Roman" w:eastAsia="仿宋"/>
          <w:sz w:val="32"/>
        </w:rPr>
        <w:t>）快速反应，科学处置。</w:t>
      </w:r>
    </w:p>
    <w:p w14:paraId="76860B96">
      <w:pPr>
        <w:snapToGrid w:val="0"/>
        <w:spacing w:line="560" w:lineRule="exact"/>
        <w:ind w:firstLine="567"/>
        <w:rPr>
          <w:rFonts w:ascii="Times New Roman" w:hAnsi="Times New Roman" w:eastAsia="仿宋"/>
          <w:sz w:val="32"/>
        </w:rPr>
      </w:pPr>
      <w:r>
        <w:rPr>
          <w:rFonts w:hint="eastAsia" w:ascii="Times New Roman" w:hAnsi="Times New Roman" w:eastAsia="仿宋"/>
          <w:sz w:val="32"/>
        </w:rPr>
        <w:t>突发环境事件发生时，能够迅速启动应急机制，采取科学有效的措施，控制事故发展，降低事故损失，确保各项措施落实到位。</w:t>
      </w:r>
    </w:p>
    <w:p w14:paraId="664926B3">
      <w:pPr>
        <w:snapToGrid w:val="0"/>
        <w:spacing w:line="560" w:lineRule="exact"/>
        <w:ind w:firstLine="567"/>
        <w:rPr>
          <w:rFonts w:ascii="Times New Roman" w:hAnsi="Times New Roman" w:eastAsia="仿宋"/>
          <w:sz w:val="32"/>
        </w:rPr>
      </w:pPr>
      <w:r>
        <w:rPr>
          <w:rFonts w:hint="eastAsia" w:ascii="Times New Roman" w:hAnsi="Times New Roman" w:eastAsia="仿宋"/>
          <w:sz w:val="32"/>
        </w:rPr>
        <w:t>（</w:t>
      </w:r>
      <w:r>
        <w:rPr>
          <w:rFonts w:ascii="Times New Roman" w:hAnsi="Times New Roman" w:eastAsia="仿宋"/>
          <w:sz w:val="32"/>
        </w:rPr>
        <w:t>3</w:t>
      </w:r>
      <w:r>
        <w:rPr>
          <w:rFonts w:hint="eastAsia" w:ascii="Times New Roman" w:hAnsi="Times New Roman" w:eastAsia="仿宋"/>
          <w:sz w:val="32"/>
        </w:rPr>
        <w:t>）资源共享，保障有力。</w:t>
      </w:r>
    </w:p>
    <w:p w14:paraId="6484449E">
      <w:pPr>
        <w:snapToGrid w:val="0"/>
        <w:spacing w:line="560" w:lineRule="exact"/>
        <w:ind w:firstLine="567"/>
        <w:rPr>
          <w:rFonts w:ascii="Times New Roman" w:hAnsi="Times New Roman" w:eastAsia="仿宋"/>
          <w:sz w:val="32"/>
        </w:rPr>
      </w:pPr>
      <w:r>
        <w:rPr>
          <w:rFonts w:hint="eastAsia" w:ascii="Times New Roman" w:hAnsi="Times New Roman" w:eastAsia="仿宋"/>
          <w:sz w:val="32"/>
        </w:rPr>
        <w:t>落实领导责任制，切实履行各部门监督、协调、服务职能，使措施与事故造成的危害范围和社会影响相适应。将日常管理工作和应急救援工作相结合，加强应急技能培训，提高应对突发环境事件的综合素质。建立健全区域联防、联动机制，充分利用政府、企业、社会等各方面的资源，确保应急物资、装备、技术、人才等方面的供应，当发生突发环境事件时能够对事发企业进行援助，最大限度地发挥区域应急能力。</w:t>
      </w:r>
    </w:p>
    <w:p w14:paraId="148FC4F0">
      <w:pPr>
        <w:pStyle w:val="21"/>
        <w:rPr>
          <w:rFonts w:ascii="Times New Roman" w:hAnsi="Times New Roman"/>
          <w:color w:val="auto"/>
        </w:rPr>
      </w:pPr>
    </w:p>
    <w:p w14:paraId="25B80421">
      <w:pPr>
        <w:pStyle w:val="21"/>
        <w:rPr>
          <w:rFonts w:ascii="Times New Roman" w:hAnsi="Times New Roman"/>
          <w:color w:val="auto"/>
        </w:rPr>
        <w:sectPr>
          <w:pgSz w:w="11906" w:h="16838"/>
          <w:pgMar w:top="1440" w:right="1701" w:bottom="1440" w:left="1701" w:header="851" w:footer="992" w:gutter="0"/>
          <w:pgNumType w:start="1"/>
          <w:cols w:space="425" w:num="1"/>
          <w:docGrid w:type="lines" w:linePitch="312" w:charSpace="0"/>
        </w:sectPr>
      </w:pPr>
    </w:p>
    <w:p w14:paraId="49C98D51">
      <w:pPr>
        <w:pStyle w:val="17"/>
        <w:rPr>
          <w:rFonts w:ascii="Times New Roman" w:hAnsi="Times New Roman"/>
        </w:rPr>
      </w:pPr>
      <w:bookmarkStart w:id="26" w:name="_Toc213690691"/>
      <w:r>
        <w:rPr>
          <w:rFonts w:hint="eastAsia" w:ascii="Times New Roman" w:hAnsi="Times New Roman"/>
        </w:rPr>
        <w:t>2应急组织指挥体系</w:t>
      </w:r>
      <w:bookmarkEnd w:id="26"/>
    </w:p>
    <w:p w14:paraId="3AB44C3A">
      <w:pPr>
        <w:pStyle w:val="21"/>
        <w:rPr>
          <w:rFonts w:ascii="Times New Roman" w:hAnsi="Times New Roman"/>
          <w:color w:val="auto"/>
        </w:rPr>
      </w:pPr>
      <w:r>
        <w:rPr>
          <w:rFonts w:hint="eastAsia" w:ascii="Times New Roman" w:hAnsi="Times New Roman"/>
          <w:color w:val="auto"/>
        </w:rPr>
        <w:t>应急组织指挥体系包括应急组织指挥机构和现场应急指挥部。</w:t>
      </w:r>
    </w:p>
    <w:p w14:paraId="7862B3A5">
      <w:pPr>
        <w:pStyle w:val="18"/>
        <w:rPr>
          <w:rFonts w:ascii="Times New Roman" w:hAnsi="Times New Roman"/>
        </w:rPr>
      </w:pPr>
      <w:bookmarkStart w:id="27" w:name="_Toc213690692"/>
      <w:r>
        <w:rPr>
          <w:rFonts w:hint="eastAsia" w:ascii="Times New Roman" w:hAnsi="Times New Roman"/>
        </w:rPr>
        <w:t>2</w:t>
      </w:r>
      <w:r>
        <w:rPr>
          <w:rFonts w:ascii="Times New Roman" w:hAnsi="Times New Roman"/>
        </w:rPr>
        <w:t>.1</w:t>
      </w:r>
      <w:r>
        <w:rPr>
          <w:rFonts w:hint="eastAsia" w:ascii="Times New Roman" w:hAnsi="Times New Roman"/>
        </w:rPr>
        <w:t>应急指挥机构</w:t>
      </w:r>
      <w:bookmarkEnd w:id="27"/>
    </w:p>
    <w:p w14:paraId="433A3FD8">
      <w:pPr>
        <w:pStyle w:val="23"/>
        <w:rPr>
          <w:rFonts w:ascii="Times New Roman" w:hAnsi="Times New Roman"/>
        </w:rPr>
      </w:pPr>
      <w:bookmarkStart w:id="28" w:name="_Toc213690693"/>
      <w:r>
        <w:rPr>
          <w:rFonts w:hint="eastAsia" w:ascii="Times New Roman" w:hAnsi="Times New Roman"/>
        </w:rPr>
        <w:t>2</w:t>
      </w:r>
      <w:r>
        <w:rPr>
          <w:rFonts w:ascii="Times New Roman" w:hAnsi="Times New Roman"/>
        </w:rPr>
        <w:t>.1.1</w:t>
      </w:r>
      <w:r>
        <w:rPr>
          <w:rFonts w:hint="eastAsia" w:ascii="Times New Roman" w:hAnsi="Times New Roman"/>
        </w:rPr>
        <w:t>应急指挥机构构成</w:t>
      </w:r>
      <w:bookmarkEnd w:id="28"/>
    </w:p>
    <w:p w14:paraId="4CEAA2F3">
      <w:pPr>
        <w:pStyle w:val="21"/>
        <w:rPr>
          <w:rFonts w:ascii="Times New Roman" w:hAnsi="Times New Roman"/>
          <w:color w:val="auto"/>
        </w:rPr>
      </w:pPr>
      <w:r>
        <w:rPr>
          <w:rFonts w:hint="eastAsia" w:ascii="Times New Roman" w:hAnsi="Times New Roman"/>
          <w:color w:val="auto"/>
        </w:rPr>
        <w:t>应急组织指挥机构包括总指挥、副总指挥、协调办公室和专项工作组。</w:t>
      </w:r>
    </w:p>
    <w:p w14:paraId="079E7C3F">
      <w:pPr>
        <w:pStyle w:val="21"/>
        <w:rPr>
          <w:rFonts w:ascii="Times New Roman" w:hAnsi="Times New Roman"/>
          <w:color w:val="auto"/>
        </w:rPr>
      </w:pPr>
      <w:r>
        <w:rPr>
          <w:rFonts w:hint="eastAsia" w:ascii="Times New Roman" w:hAnsi="Times New Roman"/>
          <w:color w:val="auto"/>
        </w:rPr>
        <w:t>总指挥：云冈区政府分管生态环境的副区长。</w:t>
      </w:r>
    </w:p>
    <w:p w14:paraId="23ED89DA">
      <w:pPr>
        <w:pStyle w:val="21"/>
        <w:rPr>
          <w:rFonts w:ascii="Times New Roman" w:hAnsi="Times New Roman"/>
          <w:color w:val="auto"/>
        </w:rPr>
      </w:pPr>
      <w:r>
        <w:rPr>
          <w:rFonts w:hint="eastAsia" w:ascii="Times New Roman" w:hAnsi="Times New Roman"/>
          <w:color w:val="auto"/>
        </w:rPr>
        <w:t>副总指挥：云冈区政府副主任、大同市生态环境局云冈分局局长、区应急管理局局长。</w:t>
      </w:r>
    </w:p>
    <w:p w14:paraId="70C298FD">
      <w:pPr>
        <w:pStyle w:val="21"/>
        <w:rPr>
          <w:rFonts w:ascii="Times New Roman" w:hAnsi="Times New Roman"/>
          <w:color w:val="auto"/>
        </w:rPr>
      </w:pPr>
      <w:r>
        <w:rPr>
          <w:rFonts w:hint="eastAsia" w:ascii="Times New Roman" w:hAnsi="Times New Roman"/>
          <w:color w:val="auto"/>
        </w:rPr>
        <w:t>成员单位：大同市生态环境局云冈分局、区应急管理局、市公安局云冈分局、区消防大队、区财政局、区自然资源局、区住建局、区交通运输局、区水务局、区农业农村局、区卫体局、区委宣传部、</w:t>
      </w:r>
      <w:bookmarkStart w:id="29" w:name="OLE_LINK196"/>
      <w:r>
        <w:rPr>
          <w:rFonts w:hint="eastAsia" w:ascii="Times New Roman" w:hAnsi="Times New Roman"/>
          <w:color w:val="auto"/>
        </w:rPr>
        <w:t>区交警队</w:t>
      </w:r>
      <w:bookmarkEnd w:id="29"/>
      <w:r>
        <w:rPr>
          <w:rFonts w:hint="eastAsia" w:ascii="Times New Roman" w:hAnsi="Times New Roman"/>
          <w:color w:val="auto"/>
        </w:rPr>
        <w:t>、区通信相关公司（联通、移动、电信）、区供电公司、墙框堡水库等单位有关负责人。</w:t>
      </w:r>
    </w:p>
    <w:p w14:paraId="0804BF39">
      <w:pPr>
        <w:pStyle w:val="23"/>
        <w:rPr>
          <w:rFonts w:ascii="Times New Roman" w:hAnsi="Times New Roman"/>
        </w:rPr>
      </w:pPr>
      <w:bookmarkStart w:id="30" w:name="_Toc213690694"/>
      <w:r>
        <w:rPr>
          <w:rFonts w:hint="eastAsia" w:ascii="Times New Roman" w:hAnsi="Times New Roman"/>
        </w:rPr>
        <w:t>2</w:t>
      </w:r>
      <w:r>
        <w:rPr>
          <w:rFonts w:ascii="Times New Roman" w:hAnsi="Times New Roman"/>
        </w:rPr>
        <w:t>.1.2</w:t>
      </w:r>
      <w:r>
        <w:rPr>
          <w:rFonts w:hint="eastAsia" w:ascii="Times New Roman" w:hAnsi="Times New Roman"/>
        </w:rPr>
        <w:t>应急指挥机构职责</w:t>
      </w:r>
      <w:bookmarkEnd w:id="30"/>
    </w:p>
    <w:p w14:paraId="5E773480">
      <w:pPr>
        <w:pStyle w:val="21"/>
        <w:rPr>
          <w:rFonts w:ascii="Times New Roman" w:hAnsi="Times New Roman"/>
          <w:color w:val="auto"/>
        </w:rPr>
      </w:pPr>
      <w:r>
        <w:rPr>
          <w:rFonts w:hint="eastAsia" w:ascii="Times New Roman" w:hAnsi="Times New Roman"/>
          <w:color w:val="auto"/>
        </w:rPr>
        <w:t>1、总指挥职责</w:t>
      </w:r>
    </w:p>
    <w:p w14:paraId="3AD11444">
      <w:pPr>
        <w:pStyle w:val="21"/>
        <w:rPr>
          <w:rFonts w:ascii="Times New Roman" w:hAnsi="Times New Roman"/>
          <w:color w:val="auto"/>
        </w:rPr>
      </w:pPr>
      <w:r>
        <w:rPr>
          <w:rFonts w:hint="eastAsia" w:ascii="Times New Roman" w:hAnsi="Times New Roman"/>
          <w:color w:val="auto"/>
        </w:rPr>
        <w:t>日常职责</w:t>
      </w:r>
      <w:r>
        <w:rPr>
          <w:rFonts w:ascii="Times New Roman" w:hAnsi="Times New Roman"/>
          <w:color w:val="auto"/>
        </w:rPr>
        <w:t>：</w:t>
      </w:r>
    </w:p>
    <w:p w14:paraId="6B681F53">
      <w:pPr>
        <w:pStyle w:val="21"/>
        <w:rPr>
          <w:rFonts w:ascii="Times New Roman" w:hAnsi="Times New Roman"/>
          <w:color w:val="auto"/>
        </w:rPr>
      </w:pPr>
      <w:r>
        <w:rPr>
          <w:rFonts w:ascii="Times New Roman" w:hAnsi="Times New Roman"/>
          <w:color w:val="auto"/>
        </w:rPr>
        <w:t>（1）贯彻执行国家、省、市、</w:t>
      </w:r>
      <w:r>
        <w:rPr>
          <w:rFonts w:hint="eastAsia" w:ascii="Times New Roman" w:hAnsi="Times New Roman"/>
          <w:color w:val="auto"/>
        </w:rPr>
        <w:t>区</w:t>
      </w:r>
      <w:r>
        <w:rPr>
          <w:rFonts w:ascii="Times New Roman" w:hAnsi="Times New Roman"/>
          <w:color w:val="auto"/>
        </w:rPr>
        <w:t>人民政府及有关部门关于地表水水源地突发环境事件的各项要求</w:t>
      </w:r>
      <w:r>
        <w:rPr>
          <w:rFonts w:hint="eastAsia" w:ascii="Times New Roman" w:hAnsi="Times New Roman"/>
          <w:color w:val="auto"/>
        </w:rPr>
        <w:t>；</w:t>
      </w:r>
    </w:p>
    <w:p w14:paraId="2AD44018">
      <w:pPr>
        <w:pStyle w:val="21"/>
        <w:rPr>
          <w:rFonts w:ascii="Times New Roman" w:hAnsi="Times New Roman"/>
          <w:color w:val="auto"/>
        </w:rPr>
      </w:pPr>
      <w:r>
        <w:rPr>
          <w:rFonts w:ascii="Times New Roman" w:hAnsi="Times New Roman"/>
          <w:color w:val="auto"/>
        </w:rPr>
        <w:t>（2）组织编制、修订和批准</w:t>
      </w:r>
      <w:r>
        <w:rPr>
          <w:rFonts w:hint="eastAsia" w:ascii="Times New Roman" w:hAnsi="Times New Roman"/>
          <w:color w:val="auto"/>
        </w:rPr>
        <w:t>区</w:t>
      </w:r>
      <w:r>
        <w:rPr>
          <w:rFonts w:ascii="Times New Roman" w:hAnsi="Times New Roman"/>
          <w:color w:val="auto"/>
        </w:rPr>
        <w:t>地表水水源地应急预案</w:t>
      </w:r>
      <w:r>
        <w:rPr>
          <w:rFonts w:hint="eastAsia" w:ascii="Times New Roman" w:hAnsi="Times New Roman"/>
          <w:color w:val="auto"/>
        </w:rPr>
        <w:t>；</w:t>
      </w:r>
    </w:p>
    <w:p w14:paraId="7DBB8121">
      <w:pPr>
        <w:pStyle w:val="21"/>
        <w:rPr>
          <w:rFonts w:ascii="Times New Roman" w:hAnsi="Times New Roman"/>
          <w:color w:val="auto"/>
        </w:rPr>
      </w:pPr>
      <w:r>
        <w:rPr>
          <w:rFonts w:ascii="Times New Roman" w:hAnsi="Times New Roman"/>
          <w:color w:val="auto"/>
        </w:rPr>
        <w:t>（3）指导加强地表水水源地突发环境事件应急管理体系建设</w:t>
      </w:r>
      <w:r>
        <w:rPr>
          <w:rFonts w:hint="eastAsia" w:ascii="Times New Roman" w:hAnsi="Times New Roman"/>
          <w:color w:val="auto"/>
        </w:rPr>
        <w:t>；</w:t>
      </w:r>
    </w:p>
    <w:p w14:paraId="4594134D">
      <w:pPr>
        <w:pStyle w:val="21"/>
        <w:rPr>
          <w:rFonts w:ascii="Times New Roman" w:hAnsi="Times New Roman"/>
          <w:color w:val="auto"/>
        </w:rPr>
      </w:pPr>
      <w:r>
        <w:rPr>
          <w:rFonts w:ascii="Times New Roman" w:hAnsi="Times New Roman"/>
          <w:color w:val="auto"/>
        </w:rPr>
        <w:t>（4）协调保障地表水水源地突发环境事件应急管理工作经费</w:t>
      </w:r>
      <w:r>
        <w:rPr>
          <w:rFonts w:hint="eastAsia" w:ascii="Times New Roman" w:hAnsi="Times New Roman"/>
          <w:color w:val="auto"/>
        </w:rPr>
        <w:t>。</w:t>
      </w:r>
    </w:p>
    <w:p w14:paraId="10517B1D">
      <w:pPr>
        <w:pStyle w:val="21"/>
        <w:rPr>
          <w:rFonts w:ascii="Times New Roman" w:hAnsi="Times New Roman"/>
          <w:color w:val="auto"/>
        </w:rPr>
      </w:pPr>
      <w:r>
        <w:rPr>
          <w:rFonts w:ascii="Times New Roman" w:hAnsi="Times New Roman"/>
          <w:color w:val="auto"/>
        </w:rPr>
        <w:t>应急职责</w:t>
      </w:r>
      <w:r>
        <w:rPr>
          <w:rFonts w:hint="eastAsia" w:ascii="Times New Roman" w:hAnsi="Times New Roman"/>
          <w:color w:val="auto"/>
        </w:rPr>
        <w:t>：</w:t>
      </w:r>
    </w:p>
    <w:p w14:paraId="668AA93A">
      <w:pPr>
        <w:pStyle w:val="21"/>
        <w:rPr>
          <w:rFonts w:ascii="Times New Roman" w:hAnsi="Times New Roman"/>
          <w:color w:val="auto"/>
        </w:rPr>
      </w:pPr>
      <w:r>
        <w:rPr>
          <w:rFonts w:ascii="Times New Roman" w:hAnsi="Times New Roman"/>
          <w:color w:val="auto"/>
        </w:rPr>
        <w:t>（1）发生地表水水源地突发环境事件时，亲自（或委托副指挥长）赶赴现场进行指挥，组织开展现场应急处置</w:t>
      </w:r>
      <w:r>
        <w:rPr>
          <w:rFonts w:hint="eastAsia" w:ascii="Times New Roman" w:hAnsi="Times New Roman"/>
          <w:color w:val="auto"/>
        </w:rPr>
        <w:t>；</w:t>
      </w:r>
    </w:p>
    <w:p w14:paraId="57CC38B6">
      <w:pPr>
        <w:pStyle w:val="21"/>
        <w:rPr>
          <w:rFonts w:ascii="Times New Roman" w:hAnsi="Times New Roman"/>
          <w:color w:val="auto"/>
        </w:rPr>
      </w:pPr>
      <w:r>
        <w:rPr>
          <w:rFonts w:ascii="Times New Roman" w:hAnsi="Times New Roman"/>
          <w:color w:val="auto"/>
        </w:rPr>
        <w:t>（2）贯彻执行</w:t>
      </w:r>
      <w:r>
        <w:rPr>
          <w:rFonts w:hint="eastAsia" w:ascii="Times New Roman" w:hAnsi="Times New Roman"/>
          <w:color w:val="auto"/>
        </w:rPr>
        <w:t>区</w:t>
      </w:r>
      <w:r>
        <w:rPr>
          <w:rFonts w:ascii="Times New Roman" w:hAnsi="Times New Roman"/>
          <w:color w:val="auto"/>
        </w:rPr>
        <w:t>或市人民政府及有关部门的应急指令</w:t>
      </w:r>
      <w:r>
        <w:rPr>
          <w:rFonts w:hint="eastAsia" w:ascii="Times New Roman" w:hAnsi="Times New Roman"/>
          <w:color w:val="auto"/>
        </w:rPr>
        <w:t>；</w:t>
      </w:r>
    </w:p>
    <w:p w14:paraId="416F865F">
      <w:pPr>
        <w:pStyle w:val="21"/>
        <w:rPr>
          <w:rFonts w:ascii="Times New Roman" w:hAnsi="Times New Roman"/>
          <w:color w:val="auto"/>
        </w:rPr>
      </w:pPr>
      <w:r>
        <w:rPr>
          <w:rFonts w:ascii="Times New Roman" w:hAnsi="Times New Roman"/>
          <w:color w:val="auto"/>
        </w:rPr>
        <w:t>（3）按照预警、应急启动或终止条件，决定预案的启动或终止</w:t>
      </w:r>
      <w:r>
        <w:rPr>
          <w:rFonts w:hint="eastAsia" w:ascii="Times New Roman" w:hAnsi="Times New Roman"/>
          <w:color w:val="auto"/>
        </w:rPr>
        <w:t>；</w:t>
      </w:r>
    </w:p>
    <w:p w14:paraId="2C9313F2">
      <w:pPr>
        <w:pStyle w:val="21"/>
        <w:rPr>
          <w:rFonts w:ascii="Times New Roman" w:hAnsi="Times New Roman"/>
          <w:color w:val="auto"/>
        </w:rPr>
      </w:pPr>
      <w:r>
        <w:rPr>
          <w:rFonts w:ascii="Times New Roman" w:hAnsi="Times New Roman"/>
          <w:color w:val="auto"/>
        </w:rPr>
        <w:t>（4）研判地表水水源地突发环境事件发展态势，组织制定并批准现场处置方案</w:t>
      </w:r>
      <w:r>
        <w:rPr>
          <w:rFonts w:hint="eastAsia" w:ascii="Times New Roman" w:hAnsi="Times New Roman"/>
          <w:color w:val="auto"/>
        </w:rPr>
        <w:t>；</w:t>
      </w:r>
    </w:p>
    <w:p w14:paraId="7B2F9175">
      <w:pPr>
        <w:pStyle w:val="21"/>
        <w:rPr>
          <w:rFonts w:ascii="Times New Roman" w:hAnsi="Times New Roman"/>
          <w:color w:val="auto"/>
        </w:rPr>
      </w:pPr>
      <w:r>
        <w:rPr>
          <w:rFonts w:ascii="Times New Roman" w:hAnsi="Times New Roman"/>
          <w:color w:val="auto"/>
        </w:rPr>
        <w:t>（5）组织开展损害评估等后期工作。</w:t>
      </w:r>
    </w:p>
    <w:p w14:paraId="547BFC3A">
      <w:pPr>
        <w:pStyle w:val="21"/>
        <w:rPr>
          <w:rFonts w:ascii="Times New Roman" w:hAnsi="Times New Roman"/>
          <w:color w:val="auto"/>
        </w:rPr>
      </w:pPr>
      <w:r>
        <w:rPr>
          <w:rFonts w:hint="eastAsia" w:ascii="Times New Roman" w:hAnsi="Times New Roman"/>
          <w:color w:val="auto"/>
        </w:rPr>
        <w:t>2、副总指挥职责</w:t>
      </w:r>
    </w:p>
    <w:p w14:paraId="6022BE99">
      <w:pPr>
        <w:pStyle w:val="21"/>
        <w:rPr>
          <w:rFonts w:ascii="Times New Roman" w:hAnsi="Times New Roman"/>
          <w:color w:val="auto"/>
        </w:rPr>
      </w:pPr>
      <w:r>
        <w:rPr>
          <w:rFonts w:hint="eastAsia" w:ascii="Times New Roman" w:hAnsi="Times New Roman"/>
          <w:color w:val="auto"/>
        </w:rPr>
        <w:t>日常职责：</w:t>
      </w:r>
    </w:p>
    <w:p w14:paraId="2E33CA6B">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1）协助</w:t>
      </w:r>
      <w:r>
        <w:rPr>
          <w:rFonts w:hint="eastAsia" w:ascii="Times New Roman" w:hAnsi="Times New Roman"/>
          <w:color w:val="auto"/>
        </w:rPr>
        <w:t>总指挥</w:t>
      </w:r>
      <w:r>
        <w:rPr>
          <w:rFonts w:ascii="Times New Roman" w:hAnsi="Times New Roman"/>
          <w:color w:val="auto"/>
        </w:rPr>
        <w:t>开展有关工作；</w:t>
      </w:r>
    </w:p>
    <w:p w14:paraId="7B1CE367">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2）组织指导预案培训和演练、应急救援队伍建设和能力评估等工作；</w:t>
      </w:r>
    </w:p>
    <w:p w14:paraId="1109219B">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3）指导开展地表水水源地突发环境事件风险防范和应急准备工作。</w:t>
      </w:r>
    </w:p>
    <w:p w14:paraId="21C2209A">
      <w:pPr>
        <w:pStyle w:val="21"/>
        <w:rPr>
          <w:rFonts w:ascii="Times New Roman" w:hAnsi="Times New Roman"/>
          <w:color w:val="auto"/>
        </w:rPr>
      </w:pPr>
      <w:r>
        <w:rPr>
          <w:rFonts w:hint="eastAsia" w:ascii="Times New Roman" w:hAnsi="Times New Roman"/>
          <w:color w:val="auto"/>
        </w:rPr>
        <w:t>应急职责：</w:t>
      </w:r>
    </w:p>
    <w:p w14:paraId="497F8E18">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1）协助</w:t>
      </w:r>
      <w:r>
        <w:rPr>
          <w:rFonts w:hint="eastAsia" w:ascii="Times New Roman" w:hAnsi="Times New Roman"/>
          <w:color w:val="auto"/>
        </w:rPr>
        <w:t>总指挥</w:t>
      </w:r>
      <w:r>
        <w:rPr>
          <w:rFonts w:ascii="Times New Roman" w:hAnsi="Times New Roman"/>
          <w:color w:val="auto"/>
        </w:rPr>
        <w:t>组织开展现场应急处置；</w:t>
      </w:r>
    </w:p>
    <w:p w14:paraId="6D6D96C3">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2）根据分工或</w:t>
      </w:r>
      <w:r>
        <w:rPr>
          <w:rFonts w:hint="eastAsia" w:ascii="Times New Roman" w:hAnsi="Times New Roman"/>
          <w:color w:val="auto"/>
        </w:rPr>
        <w:t>总</w:t>
      </w:r>
      <w:r>
        <w:rPr>
          <w:rFonts w:ascii="Times New Roman" w:hAnsi="Times New Roman"/>
          <w:color w:val="auto"/>
        </w:rPr>
        <w:t>指挥安排，负责现场的具体指挥协调；</w:t>
      </w:r>
    </w:p>
    <w:p w14:paraId="5E17E653">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3）负责提出有关应急处置建议；</w:t>
      </w:r>
    </w:p>
    <w:p w14:paraId="061A4BCE">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4）负责向场外人员通报有关应急信息；</w:t>
      </w:r>
    </w:p>
    <w:p w14:paraId="4009052D">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5）负责协调现场与场外应急处置工作；</w:t>
      </w:r>
    </w:p>
    <w:p w14:paraId="49E53999">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6）停止取水后，负责协调保障居民用水；</w:t>
      </w:r>
    </w:p>
    <w:p w14:paraId="5EC2E46B">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7）处置现场出现的紧急情况。</w:t>
      </w:r>
    </w:p>
    <w:p w14:paraId="215843C9">
      <w:pPr>
        <w:pStyle w:val="21"/>
        <w:rPr>
          <w:rFonts w:ascii="Times New Roman" w:hAnsi="Times New Roman"/>
          <w:color w:val="auto"/>
        </w:rPr>
      </w:pPr>
      <w:r>
        <w:rPr>
          <w:rFonts w:hint="eastAsia" w:ascii="Times New Roman" w:hAnsi="Times New Roman"/>
          <w:color w:val="auto"/>
        </w:rPr>
        <w:t>3、协调办公室职责</w:t>
      </w:r>
    </w:p>
    <w:p w14:paraId="2CF64A53">
      <w:pPr>
        <w:pStyle w:val="21"/>
        <w:rPr>
          <w:rFonts w:ascii="Times New Roman" w:hAnsi="Times New Roman"/>
          <w:color w:val="auto"/>
        </w:rPr>
      </w:pPr>
      <w:r>
        <w:rPr>
          <w:rFonts w:hint="eastAsia" w:ascii="Times New Roman" w:hAnsi="Times New Roman"/>
          <w:color w:val="auto"/>
        </w:rPr>
        <w:t>日常职责：</w:t>
      </w:r>
    </w:p>
    <w:p w14:paraId="2D4CC771">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1）组织编制、修订水源地应急预案；</w:t>
      </w:r>
    </w:p>
    <w:p w14:paraId="33D14455">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2）负责水源地应急预案的日常管理，</w:t>
      </w:r>
      <w:r>
        <w:rPr>
          <w:rFonts w:hint="eastAsia" w:ascii="Times New Roman" w:hAnsi="Times New Roman"/>
          <w:color w:val="auto"/>
        </w:rPr>
        <w:t>开展预案培训和演练、应急救援队伍建设和能力评估等工作；</w:t>
      </w:r>
    </w:p>
    <w:p w14:paraId="2B64DCDB">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3）组织开展水源地突发环境事件风险</w:t>
      </w:r>
      <w:r>
        <w:rPr>
          <w:rFonts w:hint="eastAsia" w:ascii="Times New Roman" w:hAnsi="Times New Roman"/>
          <w:color w:val="auto"/>
        </w:rPr>
        <w:t>防范和应急准备工作。</w:t>
      </w:r>
    </w:p>
    <w:p w14:paraId="71FBC8A4">
      <w:pPr>
        <w:pStyle w:val="21"/>
        <w:rPr>
          <w:rFonts w:ascii="Times New Roman" w:hAnsi="Times New Roman"/>
          <w:color w:val="auto"/>
        </w:rPr>
      </w:pPr>
      <w:r>
        <w:rPr>
          <w:rFonts w:hint="eastAsia" w:ascii="Times New Roman" w:hAnsi="Times New Roman"/>
          <w:color w:val="auto"/>
        </w:rPr>
        <w:t>应急职责：</w:t>
      </w:r>
    </w:p>
    <w:p w14:paraId="77F964F5">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1）贯彻执行总指挥、副总指挥的各项指令</w:t>
      </w:r>
      <w:r>
        <w:rPr>
          <w:rFonts w:hint="eastAsia" w:ascii="Times New Roman" w:hAnsi="Times New Roman"/>
          <w:color w:val="auto"/>
        </w:rPr>
        <w:t>和要求；</w:t>
      </w:r>
    </w:p>
    <w:p w14:paraId="6EC6A639">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2）负责信息汇总上报，并与有关的外部应</w:t>
      </w:r>
      <w:r>
        <w:rPr>
          <w:rFonts w:hint="eastAsia" w:ascii="Times New Roman" w:hAnsi="Times New Roman"/>
          <w:color w:val="auto"/>
        </w:rPr>
        <w:t>急部门、组织和机构进行联络；</w:t>
      </w:r>
    </w:p>
    <w:p w14:paraId="3F67A8D1">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3）负责调动应急人员、调配应急资源和联</w:t>
      </w:r>
      <w:r>
        <w:rPr>
          <w:rFonts w:hint="eastAsia" w:ascii="Times New Roman" w:hAnsi="Times New Roman"/>
          <w:color w:val="auto"/>
        </w:rPr>
        <w:t>络外部应急组织或机构；</w:t>
      </w:r>
    </w:p>
    <w:p w14:paraId="5F3A7355">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4）收集整理有关事件数据。</w:t>
      </w:r>
    </w:p>
    <w:p w14:paraId="26043128">
      <w:pPr>
        <w:pStyle w:val="21"/>
        <w:rPr>
          <w:rFonts w:ascii="Times New Roman" w:hAnsi="Times New Roman"/>
          <w:color w:val="auto"/>
        </w:rPr>
      </w:pPr>
      <w:r>
        <w:rPr>
          <w:rFonts w:hint="eastAsia" w:ascii="Times New Roman" w:hAnsi="Times New Roman"/>
          <w:color w:val="auto"/>
        </w:rPr>
        <w:t>4、专项工作组职责</w:t>
      </w:r>
    </w:p>
    <w:p w14:paraId="5862250A">
      <w:pPr>
        <w:pStyle w:val="21"/>
        <w:rPr>
          <w:rFonts w:ascii="Times New Roman" w:hAnsi="Times New Roman"/>
          <w:color w:val="auto"/>
        </w:rPr>
      </w:pPr>
      <w:r>
        <w:rPr>
          <w:rFonts w:hint="eastAsia" w:ascii="Times New Roman" w:hAnsi="Times New Roman"/>
          <w:color w:val="auto"/>
        </w:rPr>
        <w:t>（1）市生态环境局云冈分局</w:t>
      </w:r>
    </w:p>
    <w:p w14:paraId="75BECF91">
      <w:pPr>
        <w:pStyle w:val="21"/>
        <w:rPr>
          <w:rFonts w:ascii="Times New Roman" w:hAnsi="Times New Roman"/>
          <w:color w:val="auto"/>
        </w:rPr>
      </w:pPr>
      <w:r>
        <w:rPr>
          <w:rFonts w:hint="eastAsia" w:ascii="Times New Roman" w:hAnsi="Times New Roman"/>
          <w:color w:val="auto"/>
        </w:rPr>
        <w:t>负责水源地日常监测，及时上报并通报水源地水质异常信息。开展水源地污染防治的日常监督和管理。负责应急监测，督促、指导有关部门和单位开展水源地污染物削减处置等工作。</w:t>
      </w:r>
    </w:p>
    <w:p w14:paraId="2A2B0FF5">
      <w:pPr>
        <w:pStyle w:val="21"/>
        <w:rPr>
          <w:rFonts w:ascii="Times New Roman" w:hAnsi="Times New Roman"/>
          <w:color w:val="auto"/>
        </w:rPr>
      </w:pPr>
      <w:r>
        <w:rPr>
          <w:rFonts w:hint="eastAsia" w:ascii="Times New Roman" w:hAnsi="Times New Roman"/>
          <w:color w:val="auto"/>
        </w:rPr>
        <w:t>（2）区应急管理局</w:t>
      </w:r>
    </w:p>
    <w:p w14:paraId="4F95D8DD">
      <w:pPr>
        <w:pStyle w:val="21"/>
        <w:rPr>
          <w:rFonts w:ascii="Times New Roman" w:hAnsi="Times New Roman"/>
          <w:color w:val="auto"/>
        </w:rPr>
      </w:pPr>
      <w:r>
        <w:rPr>
          <w:rFonts w:hint="eastAsia" w:ascii="Times New Roman" w:hAnsi="Times New Roman"/>
          <w:color w:val="auto"/>
        </w:rPr>
        <w:t>负责防范企业生产安全事故次生地表水水源地突发环境事件，及时上报并通报事故信息。协助处置因企业生产安全事故导致的地表水水源地突发环境事件。</w:t>
      </w:r>
    </w:p>
    <w:p w14:paraId="2D02DCAE">
      <w:pPr>
        <w:pStyle w:val="21"/>
        <w:rPr>
          <w:rFonts w:ascii="Times New Roman" w:hAnsi="Times New Roman"/>
          <w:color w:val="auto"/>
        </w:rPr>
      </w:pPr>
      <w:r>
        <w:rPr>
          <w:rFonts w:hint="eastAsia" w:ascii="Times New Roman" w:hAnsi="Times New Roman"/>
          <w:color w:val="auto"/>
        </w:rPr>
        <w:t>（3）区自然资源局</w:t>
      </w:r>
    </w:p>
    <w:p w14:paraId="2E8A0D61">
      <w:pPr>
        <w:pStyle w:val="21"/>
        <w:rPr>
          <w:rFonts w:ascii="Times New Roman" w:hAnsi="Times New Roman"/>
          <w:color w:val="auto"/>
        </w:rPr>
      </w:pPr>
      <w:r>
        <w:rPr>
          <w:rFonts w:hint="eastAsia" w:ascii="Times New Roman" w:hAnsi="Times New Roman"/>
          <w:color w:val="auto"/>
        </w:rPr>
        <w:t>负责规划、建设、管理、保障用于地表水水源地突发环境事件应急处置的场地。</w:t>
      </w:r>
    </w:p>
    <w:p w14:paraId="7CC6E1B9">
      <w:pPr>
        <w:pStyle w:val="21"/>
        <w:rPr>
          <w:rFonts w:ascii="Times New Roman" w:hAnsi="Times New Roman"/>
          <w:color w:val="auto"/>
        </w:rPr>
      </w:pPr>
      <w:r>
        <w:rPr>
          <w:rFonts w:hint="eastAsia" w:ascii="Times New Roman" w:hAnsi="Times New Roman"/>
          <w:color w:val="auto"/>
        </w:rPr>
        <w:t>（4）区住建局</w:t>
      </w:r>
    </w:p>
    <w:p w14:paraId="3E63CDAF">
      <w:pPr>
        <w:pStyle w:val="21"/>
        <w:rPr>
          <w:rFonts w:ascii="Times New Roman" w:hAnsi="Times New Roman"/>
          <w:color w:val="auto"/>
        </w:rPr>
      </w:pPr>
      <w:r>
        <w:rPr>
          <w:rFonts w:hint="eastAsia" w:ascii="Times New Roman" w:hAnsi="Times New Roman"/>
          <w:color w:val="auto"/>
        </w:rPr>
        <w:t>负责供水单位日常管理工作，对供水单位水质异常现象进行调查处理，及时上报并通报供水单位水质异常信息。负责指导供水单位的应急处置工作，组织供水单位进行应急监测，落实停止取水、启动深度处理设施和切换备用水源等应急工作安排。</w:t>
      </w:r>
    </w:p>
    <w:p w14:paraId="0B5753F5">
      <w:pPr>
        <w:pStyle w:val="21"/>
        <w:rPr>
          <w:rFonts w:ascii="Times New Roman" w:hAnsi="Times New Roman"/>
          <w:color w:val="auto"/>
        </w:rPr>
      </w:pPr>
      <w:r>
        <w:rPr>
          <w:rFonts w:hint="eastAsia" w:ascii="Times New Roman" w:hAnsi="Times New Roman"/>
          <w:color w:val="auto"/>
        </w:rPr>
        <w:t>（5）区交通运输局</w:t>
      </w:r>
    </w:p>
    <w:p w14:paraId="2ECD6062">
      <w:pPr>
        <w:pStyle w:val="21"/>
        <w:rPr>
          <w:rFonts w:ascii="Times New Roman" w:hAnsi="Times New Roman"/>
          <w:color w:val="auto"/>
        </w:rPr>
      </w:pPr>
      <w:r>
        <w:rPr>
          <w:rFonts w:hint="eastAsia" w:ascii="Times New Roman" w:hAnsi="Times New Roman"/>
          <w:color w:val="auto"/>
        </w:rPr>
        <w:t>负责危险化学品运输车辆跨越水源保护区道路桥梁的日常应急管理工作，建设维护道路桥梁应急工程设施。协助处置交通事故次生的水源地突发环境事件，事故发生后及时启用道路桥梁应急工程设施，并负责保障应急物资运输车辆快速通行。</w:t>
      </w:r>
    </w:p>
    <w:p w14:paraId="17850CE0">
      <w:pPr>
        <w:pStyle w:val="21"/>
        <w:rPr>
          <w:rFonts w:ascii="Times New Roman" w:hAnsi="Times New Roman"/>
          <w:color w:val="auto"/>
        </w:rPr>
      </w:pPr>
      <w:r>
        <w:rPr>
          <w:rFonts w:hint="eastAsia" w:ascii="Times New Roman" w:hAnsi="Times New Roman"/>
          <w:color w:val="auto"/>
        </w:rPr>
        <w:t>（6）区水务局</w:t>
      </w:r>
    </w:p>
    <w:p w14:paraId="0B65CA90">
      <w:pPr>
        <w:pStyle w:val="21"/>
        <w:rPr>
          <w:rFonts w:ascii="Times New Roman" w:hAnsi="Times New Roman"/>
          <w:color w:val="auto"/>
        </w:rPr>
      </w:pPr>
      <w:r>
        <w:rPr>
          <w:rFonts w:hint="eastAsia" w:ascii="Times New Roman" w:hAnsi="Times New Roman"/>
          <w:color w:val="auto"/>
        </w:rPr>
        <w:t>负责指导水源地水利设施建设和管理。按照应急指挥部要求，利用水利工程进行污染团拦截、降污或调水稀释等工作。</w:t>
      </w:r>
    </w:p>
    <w:p w14:paraId="7A63BA3E">
      <w:pPr>
        <w:pStyle w:val="21"/>
        <w:rPr>
          <w:rFonts w:ascii="Times New Roman" w:hAnsi="Times New Roman"/>
          <w:color w:val="auto"/>
        </w:rPr>
      </w:pPr>
      <w:r>
        <w:rPr>
          <w:rFonts w:hint="eastAsia" w:ascii="Times New Roman" w:hAnsi="Times New Roman"/>
          <w:color w:val="auto"/>
        </w:rPr>
        <w:t>（7）区农业农村局</w:t>
      </w:r>
    </w:p>
    <w:p w14:paraId="6D50A2D2">
      <w:pPr>
        <w:pStyle w:val="21"/>
        <w:rPr>
          <w:rFonts w:ascii="Times New Roman" w:hAnsi="Times New Roman"/>
          <w:color w:val="auto"/>
        </w:rPr>
      </w:pPr>
      <w:r>
        <w:rPr>
          <w:rFonts w:hint="eastAsia" w:ascii="Times New Roman" w:hAnsi="Times New Roman"/>
          <w:color w:val="auto"/>
        </w:rPr>
        <w:t>管理暴雨期间入河农灌退水排放行为，防范农业面源导致的水源地突发环境事件。协助处置因农业面源、渔业养殖导致的水源地突发环境事件。对具有农灌功能的水源地，在应急期间暂停农灌取水。</w:t>
      </w:r>
    </w:p>
    <w:p w14:paraId="0275A59B">
      <w:pPr>
        <w:pStyle w:val="21"/>
        <w:rPr>
          <w:rFonts w:ascii="Times New Roman" w:hAnsi="Times New Roman"/>
          <w:color w:val="auto"/>
        </w:rPr>
      </w:pPr>
      <w:r>
        <w:rPr>
          <w:rFonts w:hint="eastAsia" w:ascii="Times New Roman" w:hAnsi="Times New Roman"/>
          <w:color w:val="auto"/>
        </w:rPr>
        <w:t>（8）区卫体局</w:t>
      </w:r>
    </w:p>
    <w:p w14:paraId="46AD403E">
      <w:pPr>
        <w:pStyle w:val="21"/>
        <w:rPr>
          <w:rFonts w:ascii="Times New Roman" w:hAnsi="Times New Roman"/>
          <w:color w:val="auto"/>
        </w:rPr>
      </w:pPr>
      <w:r>
        <w:rPr>
          <w:rFonts w:hint="eastAsia" w:ascii="Times New Roman" w:hAnsi="Times New Roman"/>
          <w:color w:val="auto"/>
        </w:rPr>
        <w:t>负责自来水管网末梢水水质卫生日常管理，及时上报并通报管网末梢水水质异常信息。负责管网末梢水水质应急监测，确保应急期间居民饮水卫生安全。</w:t>
      </w:r>
    </w:p>
    <w:p w14:paraId="1E7E95DA">
      <w:pPr>
        <w:pStyle w:val="21"/>
        <w:rPr>
          <w:rFonts w:ascii="Times New Roman" w:hAnsi="Times New Roman"/>
          <w:color w:val="auto"/>
        </w:rPr>
      </w:pPr>
      <w:r>
        <w:rPr>
          <w:rFonts w:hint="eastAsia" w:ascii="Times New Roman" w:hAnsi="Times New Roman"/>
          <w:color w:val="auto"/>
        </w:rPr>
        <w:t>（9）区财政局</w:t>
      </w:r>
    </w:p>
    <w:p w14:paraId="01E601E0">
      <w:pPr>
        <w:pStyle w:val="21"/>
        <w:rPr>
          <w:rFonts w:ascii="Times New Roman" w:hAnsi="Times New Roman"/>
          <w:color w:val="auto"/>
        </w:rPr>
      </w:pPr>
      <w:r>
        <w:rPr>
          <w:rFonts w:hint="eastAsia" w:ascii="Times New Roman" w:hAnsi="Times New Roman"/>
          <w:color w:val="auto"/>
        </w:rPr>
        <w:t>负责保障水源地突发环境事件应急管理工作经费。负责保障水源地突发环境事件应急处置期间的费用。</w:t>
      </w:r>
    </w:p>
    <w:p w14:paraId="2F58526C">
      <w:pPr>
        <w:pStyle w:val="21"/>
        <w:rPr>
          <w:rFonts w:ascii="Times New Roman" w:hAnsi="Times New Roman"/>
          <w:color w:val="auto"/>
        </w:rPr>
      </w:pPr>
      <w:r>
        <w:rPr>
          <w:rFonts w:hint="eastAsia" w:ascii="Times New Roman" w:hAnsi="Times New Roman"/>
          <w:color w:val="auto"/>
        </w:rPr>
        <w:t>（1</w:t>
      </w:r>
      <w:r>
        <w:rPr>
          <w:rFonts w:ascii="Times New Roman" w:hAnsi="Times New Roman"/>
          <w:color w:val="auto"/>
        </w:rPr>
        <w:t>0</w:t>
      </w:r>
      <w:r>
        <w:rPr>
          <w:rFonts w:hint="eastAsia" w:ascii="Times New Roman" w:hAnsi="Times New Roman"/>
          <w:color w:val="auto"/>
        </w:rPr>
        <w:t>）区委宣传部</w:t>
      </w:r>
    </w:p>
    <w:p w14:paraId="457DE4F1">
      <w:pPr>
        <w:pStyle w:val="21"/>
        <w:rPr>
          <w:rFonts w:ascii="Times New Roman" w:hAnsi="Times New Roman"/>
          <w:color w:val="auto"/>
        </w:rPr>
      </w:pPr>
      <w:r>
        <w:rPr>
          <w:rFonts w:hint="eastAsia" w:ascii="Times New Roman" w:hAnsi="Times New Roman"/>
          <w:color w:val="auto"/>
        </w:rPr>
        <w:t>负责应急期间的新闻发布、对外通报和信息公开等工作。</w:t>
      </w:r>
    </w:p>
    <w:p w14:paraId="06CE3C0E">
      <w:pPr>
        <w:pStyle w:val="21"/>
        <w:rPr>
          <w:rFonts w:ascii="Times New Roman" w:hAnsi="Times New Roman"/>
          <w:color w:val="auto"/>
        </w:rPr>
      </w:pPr>
      <w:r>
        <w:rPr>
          <w:rFonts w:hint="eastAsia" w:ascii="Times New Roman" w:hAnsi="Times New Roman"/>
          <w:color w:val="auto"/>
        </w:rPr>
        <w:t>（1</w:t>
      </w:r>
      <w:r>
        <w:rPr>
          <w:rFonts w:ascii="Times New Roman" w:hAnsi="Times New Roman"/>
          <w:color w:val="auto"/>
        </w:rPr>
        <w:t>1</w:t>
      </w:r>
      <w:r>
        <w:rPr>
          <w:rFonts w:hint="eastAsia" w:ascii="Times New Roman" w:hAnsi="Times New Roman"/>
          <w:color w:val="auto"/>
        </w:rPr>
        <w:t>）市公安局云冈分局</w:t>
      </w:r>
    </w:p>
    <w:p w14:paraId="7F526F4C">
      <w:pPr>
        <w:pStyle w:val="21"/>
        <w:rPr>
          <w:rFonts w:ascii="Times New Roman" w:hAnsi="Times New Roman"/>
          <w:color w:val="auto"/>
        </w:rPr>
      </w:pPr>
      <w:r>
        <w:rPr>
          <w:rFonts w:hint="eastAsia" w:ascii="Times New Roman" w:hAnsi="Times New Roman"/>
          <w:color w:val="auto"/>
        </w:rPr>
        <w:t>负责组织协调道路交通工作；负责划定现场警戒和交通管制区域，指导人员疏散，保障救援道路畅通，维护事发地治安秩序和社会稳定；指导、组织实施公共信息网络和互联网安全保护，依法实施对公共信息网络的安全监察工作。</w:t>
      </w:r>
    </w:p>
    <w:p w14:paraId="60D357AF">
      <w:pPr>
        <w:pStyle w:val="21"/>
        <w:rPr>
          <w:rFonts w:ascii="Times New Roman" w:hAnsi="Times New Roman"/>
          <w:color w:val="auto"/>
        </w:rPr>
      </w:pPr>
      <w:r>
        <w:rPr>
          <w:rFonts w:hint="eastAsia" w:ascii="Times New Roman" w:hAnsi="Times New Roman"/>
          <w:color w:val="auto"/>
        </w:rPr>
        <w:t>（1</w:t>
      </w:r>
      <w:r>
        <w:rPr>
          <w:rFonts w:ascii="Times New Roman" w:hAnsi="Times New Roman"/>
          <w:color w:val="auto"/>
        </w:rPr>
        <w:t>2</w:t>
      </w:r>
      <w:r>
        <w:rPr>
          <w:rFonts w:hint="eastAsia" w:ascii="Times New Roman" w:hAnsi="Times New Roman"/>
          <w:color w:val="auto"/>
        </w:rPr>
        <w:t>）区交警队</w:t>
      </w:r>
    </w:p>
    <w:p w14:paraId="5671690B">
      <w:pPr>
        <w:pStyle w:val="21"/>
        <w:rPr>
          <w:rFonts w:ascii="Times New Roman" w:hAnsi="Times New Roman"/>
          <w:color w:val="auto"/>
        </w:rPr>
      </w:pPr>
      <w:r>
        <w:rPr>
          <w:rFonts w:hint="eastAsia" w:ascii="Times New Roman" w:hAnsi="Times New Roman"/>
          <w:color w:val="auto"/>
        </w:rPr>
        <w:t>协助公安部门维护应急期间的社会治安秩序，协助区人民政府转移、解救危险区域的群众。</w:t>
      </w:r>
    </w:p>
    <w:p w14:paraId="18E63F80">
      <w:pPr>
        <w:pStyle w:val="21"/>
        <w:rPr>
          <w:rFonts w:ascii="Times New Roman" w:hAnsi="Times New Roman"/>
          <w:color w:val="auto"/>
        </w:rPr>
      </w:pPr>
      <w:r>
        <w:rPr>
          <w:rFonts w:hint="eastAsia" w:ascii="Times New Roman" w:hAnsi="Times New Roman"/>
          <w:color w:val="auto"/>
        </w:rPr>
        <w:t>（1</w:t>
      </w:r>
      <w:r>
        <w:rPr>
          <w:rFonts w:ascii="Times New Roman" w:hAnsi="Times New Roman"/>
          <w:color w:val="auto"/>
        </w:rPr>
        <w:t>3</w:t>
      </w:r>
      <w:r>
        <w:rPr>
          <w:rFonts w:hint="eastAsia" w:ascii="Times New Roman" w:hAnsi="Times New Roman"/>
          <w:color w:val="auto"/>
        </w:rPr>
        <w:t>）应急物质所属部门</w:t>
      </w:r>
    </w:p>
    <w:p w14:paraId="0D0BB148">
      <w:pPr>
        <w:pStyle w:val="21"/>
        <w:rPr>
          <w:rFonts w:ascii="Times New Roman" w:hAnsi="Times New Roman"/>
          <w:color w:val="auto"/>
        </w:rPr>
      </w:pPr>
      <w:r>
        <w:rPr>
          <w:rFonts w:hint="eastAsia" w:ascii="Times New Roman" w:hAnsi="Times New Roman"/>
          <w:color w:val="auto"/>
        </w:rPr>
        <w:t>负责有关应急物资的日常维护管理和使用管理。</w:t>
      </w:r>
    </w:p>
    <w:p w14:paraId="79CD6A44">
      <w:pPr>
        <w:pStyle w:val="18"/>
        <w:rPr>
          <w:rFonts w:ascii="Times New Roman" w:hAnsi="Times New Roman"/>
        </w:rPr>
      </w:pPr>
      <w:bookmarkStart w:id="31" w:name="_Toc213690695"/>
      <w:r>
        <w:rPr>
          <w:rFonts w:ascii="Times New Roman" w:hAnsi="Times New Roman"/>
        </w:rPr>
        <w:t>2.2</w:t>
      </w:r>
      <w:r>
        <w:rPr>
          <w:rFonts w:hint="eastAsia" w:ascii="Times New Roman" w:hAnsi="Times New Roman"/>
        </w:rPr>
        <w:t>现场应急指挥部</w:t>
      </w:r>
      <w:bookmarkEnd w:id="31"/>
    </w:p>
    <w:p w14:paraId="4FBDF53E">
      <w:pPr>
        <w:pStyle w:val="21"/>
        <w:rPr>
          <w:rFonts w:ascii="Times New Roman" w:hAnsi="Times New Roman"/>
          <w:color w:val="auto"/>
        </w:rPr>
      </w:pPr>
      <w:r>
        <w:rPr>
          <w:rFonts w:hint="eastAsia" w:ascii="Times New Roman" w:hAnsi="Times New Roman"/>
          <w:color w:val="auto"/>
        </w:rPr>
        <w:t>区指挥部根据需要成立现场应急指挥部，负责现场组织指挥工作。现场指挥部在区应急指挥部授权范围内独立决策，超出授权事项须书面请示。参与现场处置的有关单位和人员应服从现场指挥部的统一指挥。现场指挥部由指挥长、副指挥长、成员单位、事发地乡镇人民政府、事发单位负责人与相关专家组成。</w:t>
      </w:r>
    </w:p>
    <w:p w14:paraId="50965792">
      <w:pPr>
        <w:pStyle w:val="21"/>
        <w:rPr>
          <w:rFonts w:ascii="Times New Roman" w:hAnsi="Times New Roman"/>
          <w:color w:val="auto"/>
        </w:rPr>
      </w:pPr>
      <w:r>
        <w:rPr>
          <w:rFonts w:hint="eastAsia" w:ascii="Times New Roman" w:hAnsi="Times New Roman"/>
          <w:color w:val="auto"/>
        </w:rPr>
        <w:t>现场应急工作组包括综合组、应急处置组、应急监测组、应急供水保障组、应急物资保障组、应急专家组等。</w:t>
      </w:r>
    </w:p>
    <w:p w14:paraId="00EEC6AB">
      <w:pPr>
        <w:pStyle w:val="21"/>
        <w:rPr>
          <w:rFonts w:ascii="Times New Roman" w:hAnsi="Times New Roman"/>
          <w:color w:val="auto"/>
        </w:rPr>
      </w:pPr>
      <w:r>
        <w:rPr>
          <w:rFonts w:hint="eastAsia" w:ascii="Times New Roman" w:hAnsi="Times New Roman"/>
          <w:color w:val="auto"/>
        </w:rPr>
        <w:t>1、综合组</w:t>
      </w:r>
    </w:p>
    <w:p w14:paraId="49C3568C">
      <w:pPr>
        <w:pStyle w:val="21"/>
        <w:rPr>
          <w:rFonts w:ascii="Times New Roman" w:hAnsi="Times New Roman"/>
          <w:color w:val="auto"/>
        </w:rPr>
      </w:pPr>
      <w:r>
        <w:rPr>
          <w:rFonts w:hint="eastAsia" w:ascii="Times New Roman" w:hAnsi="Times New Roman"/>
          <w:color w:val="auto"/>
        </w:rPr>
        <w:t>综合组为协调机构，熟悉应急管理、信息报告、信息发布和舆情应对等方面，由区委宣传部、市生态环境局云冈分局、市公安局云冈分局、区农业农村局、区水务局、区应急管理局、事发地乡镇人民政府等单位组成。</w:t>
      </w:r>
    </w:p>
    <w:p w14:paraId="01EBFB47">
      <w:pPr>
        <w:pStyle w:val="21"/>
        <w:rPr>
          <w:rFonts w:ascii="Times New Roman" w:hAnsi="Times New Roman"/>
          <w:color w:val="auto"/>
        </w:rPr>
      </w:pPr>
      <w:r>
        <w:rPr>
          <w:rFonts w:hint="eastAsia" w:ascii="Times New Roman" w:hAnsi="Times New Roman"/>
          <w:color w:val="auto"/>
        </w:rPr>
        <w:t>工作职责：</w:t>
      </w:r>
    </w:p>
    <w:p w14:paraId="524776DF">
      <w:pPr>
        <w:pStyle w:val="21"/>
        <w:rPr>
          <w:rFonts w:ascii="Times New Roman" w:hAnsi="Times New Roman"/>
          <w:color w:val="auto"/>
        </w:rPr>
      </w:pPr>
      <w:r>
        <w:rPr>
          <w:rFonts w:ascii="Times New Roman" w:hAnsi="Times New Roman"/>
          <w:color w:val="auto"/>
        </w:rPr>
        <w:t>（1）落实指挥长、副指挥长决策方案</w:t>
      </w:r>
      <w:r>
        <w:rPr>
          <w:rFonts w:hint="eastAsia" w:ascii="Times New Roman" w:hAnsi="Times New Roman"/>
          <w:color w:val="auto"/>
        </w:rPr>
        <w:t>。</w:t>
      </w:r>
    </w:p>
    <w:p w14:paraId="40B57AA0">
      <w:pPr>
        <w:pStyle w:val="21"/>
        <w:rPr>
          <w:rFonts w:ascii="Times New Roman" w:hAnsi="Times New Roman"/>
          <w:color w:val="auto"/>
        </w:rPr>
      </w:pPr>
      <w:r>
        <w:rPr>
          <w:rFonts w:ascii="Times New Roman" w:hAnsi="Times New Roman"/>
          <w:color w:val="auto"/>
        </w:rPr>
        <w:t>（2）负责信息报告、信息发布和舆情应对等工作</w:t>
      </w:r>
      <w:r>
        <w:rPr>
          <w:rFonts w:hint="eastAsia" w:ascii="Times New Roman" w:hAnsi="Times New Roman"/>
          <w:color w:val="auto"/>
        </w:rPr>
        <w:t>。</w:t>
      </w:r>
      <w:r>
        <w:rPr>
          <w:rFonts w:ascii="Times New Roman" w:hAnsi="Times New Roman"/>
          <w:color w:val="auto"/>
        </w:rPr>
        <w:t>负责组织开展事件进展、应急工作情况等权威信息发布，加强新闻宣传报道；加强媒体、电信和互联网管理，正确引导舆论</w:t>
      </w:r>
      <w:r>
        <w:rPr>
          <w:rFonts w:hint="eastAsia" w:ascii="Times New Roman" w:hAnsi="Times New Roman"/>
          <w:color w:val="auto"/>
        </w:rPr>
        <w:t>，</w:t>
      </w:r>
      <w:r>
        <w:rPr>
          <w:rFonts w:ascii="Times New Roman" w:hAnsi="Times New Roman"/>
          <w:color w:val="auto"/>
        </w:rPr>
        <w:t>及时澄清不实信息，回应社会关切</w:t>
      </w:r>
      <w:r>
        <w:rPr>
          <w:rFonts w:hint="eastAsia" w:ascii="Times New Roman" w:hAnsi="Times New Roman"/>
          <w:color w:val="auto"/>
        </w:rPr>
        <w:t>。</w:t>
      </w:r>
    </w:p>
    <w:p w14:paraId="4936C760">
      <w:pPr>
        <w:pStyle w:val="21"/>
        <w:rPr>
          <w:rFonts w:ascii="Times New Roman" w:hAnsi="Times New Roman"/>
          <w:color w:val="auto"/>
        </w:rPr>
      </w:pPr>
      <w:r>
        <w:rPr>
          <w:rFonts w:ascii="Times New Roman" w:hAnsi="Times New Roman"/>
          <w:color w:val="auto"/>
        </w:rPr>
        <w:t>（3）收集汇总各工作组救援动态信息，制作应急救援态势图、人员配置表、通讯表</w:t>
      </w:r>
      <w:r>
        <w:rPr>
          <w:rFonts w:hint="eastAsia" w:ascii="Times New Roman" w:hAnsi="Times New Roman"/>
          <w:color w:val="auto"/>
        </w:rPr>
        <w:t>。</w:t>
      </w:r>
    </w:p>
    <w:p w14:paraId="3F81E2E2">
      <w:pPr>
        <w:pStyle w:val="21"/>
        <w:rPr>
          <w:rFonts w:ascii="Times New Roman" w:hAnsi="Times New Roman"/>
          <w:color w:val="auto"/>
        </w:rPr>
      </w:pPr>
      <w:r>
        <w:rPr>
          <w:rFonts w:ascii="Times New Roman" w:hAnsi="Times New Roman"/>
          <w:color w:val="auto"/>
        </w:rPr>
        <w:t>（4）督促各工作组填写救援日志，及时汇总各组情况，编辑救援信息，及时向指挥部报告有关情况</w:t>
      </w:r>
      <w:r>
        <w:rPr>
          <w:rFonts w:hint="eastAsia" w:ascii="Times New Roman" w:hAnsi="Times New Roman"/>
          <w:color w:val="auto"/>
        </w:rPr>
        <w:t>。</w:t>
      </w:r>
    </w:p>
    <w:p w14:paraId="58795FF2">
      <w:pPr>
        <w:pStyle w:val="21"/>
        <w:rPr>
          <w:rFonts w:ascii="Times New Roman" w:hAnsi="Times New Roman"/>
          <w:color w:val="auto"/>
        </w:rPr>
      </w:pPr>
      <w:r>
        <w:rPr>
          <w:rFonts w:ascii="Times New Roman" w:hAnsi="Times New Roman"/>
          <w:color w:val="auto"/>
        </w:rPr>
        <w:t>（5）完成指挥部安排的其他任务</w:t>
      </w:r>
      <w:r>
        <w:rPr>
          <w:rFonts w:hint="eastAsia" w:ascii="Times New Roman" w:hAnsi="Times New Roman"/>
          <w:color w:val="auto"/>
        </w:rPr>
        <w:t>。</w:t>
      </w:r>
    </w:p>
    <w:p w14:paraId="0B84D20C">
      <w:pPr>
        <w:pStyle w:val="21"/>
        <w:rPr>
          <w:rFonts w:ascii="Times New Roman" w:hAnsi="Times New Roman"/>
          <w:color w:val="auto"/>
        </w:rPr>
      </w:pPr>
      <w:r>
        <w:rPr>
          <w:rFonts w:hint="eastAsia" w:ascii="Times New Roman" w:hAnsi="Times New Roman"/>
          <w:color w:val="auto"/>
        </w:rPr>
        <w:t>2、应急处置组</w:t>
      </w:r>
    </w:p>
    <w:p w14:paraId="1B463D8D">
      <w:pPr>
        <w:pStyle w:val="21"/>
        <w:rPr>
          <w:rFonts w:ascii="Times New Roman" w:hAnsi="Times New Roman"/>
          <w:color w:val="auto"/>
        </w:rPr>
      </w:pPr>
      <w:r>
        <w:rPr>
          <w:rFonts w:hint="eastAsia" w:ascii="Times New Roman" w:hAnsi="Times New Roman"/>
          <w:color w:val="auto"/>
        </w:rPr>
        <w:t>牵头单位：大同市生态环境局云冈分局</w:t>
      </w:r>
    </w:p>
    <w:p w14:paraId="6EC6FB12">
      <w:pPr>
        <w:pStyle w:val="21"/>
        <w:rPr>
          <w:rFonts w:ascii="Times New Roman" w:hAnsi="Times New Roman"/>
          <w:color w:val="auto"/>
        </w:rPr>
      </w:pPr>
      <w:r>
        <w:rPr>
          <w:rFonts w:hint="eastAsia" w:ascii="Times New Roman" w:hAnsi="Times New Roman"/>
          <w:color w:val="auto"/>
        </w:rPr>
        <w:t>成员单位：区应急管理局、市公安局云冈分局、区交通运输局、区农业农村区、区水务局、区消防大队、区自来水有限责任公司和事发地乡镇人民政府等单位组成。</w:t>
      </w:r>
    </w:p>
    <w:p w14:paraId="2111DA8F">
      <w:pPr>
        <w:pStyle w:val="21"/>
        <w:rPr>
          <w:rFonts w:ascii="Times New Roman" w:hAnsi="Times New Roman"/>
          <w:color w:val="auto"/>
        </w:rPr>
      </w:pPr>
      <w:r>
        <w:rPr>
          <w:rFonts w:hint="eastAsia" w:ascii="Times New Roman" w:hAnsi="Times New Roman"/>
          <w:color w:val="auto"/>
        </w:rPr>
        <w:t>工作职责：</w:t>
      </w:r>
    </w:p>
    <w:p w14:paraId="09C90F23">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1）组织开展现场调查，收集汇总相关数据，及时掌握水源地突发事件的地点及影响范围，组织技术研判和事态分析，组织制定应急处置方案</w:t>
      </w:r>
      <w:r>
        <w:rPr>
          <w:rFonts w:hint="eastAsia" w:ascii="Times New Roman" w:hAnsi="Times New Roman"/>
          <w:color w:val="auto"/>
        </w:rPr>
        <w:t>。</w:t>
      </w:r>
    </w:p>
    <w:p w14:paraId="4022D81B">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2）迅速组织切断污染源，分析污染途径，确定防止污染物扩散的程序</w:t>
      </w:r>
      <w:r>
        <w:rPr>
          <w:rFonts w:hint="eastAsia" w:ascii="Times New Roman" w:hAnsi="Times New Roman"/>
          <w:color w:val="auto"/>
        </w:rPr>
        <w:t>。</w:t>
      </w:r>
    </w:p>
    <w:p w14:paraId="3FC9F02F">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3）组织采取有效措施，负责现场污染物消除、围堵和削减，以及污染物收集、转运和异地处置等工作</w:t>
      </w:r>
      <w:r>
        <w:rPr>
          <w:rFonts w:hint="eastAsia" w:ascii="Times New Roman" w:hAnsi="Times New Roman"/>
          <w:color w:val="auto"/>
        </w:rPr>
        <w:t>。</w:t>
      </w:r>
    </w:p>
    <w:p w14:paraId="0E0BD83C">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4）明确不同情况下的现场处置人员须采取的个人防护措施</w:t>
      </w:r>
      <w:r>
        <w:rPr>
          <w:rFonts w:hint="eastAsia" w:ascii="Times New Roman" w:hAnsi="Times New Roman"/>
          <w:color w:val="auto"/>
        </w:rPr>
        <w:t>。</w:t>
      </w:r>
    </w:p>
    <w:p w14:paraId="45FF55D6">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5）组织建立现场警戒区和交通管制区域，确定重点防护区域，确定受威胁人员疏散方式和途径，疏散受威胁人员转移至安全紧急避险场所</w:t>
      </w:r>
      <w:r>
        <w:rPr>
          <w:rFonts w:hint="eastAsia" w:ascii="Times New Roman" w:hAnsi="Times New Roman"/>
          <w:color w:val="auto"/>
        </w:rPr>
        <w:t>。</w:t>
      </w:r>
    </w:p>
    <w:p w14:paraId="311C4F09">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6）跟踪污染动态，对建立和解除污染警报的时间、区域提出建议；及时向区水源地应急指挥部报告污染扩散情况和事故处理情况，并根据事故现场发展情况和应急指挥部指示及时调整对策，直至污染事故警报解除。</w:t>
      </w:r>
    </w:p>
    <w:p w14:paraId="4C9DBBA3">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7）组织落实相关企业停、限产措施</w:t>
      </w:r>
      <w:r>
        <w:rPr>
          <w:rFonts w:hint="eastAsia" w:ascii="Times New Roman" w:hAnsi="Times New Roman"/>
          <w:color w:val="auto"/>
        </w:rPr>
        <w:t>。</w:t>
      </w:r>
    </w:p>
    <w:p w14:paraId="6A43E56D">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8）协调公安、消防等有关力量参与应急处置。</w:t>
      </w:r>
    </w:p>
    <w:p w14:paraId="5ADABF8B">
      <w:pPr>
        <w:pStyle w:val="21"/>
        <w:rPr>
          <w:rFonts w:ascii="Times New Roman" w:hAnsi="Times New Roman"/>
          <w:color w:val="auto"/>
        </w:rPr>
      </w:pPr>
      <w:r>
        <w:rPr>
          <w:rFonts w:hint="eastAsia" w:ascii="Times New Roman" w:hAnsi="Times New Roman"/>
          <w:color w:val="auto"/>
        </w:rPr>
        <w:t>3、应急监测组</w:t>
      </w:r>
    </w:p>
    <w:p w14:paraId="7CFE9D4E">
      <w:pPr>
        <w:pStyle w:val="21"/>
        <w:rPr>
          <w:rFonts w:ascii="Times New Roman" w:hAnsi="Times New Roman"/>
          <w:color w:val="auto"/>
        </w:rPr>
      </w:pPr>
      <w:r>
        <w:rPr>
          <w:rFonts w:hint="eastAsia" w:ascii="Times New Roman" w:hAnsi="Times New Roman"/>
          <w:color w:val="auto"/>
        </w:rPr>
        <w:t>牵头单位：大同市生态环境局云冈分局</w:t>
      </w:r>
    </w:p>
    <w:p w14:paraId="53115DE8">
      <w:pPr>
        <w:pStyle w:val="21"/>
        <w:rPr>
          <w:rFonts w:ascii="Times New Roman" w:hAnsi="Times New Roman"/>
          <w:color w:val="auto"/>
        </w:rPr>
      </w:pPr>
      <w:r>
        <w:rPr>
          <w:rFonts w:hint="eastAsia" w:ascii="Times New Roman" w:hAnsi="Times New Roman"/>
          <w:color w:val="auto"/>
        </w:rPr>
        <w:t>成员单位：区卫体局、区农业农村区、区水务局、区住建局、区自来水有限责任公司和事发地乡镇人民政府等单位组成。</w:t>
      </w:r>
    </w:p>
    <w:p w14:paraId="2811F8D8">
      <w:pPr>
        <w:pStyle w:val="21"/>
        <w:rPr>
          <w:rFonts w:ascii="Times New Roman" w:hAnsi="Times New Roman"/>
          <w:color w:val="auto"/>
        </w:rPr>
      </w:pPr>
      <w:r>
        <w:rPr>
          <w:rFonts w:hint="eastAsia" w:ascii="Times New Roman" w:hAnsi="Times New Roman"/>
          <w:color w:val="auto"/>
        </w:rPr>
        <w:t>工作职责：</w:t>
      </w:r>
    </w:p>
    <w:p w14:paraId="7D1CA79B">
      <w:pPr>
        <w:pStyle w:val="21"/>
        <w:rPr>
          <w:rFonts w:ascii="Times New Roman" w:hAnsi="Times New Roman"/>
          <w:color w:val="auto"/>
        </w:rPr>
      </w:pPr>
      <w:r>
        <w:rPr>
          <w:rFonts w:hint="eastAsia" w:ascii="Times New Roman" w:hAnsi="Times New Roman"/>
          <w:color w:val="auto"/>
        </w:rPr>
        <w:t>（1）负责组织区域内突发环境事件应急监测。负责制定应急监测工作计划；建立应急监测技术支持系统；组织业务培训。组织开展对突发环境事件的污染物种类、性质以及当地气象、自然、社会环境状况等的调查。</w:t>
      </w:r>
    </w:p>
    <w:p w14:paraId="04DB66BA">
      <w:pPr>
        <w:pStyle w:val="21"/>
        <w:rPr>
          <w:rFonts w:ascii="Times New Roman" w:hAnsi="Times New Roman"/>
          <w:color w:val="auto"/>
        </w:rPr>
      </w:pPr>
      <w:r>
        <w:rPr>
          <w:rFonts w:hint="eastAsia" w:ascii="Times New Roman" w:hAnsi="Times New Roman"/>
          <w:color w:val="auto"/>
        </w:rPr>
        <w:t>（2）接到突发性环境污染事故通知后，组织实施应急监测，根据现场情况明确相应的应急监测方案及监测方法。</w:t>
      </w:r>
    </w:p>
    <w:p w14:paraId="2D100BC4">
      <w:pPr>
        <w:pStyle w:val="21"/>
        <w:rPr>
          <w:rFonts w:ascii="Times New Roman" w:hAnsi="Times New Roman"/>
          <w:color w:val="auto"/>
        </w:rPr>
      </w:pPr>
      <w:r>
        <w:rPr>
          <w:rFonts w:hint="eastAsia" w:ascii="Times New Roman" w:hAnsi="Times New Roman"/>
          <w:color w:val="auto"/>
        </w:rPr>
        <w:t>（3）确定污染物扩散范围，明确监测的布点和频次，负责在污染带上游、下游分别设置断面进行应急监测；做好水体、土壤和大气等应急监测及数据汇总分析，为突发环境事件应急决策提供依据。</w:t>
      </w:r>
    </w:p>
    <w:p w14:paraId="7FE7FC26">
      <w:pPr>
        <w:pStyle w:val="21"/>
        <w:rPr>
          <w:rFonts w:ascii="Times New Roman" w:hAnsi="Times New Roman"/>
          <w:color w:val="auto"/>
        </w:rPr>
      </w:pPr>
      <w:r>
        <w:rPr>
          <w:rFonts w:hint="eastAsia" w:ascii="Times New Roman" w:hAnsi="Times New Roman"/>
          <w:color w:val="auto"/>
        </w:rPr>
        <w:t>（4）负责应急期间的水源地、供水单位和管网末梢水的水质监测。</w:t>
      </w:r>
    </w:p>
    <w:p w14:paraId="593FB27E">
      <w:pPr>
        <w:pStyle w:val="21"/>
        <w:rPr>
          <w:rFonts w:ascii="Times New Roman" w:hAnsi="Times New Roman"/>
          <w:color w:val="auto"/>
        </w:rPr>
      </w:pPr>
      <w:r>
        <w:rPr>
          <w:rFonts w:hint="eastAsia" w:ascii="Times New Roman" w:hAnsi="Times New Roman"/>
          <w:color w:val="auto"/>
        </w:rPr>
        <w:t>（5）配合有关部门对污染状况进行跟踪调查，指导和监督污染物的收集、清理与处理以及受污染和破坏生态环境的恢复等。</w:t>
      </w:r>
    </w:p>
    <w:p w14:paraId="014DD661">
      <w:pPr>
        <w:pStyle w:val="21"/>
        <w:rPr>
          <w:rFonts w:ascii="Times New Roman" w:hAnsi="Times New Roman"/>
          <w:color w:val="auto"/>
        </w:rPr>
      </w:pPr>
      <w:r>
        <w:rPr>
          <w:rFonts w:hint="eastAsia" w:ascii="Times New Roman" w:hAnsi="Times New Roman"/>
          <w:color w:val="auto"/>
        </w:rPr>
        <w:t>4、应急供水保障组</w:t>
      </w:r>
    </w:p>
    <w:p w14:paraId="077D1418">
      <w:pPr>
        <w:pStyle w:val="21"/>
        <w:rPr>
          <w:rFonts w:ascii="Times New Roman" w:hAnsi="Times New Roman"/>
          <w:color w:val="auto"/>
        </w:rPr>
      </w:pPr>
      <w:r>
        <w:rPr>
          <w:rFonts w:hint="eastAsia" w:ascii="Times New Roman" w:hAnsi="Times New Roman"/>
          <w:color w:val="auto"/>
        </w:rPr>
        <w:t>牵头单位：区住建局</w:t>
      </w:r>
    </w:p>
    <w:p w14:paraId="0E0BBC97">
      <w:pPr>
        <w:pStyle w:val="21"/>
        <w:rPr>
          <w:rFonts w:ascii="Times New Roman" w:hAnsi="Times New Roman"/>
          <w:color w:val="auto"/>
        </w:rPr>
      </w:pPr>
      <w:r>
        <w:rPr>
          <w:rFonts w:hint="eastAsia" w:ascii="Times New Roman" w:hAnsi="Times New Roman"/>
          <w:color w:val="auto"/>
        </w:rPr>
        <w:t>成员单位：区卫体局、市公安局云冈分局、区交通运输局、区自来水有限责任公司和各乡镇人民政府等单位组成。</w:t>
      </w:r>
    </w:p>
    <w:p w14:paraId="5A74D667">
      <w:pPr>
        <w:pStyle w:val="21"/>
        <w:rPr>
          <w:rFonts w:ascii="Times New Roman" w:hAnsi="Times New Roman"/>
          <w:color w:val="auto"/>
        </w:rPr>
      </w:pPr>
      <w:r>
        <w:rPr>
          <w:rFonts w:hint="eastAsia" w:ascii="Times New Roman" w:hAnsi="Times New Roman"/>
          <w:color w:val="auto"/>
        </w:rPr>
        <w:t>工作职责：</w:t>
      </w:r>
    </w:p>
    <w:p w14:paraId="7B1DBF39">
      <w:pPr>
        <w:pStyle w:val="21"/>
        <w:rPr>
          <w:rFonts w:ascii="Times New Roman" w:hAnsi="Times New Roman"/>
          <w:color w:val="auto"/>
        </w:rPr>
      </w:pPr>
      <w:r>
        <w:rPr>
          <w:rFonts w:hint="eastAsia" w:ascii="Times New Roman" w:hAnsi="Times New Roman"/>
          <w:color w:val="auto"/>
        </w:rPr>
        <w:t>（1）负责制定应急供水保障方案。</w:t>
      </w:r>
    </w:p>
    <w:p w14:paraId="18B02E23">
      <w:pPr>
        <w:pStyle w:val="21"/>
        <w:rPr>
          <w:rFonts w:ascii="Times New Roman" w:hAnsi="Times New Roman"/>
          <w:color w:val="auto"/>
        </w:rPr>
      </w:pPr>
      <w:r>
        <w:rPr>
          <w:rFonts w:hint="eastAsia" w:ascii="Times New Roman" w:hAnsi="Times New Roman"/>
          <w:color w:val="auto"/>
        </w:rPr>
        <w:t>（2）督促事件下游相关水厂采取停水、减压供水、改路供水、指导供水单位启动深度处理设施或备用水源以及应急供水车等措施，保障居民用水。</w:t>
      </w:r>
    </w:p>
    <w:p w14:paraId="0F475644">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w:t>
      </w:r>
      <w:r>
        <w:rPr>
          <w:rFonts w:hint="eastAsia" w:ascii="Times New Roman" w:hAnsi="Times New Roman"/>
          <w:color w:val="auto"/>
        </w:rPr>
        <w:t>）负责指导供水单位启动深度处理设施或备用水源以及应急供水车等措施，保障居民用水。</w:t>
      </w:r>
    </w:p>
    <w:p w14:paraId="56443EF5">
      <w:pPr>
        <w:pStyle w:val="21"/>
        <w:rPr>
          <w:rFonts w:ascii="Times New Roman" w:hAnsi="Times New Roman"/>
          <w:color w:val="auto"/>
        </w:rPr>
      </w:pPr>
      <w:r>
        <w:rPr>
          <w:rFonts w:hint="eastAsia" w:ascii="Times New Roman" w:hAnsi="Times New Roman"/>
          <w:color w:val="auto"/>
        </w:rPr>
        <w:t>5、应急物质保障组</w:t>
      </w:r>
    </w:p>
    <w:p w14:paraId="70F3328C">
      <w:pPr>
        <w:pStyle w:val="21"/>
        <w:rPr>
          <w:rFonts w:ascii="Times New Roman" w:hAnsi="Times New Roman"/>
          <w:color w:val="auto"/>
        </w:rPr>
      </w:pPr>
      <w:r>
        <w:rPr>
          <w:rFonts w:hint="eastAsia" w:ascii="Times New Roman" w:hAnsi="Times New Roman"/>
          <w:color w:val="auto"/>
        </w:rPr>
        <w:t>牵头单位：区应急管理局</w:t>
      </w:r>
    </w:p>
    <w:p w14:paraId="20E7DC0B">
      <w:pPr>
        <w:pStyle w:val="21"/>
        <w:rPr>
          <w:rFonts w:ascii="Times New Roman" w:hAnsi="Times New Roman"/>
          <w:color w:val="auto"/>
        </w:rPr>
      </w:pPr>
      <w:r>
        <w:rPr>
          <w:rFonts w:hint="eastAsia" w:ascii="Times New Roman" w:hAnsi="Times New Roman"/>
          <w:color w:val="auto"/>
        </w:rPr>
        <w:t>成员单位：区财政局、区民政局、市生态环境局云冈分局、区交通运输局和事发地乡镇人民政府等单位组成。</w:t>
      </w:r>
    </w:p>
    <w:p w14:paraId="25E6BAFD">
      <w:pPr>
        <w:pStyle w:val="21"/>
        <w:rPr>
          <w:rFonts w:ascii="Times New Roman" w:hAnsi="Times New Roman"/>
          <w:color w:val="auto"/>
        </w:rPr>
      </w:pPr>
      <w:r>
        <w:rPr>
          <w:rFonts w:hint="eastAsia" w:ascii="Times New Roman" w:hAnsi="Times New Roman"/>
          <w:color w:val="auto"/>
        </w:rPr>
        <w:t>工作职责：</w:t>
      </w:r>
    </w:p>
    <w:p w14:paraId="3CDFCFD2">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1）负责制定应急物资保障方案</w:t>
      </w:r>
      <w:r>
        <w:rPr>
          <w:rFonts w:hint="eastAsia" w:ascii="Times New Roman" w:hAnsi="Times New Roman"/>
          <w:color w:val="auto"/>
        </w:rPr>
        <w:t>。</w:t>
      </w:r>
    </w:p>
    <w:p w14:paraId="16FEB17F">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2）指导做好事件影响区域有关人员的临时安置工作</w:t>
      </w:r>
      <w:r>
        <w:rPr>
          <w:rFonts w:hint="eastAsia" w:ascii="Times New Roman" w:hAnsi="Times New Roman"/>
          <w:color w:val="auto"/>
        </w:rPr>
        <w:t>。</w:t>
      </w:r>
    </w:p>
    <w:p w14:paraId="5A8F3615">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3）组织做好环境应急救援物资及临时安置重要物资的紧急生产、储备调拨和紧急配送工作</w:t>
      </w:r>
      <w:r>
        <w:rPr>
          <w:rFonts w:hint="eastAsia" w:ascii="Times New Roman" w:hAnsi="Times New Roman"/>
          <w:color w:val="auto"/>
        </w:rPr>
        <w:t>。</w:t>
      </w:r>
    </w:p>
    <w:p w14:paraId="1636F787">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4）及时组织调运重要生活必需品，保障群众基本生活和市场供应</w:t>
      </w:r>
      <w:r>
        <w:rPr>
          <w:rFonts w:hint="eastAsia" w:ascii="Times New Roman" w:hAnsi="Times New Roman"/>
          <w:color w:val="auto"/>
        </w:rPr>
        <w:t>，负责现场应急处置工作人员的食宿等基本生活保障。</w:t>
      </w:r>
    </w:p>
    <w:p w14:paraId="08EB1E91">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5）负责协调补偿征用物资、应急救援和污染物处置等费用。</w:t>
      </w:r>
    </w:p>
    <w:p w14:paraId="364B33DE">
      <w:pPr>
        <w:pStyle w:val="21"/>
        <w:rPr>
          <w:rFonts w:ascii="Times New Roman" w:hAnsi="Times New Roman"/>
          <w:color w:val="auto"/>
        </w:rPr>
      </w:pPr>
      <w:r>
        <w:rPr>
          <w:rFonts w:ascii="Times New Roman" w:hAnsi="Times New Roman"/>
          <w:color w:val="auto"/>
        </w:rPr>
        <w:t>6、应急专家组</w:t>
      </w:r>
    </w:p>
    <w:p w14:paraId="6EDCF8F8">
      <w:pPr>
        <w:pStyle w:val="21"/>
        <w:rPr>
          <w:rFonts w:ascii="Times New Roman" w:hAnsi="Times New Roman"/>
          <w:color w:val="auto"/>
        </w:rPr>
      </w:pPr>
      <w:r>
        <w:rPr>
          <w:rFonts w:hint="eastAsia" w:ascii="Times New Roman" w:hAnsi="Times New Roman"/>
          <w:color w:val="auto"/>
        </w:rPr>
        <w:t>应急专家组以大同市生态环境局云冈分局为召集单位，并负责专家组成员的维护和动态更新。</w:t>
      </w:r>
    </w:p>
    <w:p w14:paraId="7B36190A">
      <w:pPr>
        <w:pStyle w:val="21"/>
        <w:rPr>
          <w:rFonts w:ascii="Times New Roman" w:hAnsi="Times New Roman"/>
          <w:color w:val="auto"/>
        </w:rPr>
      </w:pPr>
      <w:r>
        <w:rPr>
          <w:rFonts w:hint="eastAsia" w:ascii="Times New Roman" w:hAnsi="Times New Roman"/>
          <w:color w:val="auto"/>
        </w:rPr>
        <w:t>专家组成：由大专院校、科研机构、企事业等有关单位专家组成，主要涵盖环境应急管理、环境监测与评价、化工、安全生产、生态环境保护、农林水利、防化等专业领域，建立咨询专家库，由现场应急指挥组从专家库中抽调相关人员，成立应急专家组。</w:t>
      </w:r>
    </w:p>
    <w:p w14:paraId="785130F2">
      <w:pPr>
        <w:pStyle w:val="21"/>
        <w:rPr>
          <w:rFonts w:ascii="Times New Roman" w:hAnsi="Times New Roman"/>
          <w:color w:val="auto"/>
        </w:rPr>
      </w:pPr>
      <w:r>
        <w:rPr>
          <w:rFonts w:hint="eastAsia" w:ascii="Times New Roman" w:hAnsi="Times New Roman"/>
          <w:color w:val="auto"/>
        </w:rPr>
        <w:t>应急专家组职责：</w:t>
      </w:r>
    </w:p>
    <w:p w14:paraId="60590DDF">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1）应急预案启动后，根据突发环境事件的类型，组织相关专家参与突发环境事件调查、原因分析，对事件的信息进行综合分析和研究；协助判别事件类型和预警等级</w:t>
      </w:r>
      <w:r>
        <w:rPr>
          <w:rFonts w:hint="eastAsia" w:ascii="Times New Roman" w:hAnsi="Times New Roman"/>
          <w:color w:val="auto"/>
        </w:rPr>
        <w:t>。</w:t>
      </w:r>
    </w:p>
    <w:p w14:paraId="3E561829">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2）对饮用水水源地突发环境事件的发展趋势、处置办法、损失、生态恢复方案等进行研究、评估，并提出相关建议</w:t>
      </w:r>
      <w:r>
        <w:rPr>
          <w:rFonts w:hint="eastAsia" w:ascii="Times New Roman" w:hAnsi="Times New Roman"/>
          <w:color w:val="auto"/>
        </w:rPr>
        <w:t>。</w:t>
      </w:r>
    </w:p>
    <w:p w14:paraId="26923822">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根据区环境应急指挥部的要求，参与饮用水水源地突发环境事件应急监测、预警、响应、处置、保障等工作；指导饮用水水源地突发环境事件应急处置工作，对应急处理、污染控制和事件后期评估与总结等提供咨询</w:t>
      </w:r>
      <w:r>
        <w:rPr>
          <w:rFonts w:hint="eastAsia" w:ascii="Times New Roman" w:hAnsi="Times New Roman"/>
          <w:color w:val="auto"/>
        </w:rPr>
        <w:t>。</w:t>
      </w:r>
    </w:p>
    <w:p w14:paraId="08D1697B">
      <w:pPr>
        <w:pStyle w:val="21"/>
        <w:rPr>
          <w:rFonts w:ascii="Times New Roman" w:hAnsi="Times New Roman"/>
          <w:color w:val="auto"/>
        </w:rPr>
        <w:sectPr>
          <w:pgSz w:w="11906" w:h="16838"/>
          <w:pgMar w:top="1440" w:right="1701" w:bottom="1440" w:left="1701" w:header="851" w:footer="567" w:gutter="0"/>
          <w:cols w:space="425" w:num="1"/>
          <w:docGrid w:type="lines" w:linePitch="312" w:charSpace="0"/>
        </w:sectPr>
      </w:pPr>
      <w:r>
        <w:rPr>
          <w:rFonts w:hint="eastAsia" w:ascii="Times New Roman" w:hAnsi="Times New Roman"/>
          <w:color w:val="auto"/>
        </w:rPr>
        <w:t>（4）对生态修复和恢复重建等提出建议。</w:t>
      </w:r>
    </w:p>
    <w:p w14:paraId="6BFD8F02">
      <w:pPr>
        <w:pStyle w:val="17"/>
        <w:rPr>
          <w:rFonts w:ascii="Times New Roman" w:hAnsi="Times New Roman"/>
        </w:rPr>
      </w:pPr>
      <w:bookmarkStart w:id="32" w:name="_Toc213690696"/>
      <w:r>
        <w:rPr>
          <w:rFonts w:ascii="Times New Roman" w:hAnsi="Times New Roman"/>
        </w:rPr>
        <w:t>3</w:t>
      </w:r>
      <w:r>
        <w:rPr>
          <w:rFonts w:hint="eastAsia" w:ascii="Times New Roman" w:hAnsi="Times New Roman"/>
        </w:rPr>
        <w:t>应急响应</w:t>
      </w:r>
      <w:bookmarkEnd w:id="32"/>
    </w:p>
    <w:p w14:paraId="4E61431C">
      <w:pPr>
        <w:pStyle w:val="21"/>
        <w:rPr>
          <w:rFonts w:ascii="Times New Roman" w:hAnsi="Times New Roman"/>
          <w:color w:val="auto"/>
        </w:rPr>
      </w:pPr>
      <w:r>
        <w:rPr>
          <w:rFonts w:hint="eastAsia" w:ascii="Times New Roman" w:hAnsi="Times New Roman"/>
          <w:color w:val="auto"/>
        </w:rPr>
        <w:t>一般包括信息收集和研判、预警、信息报告与通报、事态研判、应急监测、污染源排查与处置、应急处置、物资调集及应急设施启用、舆情监测与信息发布、响应终止等工作内容。</w:t>
      </w:r>
    </w:p>
    <w:p w14:paraId="328856AE">
      <w:pPr>
        <w:pStyle w:val="18"/>
        <w:rPr>
          <w:rFonts w:ascii="Times New Roman" w:hAnsi="Times New Roman"/>
        </w:rPr>
      </w:pPr>
      <w:bookmarkStart w:id="33" w:name="_Toc213690697"/>
      <w:r>
        <w:rPr>
          <w:rFonts w:hint="eastAsia" w:ascii="Times New Roman" w:hAnsi="Times New Roman"/>
        </w:rPr>
        <w:t>3</w:t>
      </w:r>
      <w:r>
        <w:rPr>
          <w:rFonts w:ascii="Times New Roman" w:hAnsi="Times New Roman"/>
        </w:rPr>
        <w:t>.1</w:t>
      </w:r>
      <w:r>
        <w:rPr>
          <w:rFonts w:hint="eastAsia" w:ascii="Times New Roman" w:hAnsi="Times New Roman"/>
        </w:rPr>
        <w:t>信息收集和研判</w:t>
      </w:r>
      <w:bookmarkEnd w:id="33"/>
    </w:p>
    <w:p w14:paraId="5C46F8D7">
      <w:pPr>
        <w:pStyle w:val="23"/>
        <w:rPr>
          <w:rFonts w:ascii="Times New Roman" w:hAnsi="Times New Roman"/>
        </w:rPr>
      </w:pPr>
      <w:bookmarkStart w:id="34" w:name="_Toc213690698"/>
      <w:r>
        <w:rPr>
          <w:rFonts w:hint="eastAsia" w:ascii="Times New Roman" w:hAnsi="Times New Roman"/>
        </w:rPr>
        <w:t>3</w:t>
      </w:r>
      <w:r>
        <w:rPr>
          <w:rFonts w:ascii="Times New Roman" w:hAnsi="Times New Roman"/>
        </w:rPr>
        <w:t>.1.1</w:t>
      </w:r>
      <w:r>
        <w:rPr>
          <w:rFonts w:hint="eastAsia" w:ascii="Times New Roman" w:hAnsi="Times New Roman"/>
        </w:rPr>
        <w:t>信息收集</w:t>
      </w:r>
      <w:bookmarkEnd w:id="34"/>
    </w:p>
    <w:p w14:paraId="6EF99C6D">
      <w:pPr>
        <w:pStyle w:val="21"/>
        <w:rPr>
          <w:rFonts w:ascii="Times New Roman" w:hAnsi="Times New Roman"/>
          <w:color w:val="auto"/>
        </w:rPr>
      </w:pPr>
      <w:r>
        <w:rPr>
          <w:rFonts w:hint="eastAsia" w:ascii="Times New Roman" w:hAnsi="Times New Roman"/>
          <w:color w:val="auto"/>
        </w:rPr>
        <w:t>区水源地应急指挥部有关成员单位等各相关部门要开展环境信息、自然灾害预警信息、常规环境监测数据的综合分析和风险评估工作。各相关部门按照早发现、早报告、早处置的原则，根据各自职责，收集和传递云冈区发生饮用水水源地突发环境事件的信息，以及发生在云冈区行政区域外有可能对云冈区的饮用水水源造成影响的突发环境事件信息，相关职能部门对饮用水水源地突发环境事件预警信息经核实后，及时通报区水源地应急指挥部和区政府；对较大以上的饮用水水源地突发环境事件预警信息经核实后，及时上报市生态环境局和市政府。</w:t>
      </w:r>
    </w:p>
    <w:p w14:paraId="069923EB">
      <w:pPr>
        <w:pStyle w:val="21"/>
        <w:rPr>
          <w:rFonts w:ascii="Times New Roman" w:hAnsi="Times New Roman"/>
          <w:color w:val="auto"/>
        </w:rPr>
      </w:pPr>
      <w:r>
        <w:rPr>
          <w:rFonts w:hint="eastAsia" w:ascii="Times New Roman" w:hAnsi="Times New Roman"/>
          <w:color w:val="auto"/>
        </w:rPr>
        <w:t>信息来源、信息收集范围和途径包括但不限于以下途径：</w:t>
      </w:r>
    </w:p>
    <w:p w14:paraId="5BD63ED8">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w:t>
      </w:r>
      <w:r>
        <w:rPr>
          <w:rFonts w:hint="eastAsia" w:ascii="Times New Roman" w:hAnsi="Times New Roman"/>
          <w:color w:val="auto"/>
        </w:rPr>
        <w:t>市生态环境局云冈分局</w:t>
      </w:r>
      <w:r>
        <w:rPr>
          <w:rFonts w:ascii="Times New Roman" w:hAnsi="Times New Roman"/>
          <w:color w:val="auto"/>
        </w:rPr>
        <w:t>、区自来水有限责任公司、</w:t>
      </w:r>
      <w:r>
        <w:rPr>
          <w:rFonts w:hint="eastAsia" w:ascii="Times New Roman" w:hAnsi="Times New Roman"/>
          <w:color w:val="auto"/>
        </w:rPr>
        <w:t>口泉乡</w:t>
      </w:r>
      <w:r>
        <w:rPr>
          <w:rFonts w:ascii="Times New Roman" w:hAnsi="Times New Roman"/>
          <w:color w:val="auto"/>
        </w:rPr>
        <w:t>政府等部门负责饮用水水源地突发环境事件中饮用水水源的水质监测数据等信息的接收、报告、处理、统计分析和信息监控工作。</w:t>
      </w:r>
    </w:p>
    <w:p w14:paraId="79E0B6F3">
      <w:pPr>
        <w:pStyle w:val="21"/>
        <w:rPr>
          <w:rFonts w:ascii="Times New Roman" w:hAnsi="Times New Roman"/>
          <w:color w:val="auto"/>
        </w:rPr>
      </w:pPr>
      <w:r>
        <w:rPr>
          <w:rFonts w:hint="eastAsia" w:ascii="Times New Roman" w:hAnsi="Times New Roman"/>
          <w:color w:val="auto"/>
        </w:rPr>
        <w:t>可通过水源地或供水单位开展的水质监督性监测、在线监测等日常监管渠道获取水质异常信息，也可以通过水文气象、地质灾害、水源地上游及周边主要风险源监控获取的异常排放等信息开展水质预测预警，获取水质异常信息。</w:t>
      </w:r>
    </w:p>
    <w:p w14:paraId="568AD705">
      <w:pPr>
        <w:pStyle w:val="21"/>
        <w:rPr>
          <w:rFonts w:ascii="Times New Roman" w:hAnsi="Times New Roman"/>
          <w:color w:val="auto"/>
        </w:rPr>
      </w:pPr>
      <w:r>
        <w:rPr>
          <w:rFonts w:hint="eastAsia" w:ascii="Times New Roman" w:hAnsi="Times New Roman"/>
          <w:color w:val="auto"/>
        </w:rPr>
        <w:t>（2）市生态环境局云冈分局通过水源地上游及周边主要风险源监控获取异常排放信息，也可通过1</w:t>
      </w:r>
      <w:r>
        <w:rPr>
          <w:rFonts w:ascii="Times New Roman" w:hAnsi="Times New Roman"/>
          <w:color w:val="auto"/>
        </w:rPr>
        <w:t>2369</w:t>
      </w:r>
      <w:r>
        <w:rPr>
          <w:rFonts w:hint="eastAsia" w:ascii="Times New Roman" w:hAnsi="Times New Roman"/>
          <w:color w:val="auto"/>
        </w:rPr>
        <w:t>热线、网络等途径获取突发环境事件信息。</w:t>
      </w:r>
    </w:p>
    <w:p w14:paraId="1166359F">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3）区公安交通部门负责由交通安全事件引发的饮用水水源地突发环境事件信息</w:t>
      </w:r>
      <w:r>
        <w:rPr>
          <w:rFonts w:hint="eastAsia" w:ascii="Times New Roman" w:hAnsi="Times New Roman"/>
          <w:color w:val="auto"/>
        </w:rPr>
        <w:t>获取流动源事故信息。</w:t>
      </w:r>
    </w:p>
    <w:p w14:paraId="7B7793FC">
      <w:pPr>
        <w:pStyle w:val="23"/>
        <w:rPr>
          <w:rFonts w:ascii="Times New Roman" w:hAnsi="Times New Roman"/>
        </w:rPr>
      </w:pPr>
      <w:bookmarkStart w:id="35" w:name="_Toc213690699"/>
      <w:r>
        <w:rPr>
          <w:rFonts w:hint="eastAsia" w:ascii="Times New Roman" w:hAnsi="Times New Roman"/>
        </w:rPr>
        <w:t>3</w:t>
      </w:r>
      <w:r>
        <w:rPr>
          <w:rFonts w:ascii="Times New Roman" w:hAnsi="Times New Roman"/>
        </w:rPr>
        <w:t>.1.2</w:t>
      </w:r>
      <w:r>
        <w:rPr>
          <w:rFonts w:hint="eastAsia" w:ascii="Times New Roman" w:hAnsi="Times New Roman"/>
        </w:rPr>
        <w:t>信息研判与会商</w:t>
      </w:r>
      <w:bookmarkEnd w:id="35"/>
    </w:p>
    <w:p w14:paraId="00EA3008">
      <w:pPr>
        <w:pStyle w:val="21"/>
        <w:rPr>
          <w:rFonts w:ascii="Times New Roman" w:hAnsi="Times New Roman"/>
          <w:color w:val="auto"/>
        </w:rPr>
      </w:pPr>
      <w:r>
        <w:rPr>
          <w:rFonts w:hint="eastAsia" w:ascii="Times New Roman" w:hAnsi="Times New Roman"/>
          <w:color w:val="auto"/>
        </w:rPr>
        <w:t>负责信息核实和研判的责任单位为区水源地应急指挥部下设的协调办公室以及应急专家组，信息研判的程序和方法等具体内容如下：</w:t>
      </w:r>
    </w:p>
    <w:p w14:paraId="2857443F">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1）协调办公室通过日常监管渠道首次发现水质异常或群众举报、责任单位报告等获取突发事件信息后，应第一时间开展信息研判和会商。</w:t>
      </w:r>
    </w:p>
    <w:p w14:paraId="133A0C8D">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2）第一时间核实</w:t>
      </w:r>
      <w:r>
        <w:rPr>
          <w:rFonts w:hint="eastAsia" w:ascii="Times New Roman" w:hAnsi="Times New Roman"/>
          <w:color w:val="auto"/>
        </w:rPr>
        <w:t>信息的</w:t>
      </w:r>
      <w:r>
        <w:rPr>
          <w:rFonts w:ascii="Times New Roman" w:hAnsi="Times New Roman"/>
          <w:color w:val="auto"/>
        </w:rPr>
        <w:t>真实性。</w:t>
      </w:r>
    </w:p>
    <w:p w14:paraId="70CDCC44">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3）进一步收集信息，研判水质变化趋势；必要时会同相关部门共同开展应急监测或补充调查，核实信息的准确性，收集更全面、更权威的资料信息，同步通报生态环境部门。</w:t>
      </w:r>
    </w:p>
    <w:p w14:paraId="7D72A289">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4）发现可能导致水源地突发环境事件的信息时，应及时将有关信息报告区水源地应急指挥部。结合应急监测数据分析，研判水质变化趋势，危害紧急程序，及时通报相关部门共同开展预测预警研判工作，为预警发布、预警行动、应急处置提供科学决策。</w:t>
      </w:r>
    </w:p>
    <w:p w14:paraId="2DF4BBE8">
      <w:pPr>
        <w:pStyle w:val="21"/>
        <w:rPr>
          <w:rFonts w:ascii="Times New Roman" w:hAnsi="Times New Roman"/>
          <w:color w:val="auto"/>
        </w:rPr>
      </w:pPr>
      <w:r>
        <w:rPr>
          <w:rFonts w:hint="eastAsia" w:ascii="Times New Roman" w:hAnsi="Times New Roman"/>
          <w:color w:val="auto"/>
        </w:rPr>
        <w:t>接到信息报告的区水源地应急指挥部应立即组织有关部门及应急专家进行会商，对收集到的信息进行筛选、评估、分析，研判水质变化趋势，提出应对方案和建议，研究决定是否发布预警信息或启动应急预案；若判断可能对水源地水质造成影响，应根据水源地突发环境事件类型选择有直接关系的部门和单位立即成立现场应急指挥部，并将相关信息逐级上报。</w:t>
      </w:r>
    </w:p>
    <w:p w14:paraId="57E77DE9">
      <w:pPr>
        <w:pStyle w:val="18"/>
        <w:rPr>
          <w:rFonts w:ascii="Times New Roman" w:hAnsi="Times New Roman"/>
        </w:rPr>
      </w:pPr>
      <w:bookmarkStart w:id="36" w:name="_Toc213690700"/>
      <w:r>
        <w:rPr>
          <w:rFonts w:ascii="Times New Roman" w:hAnsi="Times New Roman"/>
        </w:rPr>
        <w:t>3.2</w:t>
      </w:r>
      <w:r>
        <w:rPr>
          <w:rFonts w:hint="eastAsia" w:ascii="Times New Roman" w:hAnsi="Times New Roman"/>
        </w:rPr>
        <w:t>预警</w:t>
      </w:r>
      <w:bookmarkEnd w:id="36"/>
    </w:p>
    <w:p w14:paraId="05B77132">
      <w:pPr>
        <w:pStyle w:val="23"/>
        <w:rPr>
          <w:rFonts w:ascii="Times New Roman" w:hAnsi="Times New Roman"/>
        </w:rPr>
      </w:pPr>
      <w:bookmarkStart w:id="37" w:name="_Toc213690701"/>
      <w:r>
        <w:rPr>
          <w:rFonts w:hint="eastAsia" w:ascii="Times New Roman" w:hAnsi="Times New Roman"/>
        </w:rPr>
        <w:t>3</w:t>
      </w:r>
      <w:r>
        <w:rPr>
          <w:rFonts w:ascii="Times New Roman" w:hAnsi="Times New Roman"/>
        </w:rPr>
        <w:t>.2.1</w:t>
      </w:r>
      <w:r>
        <w:rPr>
          <w:rFonts w:hint="eastAsia" w:ascii="Times New Roman" w:hAnsi="Times New Roman"/>
        </w:rPr>
        <w:t>预警分级</w:t>
      </w:r>
      <w:bookmarkEnd w:id="37"/>
    </w:p>
    <w:p w14:paraId="2AE1932B">
      <w:pPr>
        <w:pStyle w:val="21"/>
        <w:rPr>
          <w:rFonts w:ascii="Times New Roman" w:hAnsi="Times New Roman"/>
          <w:color w:val="auto"/>
        </w:rPr>
      </w:pPr>
      <w:r>
        <w:rPr>
          <w:rFonts w:hint="eastAsia" w:ascii="Times New Roman" w:hAnsi="Times New Roman"/>
          <w:color w:val="auto"/>
        </w:rPr>
        <w:t>地表水水源地突发环境事件预警级别分为橙色和红色两级预警。</w:t>
      </w:r>
    </w:p>
    <w:p w14:paraId="415131C3">
      <w:pPr>
        <w:pStyle w:val="21"/>
        <w:rPr>
          <w:rFonts w:ascii="Times New Roman" w:hAnsi="Times New Roman"/>
          <w:color w:val="auto"/>
        </w:rPr>
      </w:pPr>
      <w:bookmarkStart w:id="38" w:name="OLE_LINK1"/>
      <w:bookmarkStart w:id="39" w:name="OLE_LINK2"/>
      <w:r>
        <w:rPr>
          <w:rFonts w:hint="eastAsia" w:ascii="Times New Roman" w:hAnsi="Times New Roman"/>
          <w:color w:val="auto"/>
        </w:rPr>
        <w:t>当污染物迁移至水源地应急预案适用的地域范围，但水源保护区未受到污染，</w:t>
      </w:r>
      <w:bookmarkEnd w:id="38"/>
      <w:bookmarkEnd w:id="39"/>
      <w:r>
        <w:rPr>
          <w:rFonts w:hint="eastAsia" w:ascii="Times New Roman" w:hAnsi="Times New Roman"/>
          <w:color w:val="auto"/>
        </w:rPr>
        <w:t>为橙色预警；当污染物迁移至水源地应急预案适用的地域范围，水源保护区受到污染，为红色预警。</w:t>
      </w:r>
    </w:p>
    <w:p w14:paraId="195AAED1">
      <w:pPr>
        <w:pStyle w:val="21"/>
        <w:rPr>
          <w:rFonts w:ascii="Times New Roman" w:hAnsi="Times New Roman"/>
          <w:color w:val="auto"/>
        </w:rPr>
      </w:pPr>
      <w:r>
        <w:rPr>
          <w:rFonts w:hint="eastAsia" w:ascii="Times New Roman" w:hAnsi="Times New Roman"/>
          <w:color w:val="auto"/>
        </w:rPr>
        <w:t>发布橙色预警时，仅采取预警行动；发布红色预警时，采取预警行动的同时，启动相关应急措施。</w:t>
      </w:r>
    </w:p>
    <w:p w14:paraId="4FE2FB46">
      <w:pPr>
        <w:pStyle w:val="23"/>
        <w:rPr>
          <w:rFonts w:ascii="Times New Roman" w:hAnsi="Times New Roman"/>
        </w:rPr>
      </w:pPr>
      <w:bookmarkStart w:id="40" w:name="_Toc213690702"/>
      <w:r>
        <w:rPr>
          <w:rFonts w:hint="eastAsia" w:ascii="Times New Roman" w:hAnsi="Times New Roman"/>
        </w:rPr>
        <w:t>3</w:t>
      </w:r>
      <w:r>
        <w:rPr>
          <w:rFonts w:ascii="Times New Roman" w:hAnsi="Times New Roman"/>
        </w:rPr>
        <w:t>.2.2</w:t>
      </w:r>
      <w:r>
        <w:rPr>
          <w:rFonts w:hint="eastAsia" w:ascii="Times New Roman" w:hAnsi="Times New Roman"/>
        </w:rPr>
        <w:t>预警启动条件</w:t>
      </w:r>
      <w:bookmarkEnd w:id="40"/>
    </w:p>
    <w:p w14:paraId="25872998">
      <w:pPr>
        <w:pStyle w:val="21"/>
        <w:rPr>
          <w:rFonts w:ascii="Times New Roman" w:hAnsi="Times New Roman"/>
          <w:color w:val="auto"/>
        </w:rPr>
      </w:pPr>
      <w:bookmarkStart w:id="41" w:name="OLE_LINK3"/>
      <w:r>
        <w:rPr>
          <w:rFonts w:hint="eastAsia" w:ascii="Times New Roman" w:hAnsi="Times New Roman"/>
          <w:color w:val="auto"/>
        </w:rPr>
        <w:t>1、橙色预警</w:t>
      </w:r>
    </w:p>
    <w:p w14:paraId="65D4B6DD">
      <w:pPr>
        <w:pStyle w:val="21"/>
        <w:rPr>
          <w:rFonts w:ascii="Times New Roman" w:hAnsi="Times New Roman"/>
          <w:color w:val="auto"/>
        </w:rPr>
      </w:pPr>
      <w:r>
        <w:rPr>
          <w:rFonts w:hint="eastAsia" w:ascii="Times New Roman" w:hAnsi="Times New Roman"/>
          <w:color w:val="auto"/>
        </w:rPr>
        <w:t>当污染物迁移至水源地应急预案适用的地域范围但未进入水源外围控制区为橙色预警。</w:t>
      </w:r>
    </w:p>
    <w:p w14:paraId="4069B494">
      <w:pPr>
        <w:pStyle w:val="21"/>
        <w:rPr>
          <w:rFonts w:ascii="Times New Roman" w:hAnsi="Times New Roman"/>
          <w:color w:val="auto"/>
        </w:rPr>
      </w:pPr>
      <w:bookmarkStart w:id="42" w:name="OLE_LINK18"/>
      <w:bookmarkStart w:id="43" w:name="OLE_LINK17"/>
      <w:r>
        <w:rPr>
          <w:rFonts w:hint="eastAsia" w:ascii="Times New Roman" w:hAnsi="Times New Roman"/>
          <w:color w:val="auto"/>
        </w:rPr>
        <w:t>2、红色预警</w:t>
      </w:r>
    </w:p>
    <w:p w14:paraId="66978E5D">
      <w:pPr>
        <w:pStyle w:val="21"/>
        <w:rPr>
          <w:rFonts w:ascii="Times New Roman" w:hAnsi="Times New Roman"/>
          <w:color w:val="auto"/>
        </w:rPr>
      </w:pPr>
      <w:r>
        <w:rPr>
          <w:rFonts w:hint="eastAsia" w:ascii="Times New Roman" w:hAnsi="Times New Roman"/>
          <w:color w:val="auto"/>
        </w:rPr>
        <w:t>当污染物迁移至水源地水源外围控制区时为红色预警。</w:t>
      </w:r>
    </w:p>
    <w:bookmarkEnd w:id="41"/>
    <w:bookmarkEnd w:id="42"/>
    <w:bookmarkEnd w:id="43"/>
    <w:p w14:paraId="3F10D3C2">
      <w:pPr>
        <w:pStyle w:val="23"/>
        <w:rPr>
          <w:rFonts w:ascii="Times New Roman" w:hAnsi="Times New Roman"/>
        </w:rPr>
      </w:pPr>
      <w:bookmarkStart w:id="44" w:name="_Toc213690703"/>
      <w:r>
        <w:rPr>
          <w:rFonts w:hint="eastAsia" w:ascii="Times New Roman" w:hAnsi="Times New Roman"/>
        </w:rPr>
        <w:t>3</w:t>
      </w:r>
      <w:r>
        <w:rPr>
          <w:rFonts w:ascii="Times New Roman" w:hAnsi="Times New Roman"/>
        </w:rPr>
        <w:t>.2.3</w:t>
      </w:r>
      <w:r>
        <w:rPr>
          <w:rFonts w:hint="eastAsia" w:ascii="Times New Roman" w:hAnsi="Times New Roman"/>
        </w:rPr>
        <w:t>发布预警和预警级别调整</w:t>
      </w:r>
      <w:bookmarkEnd w:id="44"/>
    </w:p>
    <w:p w14:paraId="1FFC267A">
      <w:pPr>
        <w:pStyle w:val="21"/>
        <w:rPr>
          <w:rFonts w:ascii="Times New Roman" w:hAnsi="Times New Roman"/>
          <w:color w:val="auto"/>
        </w:rPr>
      </w:pPr>
      <w:r>
        <w:rPr>
          <w:rFonts w:hint="eastAsia" w:ascii="Times New Roman" w:hAnsi="Times New Roman"/>
          <w:color w:val="auto"/>
        </w:rPr>
        <w:t>现场应急指挥部负责对事件信息进行跟踪收集和研判，应当及时向云冈区人民政府提出预警信息发布建议，同时通报组织实施预警行动和应急处置行动的部门和单位。云冈区人民政府根据达到的预警级别条件发布相应的预警，抄送大同市生态环境局值班室，实现‘区—市’同步报告，同时通过电视、广播、报纸、互联网、手机短信、当面告知等渠道或方式向本行政区域公众发布预警信息，并通报可能影响到的相关地区。</w:t>
      </w:r>
    </w:p>
    <w:p w14:paraId="09BE2D25">
      <w:pPr>
        <w:pStyle w:val="21"/>
        <w:rPr>
          <w:rFonts w:ascii="Times New Roman" w:hAnsi="Times New Roman"/>
          <w:color w:val="auto"/>
        </w:rPr>
      </w:pPr>
      <w:r>
        <w:rPr>
          <w:rFonts w:hint="eastAsia" w:ascii="Times New Roman" w:hAnsi="Times New Roman"/>
          <w:color w:val="auto"/>
        </w:rPr>
        <w:t>预警信息发布后，可根据事态发展、采取措施的效果，适时调整预警级别并再次发布。</w:t>
      </w:r>
    </w:p>
    <w:p w14:paraId="15749605">
      <w:pPr>
        <w:pStyle w:val="23"/>
        <w:rPr>
          <w:rFonts w:ascii="Times New Roman" w:hAnsi="Times New Roman"/>
        </w:rPr>
      </w:pPr>
      <w:bookmarkStart w:id="45" w:name="_Toc213690704"/>
      <w:r>
        <w:rPr>
          <w:rFonts w:hint="eastAsia" w:ascii="Times New Roman" w:hAnsi="Times New Roman"/>
        </w:rPr>
        <w:t>3</w:t>
      </w:r>
      <w:r>
        <w:rPr>
          <w:rFonts w:ascii="Times New Roman" w:hAnsi="Times New Roman"/>
        </w:rPr>
        <w:t>.2.4</w:t>
      </w:r>
      <w:r>
        <w:rPr>
          <w:rFonts w:hint="eastAsia" w:ascii="Times New Roman" w:hAnsi="Times New Roman"/>
        </w:rPr>
        <w:t>预警行动</w:t>
      </w:r>
      <w:bookmarkEnd w:id="45"/>
    </w:p>
    <w:p w14:paraId="24FEA7B1">
      <w:pPr>
        <w:pStyle w:val="21"/>
        <w:rPr>
          <w:rFonts w:ascii="Times New Roman" w:hAnsi="Times New Roman"/>
          <w:color w:val="auto"/>
        </w:rPr>
      </w:pPr>
      <w:r>
        <w:rPr>
          <w:rFonts w:ascii="Times New Roman" w:hAnsi="Times New Roman"/>
          <w:color w:val="auto"/>
        </w:rPr>
        <w:t>1、橙色预警</w:t>
      </w:r>
    </w:p>
    <w:p w14:paraId="7A6D895F">
      <w:pPr>
        <w:pStyle w:val="21"/>
        <w:rPr>
          <w:rFonts w:ascii="Times New Roman" w:hAnsi="Times New Roman"/>
          <w:color w:val="auto"/>
        </w:rPr>
      </w:pPr>
      <w:r>
        <w:rPr>
          <w:rFonts w:hint="eastAsia" w:ascii="Times New Roman" w:hAnsi="Times New Roman"/>
          <w:color w:val="auto"/>
        </w:rPr>
        <w:t>发布橙色预警时，由事发地政府及有关部门负责组织开展应急响应工作：</w:t>
      </w:r>
    </w:p>
    <w:p w14:paraId="063D4053">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1）加强信息监控，收集事件信息。</w:t>
      </w:r>
    </w:p>
    <w:p w14:paraId="4FCA98AA">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2）指示相关职能部门加强监测、调查。</w:t>
      </w:r>
    </w:p>
    <w:p w14:paraId="356E7030">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3）密切关注事态的发展，及时研判事故的级别。</w:t>
      </w:r>
    </w:p>
    <w:p w14:paraId="1FD86E57">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4）加强舆情监测、引导和应对工作。</w:t>
      </w:r>
    </w:p>
    <w:p w14:paraId="71A4374F">
      <w:pPr>
        <w:pStyle w:val="21"/>
        <w:rPr>
          <w:rFonts w:ascii="Times New Roman" w:hAnsi="Times New Roman"/>
          <w:color w:val="auto"/>
        </w:rPr>
      </w:pPr>
      <w:r>
        <w:rPr>
          <w:rFonts w:ascii="Times New Roman" w:hAnsi="Times New Roman"/>
          <w:color w:val="auto"/>
        </w:rPr>
        <w:t>2、红色预警</w:t>
      </w:r>
    </w:p>
    <w:p w14:paraId="55F250DC">
      <w:pPr>
        <w:pStyle w:val="21"/>
        <w:rPr>
          <w:rFonts w:ascii="Times New Roman" w:hAnsi="Times New Roman"/>
          <w:color w:val="auto"/>
        </w:rPr>
      </w:pPr>
      <w:r>
        <w:rPr>
          <w:rFonts w:hint="eastAsia" w:ascii="Times New Roman" w:hAnsi="Times New Roman"/>
          <w:color w:val="auto"/>
        </w:rPr>
        <w:t>发布红色预警时，现场应急指挥部的总指挥应当到达现场，组织开展应急响应工作。预警行动包含以下内容：</w:t>
      </w:r>
    </w:p>
    <w:p w14:paraId="57D8207F">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1）下达启动水源地应急预案的命令；</w:t>
      </w:r>
    </w:p>
    <w:p w14:paraId="79F28F2B">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2）通知现场应急指挥部中的有关单位和人员做好应急准备，进入待命状态，必要时到达现场开展相关工作；</w:t>
      </w:r>
    </w:p>
    <w:p w14:paraId="5D256D08">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3）通知水源地对应的供水单位进入待命状态，做好停止取水、深度处理、低压供水或启动备用水源等准备；</w:t>
      </w:r>
    </w:p>
    <w:p w14:paraId="3F840BFB">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4）加强信息监控，核实突发环境事件污染来源、进入水体的污染物种类和总量、污染扩散范围等信息；</w:t>
      </w:r>
    </w:p>
    <w:p w14:paraId="5B3E8D44">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5）开展应急监测或做好应急监测准备；</w:t>
      </w:r>
    </w:p>
    <w:p w14:paraId="21081501">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6）做好事件信息上报和通报；</w:t>
      </w:r>
    </w:p>
    <w:p w14:paraId="63611829">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7）调集所需应急物资和设备，做好应急保障；</w:t>
      </w:r>
    </w:p>
    <w:p w14:paraId="5B924061">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8）在危险区域设置提示或警告标志；</w:t>
      </w:r>
    </w:p>
    <w:p w14:paraId="703DB188">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9）必要时，及时通过媒体向公众发布信息；</w:t>
      </w:r>
    </w:p>
    <w:p w14:paraId="4783DCE1">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10）加强舆情监测、引导和应对工作。</w:t>
      </w:r>
    </w:p>
    <w:p w14:paraId="39196155">
      <w:pPr>
        <w:pStyle w:val="23"/>
        <w:rPr>
          <w:rFonts w:ascii="Times New Roman" w:hAnsi="Times New Roman"/>
        </w:rPr>
      </w:pPr>
      <w:bookmarkStart w:id="46" w:name="_Toc213690705"/>
      <w:r>
        <w:rPr>
          <w:rFonts w:hint="eastAsia" w:ascii="Times New Roman" w:hAnsi="Times New Roman"/>
        </w:rPr>
        <w:t>3</w:t>
      </w:r>
      <w:r>
        <w:rPr>
          <w:rFonts w:ascii="Times New Roman" w:hAnsi="Times New Roman"/>
        </w:rPr>
        <w:t>.2.5</w:t>
      </w:r>
      <w:r>
        <w:rPr>
          <w:rFonts w:hint="eastAsia" w:ascii="Times New Roman" w:hAnsi="Times New Roman"/>
        </w:rPr>
        <w:t>预警解除</w:t>
      </w:r>
      <w:bookmarkEnd w:id="46"/>
    </w:p>
    <w:p w14:paraId="2BD926D6">
      <w:pPr>
        <w:pStyle w:val="21"/>
        <w:rPr>
          <w:rFonts w:ascii="Times New Roman" w:hAnsi="Times New Roman"/>
          <w:b/>
          <w:bCs/>
          <w:color w:val="auto"/>
        </w:rPr>
      </w:pPr>
      <w:r>
        <w:rPr>
          <w:rFonts w:hint="eastAsia" w:ascii="Times New Roman" w:hAnsi="Times New Roman"/>
          <w:color w:val="auto"/>
        </w:rPr>
        <w:t>当判断危险已经解除时，由发布预警的责任单位宣布解除预警，终止已经采取的有关行动和措施。</w:t>
      </w:r>
    </w:p>
    <w:p w14:paraId="003C653D">
      <w:pPr>
        <w:pStyle w:val="18"/>
        <w:rPr>
          <w:rFonts w:ascii="Times New Roman" w:hAnsi="Times New Roman"/>
        </w:rPr>
      </w:pPr>
      <w:bookmarkStart w:id="47" w:name="_Toc213690706"/>
      <w:r>
        <w:rPr>
          <w:rFonts w:hint="eastAsia" w:ascii="Times New Roman" w:hAnsi="Times New Roman"/>
        </w:rPr>
        <w:t>3</w:t>
      </w:r>
      <w:r>
        <w:rPr>
          <w:rFonts w:ascii="Times New Roman" w:hAnsi="Times New Roman"/>
        </w:rPr>
        <w:t>.3</w:t>
      </w:r>
      <w:r>
        <w:rPr>
          <w:rFonts w:hint="eastAsia" w:ascii="Times New Roman" w:hAnsi="Times New Roman"/>
        </w:rPr>
        <w:t>信息报告与通报</w:t>
      </w:r>
      <w:bookmarkEnd w:id="47"/>
    </w:p>
    <w:p w14:paraId="1338F540">
      <w:pPr>
        <w:pStyle w:val="23"/>
        <w:rPr>
          <w:rFonts w:ascii="Times New Roman" w:hAnsi="Times New Roman"/>
        </w:rPr>
      </w:pPr>
      <w:bookmarkStart w:id="48" w:name="_Toc213690707"/>
      <w:r>
        <w:rPr>
          <w:rFonts w:hint="eastAsia" w:ascii="Times New Roman" w:hAnsi="Times New Roman"/>
        </w:rPr>
        <w:t>3</w:t>
      </w:r>
      <w:r>
        <w:rPr>
          <w:rFonts w:ascii="Times New Roman" w:hAnsi="Times New Roman"/>
        </w:rPr>
        <w:t>.3.1</w:t>
      </w:r>
      <w:r>
        <w:rPr>
          <w:rFonts w:hint="eastAsia" w:ascii="Times New Roman" w:hAnsi="Times New Roman"/>
        </w:rPr>
        <w:t>信息报告程序</w:t>
      </w:r>
      <w:bookmarkEnd w:id="48"/>
    </w:p>
    <w:p w14:paraId="1A143C56">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1）发现已经造成或可能造成地表水水源地污染的有关人员和责任单位，应立即向</w:t>
      </w:r>
      <w:r>
        <w:rPr>
          <w:rFonts w:hint="eastAsia" w:ascii="Times New Roman" w:hAnsi="Times New Roman"/>
          <w:color w:val="auto"/>
        </w:rPr>
        <w:t>云冈区</w:t>
      </w:r>
      <w:r>
        <w:rPr>
          <w:rFonts w:ascii="Times New Roman" w:hAnsi="Times New Roman"/>
          <w:color w:val="auto"/>
        </w:rPr>
        <w:t>人民政府</w:t>
      </w:r>
      <w:r>
        <w:rPr>
          <w:rFonts w:hint="eastAsia" w:ascii="Times New Roman" w:hAnsi="Times New Roman"/>
          <w:color w:val="auto"/>
        </w:rPr>
        <w:t>应急指挥部</w:t>
      </w:r>
      <w:r>
        <w:rPr>
          <w:rFonts w:ascii="Times New Roman" w:hAnsi="Times New Roman"/>
          <w:color w:val="auto"/>
        </w:rPr>
        <w:t>及</w:t>
      </w:r>
      <w:r>
        <w:rPr>
          <w:rFonts w:hint="eastAsia" w:ascii="Times New Roman" w:hAnsi="Times New Roman"/>
          <w:color w:val="auto"/>
        </w:rPr>
        <w:t>市生态环境局云冈分局</w:t>
      </w:r>
      <w:r>
        <w:rPr>
          <w:rFonts w:ascii="Times New Roman" w:hAnsi="Times New Roman"/>
          <w:color w:val="auto"/>
        </w:rPr>
        <w:t>报告。</w:t>
      </w:r>
    </w:p>
    <w:p w14:paraId="0AC5BE83">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2）</w:t>
      </w:r>
      <w:r>
        <w:rPr>
          <w:rFonts w:hint="eastAsia" w:ascii="Times New Roman" w:hAnsi="Times New Roman"/>
          <w:color w:val="auto"/>
        </w:rPr>
        <w:t>云冈区</w:t>
      </w:r>
      <w:r>
        <w:rPr>
          <w:rFonts w:ascii="Times New Roman" w:hAnsi="Times New Roman"/>
          <w:color w:val="auto"/>
        </w:rPr>
        <w:t>人民政府有关部门</w:t>
      </w:r>
      <w:r>
        <w:rPr>
          <w:rFonts w:hint="eastAsia" w:ascii="Times New Roman" w:hAnsi="Times New Roman"/>
          <w:color w:val="auto"/>
        </w:rPr>
        <w:t>在发现或得知水源地突发环境事件信息后，</w:t>
      </w:r>
      <w:r>
        <w:rPr>
          <w:rFonts w:ascii="Times New Roman" w:hAnsi="Times New Roman"/>
          <w:color w:val="auto"/>
        </w:rPr>
        <w:t>应立即进行核实，了解有关情况。经过核实后，第一时间向</w:t>
      </w:r>
      <w:r>
        <w:rPr>
          <w:rFonts w:hint="eastAsia" w:ascii="Times New Roman" w:hAnsi="Times New Roman"/>
          <w:color w:val="auto"/>
        </w:rPr>
        <w:t>云冈区</w:t>
      </w:r>
      <w:r>
        <w:rPr>
          <w:rFonts w:ascii="Times New Roman" w:hAnsi="Times New Roman"/>
          <w:color w:val="auto"/>
        </w:rPr>
        <w:t>人民政府应急组织指挥机构</w:t>
      </w:r>
      <w:r>
        <w:rPr>
          <w:rFonts w:hint="eastAsia" w:ascii="Times New Roman" w:hAnsi="Times New Roman"/>
          <w:color w:val="auto"/>
        </w:rPr>
        <w:t>和大同市生态环境局报告</w:t>
      </w:r>
      <w:r>
        <w:rPr>
          <w:rFonts w:ascii="Times New Roman" w:hAnsi="Times New Roman"/>
          <w:color w:val="auto"/>
        </w:rPr>
        <w:t>。</w:t>
      </w:r>
    </w:p>
    <w:p w14:paraId="15C22B6F">
      <w:pPr>
        <w:pStyle w:val="21"/>
        <w:rPr>
          <w:rFonts w:ascii="Times New Roman" w:hAnsi="Times New Roman"/>
          <w:color w:val="auto"/>
        </w:rPr>
      </w:pPr>
      <w:bookmarkStart w:id="49" w:name="OLE_LINK128"/>
      <w:bookmarkStart w:id="50" w:name="OLE_LINK129"/>
      <w:r>
        <w:rPr>
          <w:rFonts w:hint="eastAsia" w:ascii="Times New Roman" w:hAnsi="Times New Roman"/>
          <w:color w:val="auto"/>
        </w:rPr>
        <w:t>（3）大同市人民政府主管部门先于云冈区人民政府主管部门获悉水源地突发环境事件信息的，可要求区人民政府主管部门核实并报告相应信息。</w:t>
      </w:r>
    </w:p>
    <w:p w14:paraId="08F61C22">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4）特殊情况下，若遇到敏感事件或发生在重点地区、特殊时期，或可能演化为重大、特别重大突发环境事件的信息，</w:t>
      </w:r>
      <w:r>
        <w:rPr>
          <w:rFonts w:hint="eastAsia" w:ascii="Times New Roman" w:hAnsi="Times New Roman"/>
          <w:color w:val="auto"/>
        </w:rPr>
        <w:t>有关责任单位和部门应立即向本级人民政府应急组织指挥机构报告。</w:t>
      </w:r>
    </w:p>
    <w:bookmarkEnd w:id="49"/>
    <w:bookmarkEnd w:id="50"/>
    <w:p w14:paraId="631F3436">
      <w:pPr>
        <w:pStyle w:val="23"/>
        <w:rPr>
          <w:rFonts w:ascii="Times New Roman" w:hAnsi="Times New Roman"/>
        </w:rPr>
      </w:pPr>
      <w:bookmarkStart w:id="51" w:name="_Toc213690708"/>
      <w:r>
        <w:rPr>
          <w:rFonts w:hint="eastAsia" w:ascii="Times New Roman" w:hAnsi="Times New Roman"/>
        </w:rPr>
        <w:t>3</w:t>
      </w:r>
      <w:r>
        <w:rPr>
          <w:rFonts w:ascii="Times New Roman" w:hAnsi="Times New Roman"/>
        </w:rPr>
        <w:t>.3.2</w:t>
      </w:r>
      <w:r>
        <w:rPr>
          <w:rFonts w:hint="eastAsia" w:ascii="Times New Roman" w:hAnsi="Times New Roman"/>
        </w:rPr>
        <w:t>信息通报程序</w:t>
      </w:r>
      <w:bookmarkEnd w:id="51"/>
    </w:p>
    <w:p w14:paraId="779C59DF">
      <w:pPr>
        <w:pStyle w:val="21"/>
        <w:rPr>
          <w:rFonts w:ascii="Times New Roman" w:hAnsi="Times New Roman"/>
          <w:color w:val="auto"/>
        </w:rPr>
      </w:pPr>
      <w:bookmarkStart w:id="52" w:name="OLE_LINK131"/>
      <w:bookmarkStart w:id="53" w:name="OLE_LINK130"/>
      <w:r>
        <w:rPr>
          <w:rFonts w:hint="eastAsia" w:ascii="Times New Roman" w:hAnsi="Times New Roman"/>
          <w:color w:val="auto"/>
        </w:rPr>
        <w:t>（</w:t>
      </w:r>
      <w:r>
        <w:rPr>
          <w:rFonts w:ascii="Times New Roman" w:hAnsi="Times New Roman"/>
          <w:color w:val="auto"/>
        </w:rPr>
        <w:t>1）水源地突发环境事件发生后，涉事企事业单位或其他生产经营者必须采取应对措施，</w:t>
      </w:r>
      <w:r>
        <w:rPr>
          <w:rFonts w:hint="eastAsia" w:ascii="Times New Roman" w:hAnsi="Times New Roman"/>
          <w:color w:val="auto"/>
        </w:rPr>
        <w:t>并</w:t>
      </w:r>
      <w:r>
        <w:rPr>
          <w:rFonts w:ascii="Times New Roman" w:hAnsi="Times New Roman"/>
          <w:color w:val="auto"/>
        </w:rPr>
        <w:t>按照有关规定立即向本级人民政府应急组织指挥机构及生态环境等部门报告，同时通报可能受到污染危害的单位和居民。</w:t>
      </w:r>
    </w:p>
    <w:p w14:paraId="5CB6E4B9">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2）对经核实的水源地突发环境事件，接报的有关部门应向本级人民政府和有关部门通报。通报的部门至少应包括</w:t>
      </w:r>
      <w:r>
        <w:rPr>
          <w:rFonts w:hint="eastAsia" w:ascii="Times New Roman" w:hAnsi="Times New Roman"/>
          <w:color w:val="auto"/>
        </w:rPr>
        <w:t>区市生态环境局云冈分局、区住建局、区水务局</w:t>
      </w:r>
      <w:r>
        <w:rPr>
          <w:rFonts w:ascii="Times New Roman" w:hAnsi="Times New Roman"/>
          <w:color w:val="auto"/>
        </w:rPr>
        <w:t>、</w:t>
      </w:r>
      <w:r>
        <w:rPr>
          <w:rFonts w:hint="eastAsia" w:ascii="Times New Roman" w:hAnsi="Times New Roman"/>
          <w:color w:val="auto"/>
        </w:rPr>
        <w:t>区卫体局</w:t>
      </w:r>
      <w:r>
        <w:rPr>
          <w:rFonts w:ascii="Times New Roman" w:hAnsi="Times New Roman"/>
          <w:color w:val="auto"/>
        </w:rPr>
        <w:t>、</w:t>
      </w:r>
      <w:r>
        <w:rPr>
          <w:rFonts w:hint="eastAsia" w:ascii="Times New Roman" w:hAnsi="Times New Roman"/>
          <w:color w:val="auto"/>
        </w:rPr>
        <w:t>区水务局等；</w:t>
      </w:r>
      <w:r>
        <w:rPr>
          <w:rFonts w:ascii="Times New Roman" w:hAnsi="Times New Roman"/>
          <w:color w:val="auto"/>
        </w:rPr>
        <w:t>根据水源地突发环境事件的类型和情景，还应通报消防（遇火灾爆炸），</w:t>
      </w:r>
      <w:r>
        <w:rPr>
          <w:rFonts w:hint="eastAsia" w:ascii="Times New Roman" w:hAnsi="Times New Roman"/>
          <w:color w:val="auto"/>
        </w:rPr>
        <w:t>区交通运输局</w:t>
      </w:r>
      <w:r>
        <w:rPr>
          <w:rFonts w:ascii="Times New Roman" w:hAnsi="Times New Roman"/>
          <w:color w:val="auto"/>
        </w:rPr>
        <w:t>、</w:t>
      </w:r>
      <w:r>
        <w:rPr>
          <w:rFonts w:hint="eastAsia" w:ascii="Times New Roman" w:hAnsi="Times New Roman"/>
          <w:color w:val="auto"/>
        </w:rPr>
        <w:t>市公安局云冈区分局</w:t>
      </w:r>
      <w:r>
        <w:rPr>
          <w:rFonts w:ascii="Times New Roman" w:hAnsi="Times New Roman"/>
          <w:color w:val="auto"/>
        </w:rPr>
        <w:t>（遇火灾爆炸、道路运输事故）、农业</w:t>
      </w:r>
      <w:r>
        <w:rPr>
          <w:rFonts w:hint="eastAsia" w:ascii="Times New Roman" w:hAnsi="Times New Roman"/>
          <w:color w:val="auto"/>
        </w:rPr>
        <w:t>农村局</w:t>
      </w:r>
      <w:r>
        <w:rPr>
          <w:rFonts w:ascii="Times New Roman" w:hAnsi="Times New Roman"/>
          <w:color w:val="auto"/>
        </w:rPr>
        <w:t>等部门</w:t>
      </w:r>
      <w:r>
        <w:rPr>
          <w:rFonts w:hint="eastAsia" w:ascii="Times New Roman" w:hAnsi="Times New Roman"/>
          <w:color w:val="auto"/>
        </w:rPr>
        <w:t>。</w:t>
      </w:r>
    </w:p>
    <w:p w14:paraId="20DC8CDD">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3）水源地突发环境事件已经或可能影响相邻行政区域的，事件发生地人民政府及有关部门应及时通报相邻区域同级人民政府及有关部门。</w:t>
      </w:r>
    </w:p>
    <w:bookmarkEnd w:id="52"/>
    <w:bookmarkEnd w:id="53"/>
    <w:p w14:paraId="221E71C8">
      <w:pPr>
        <w:pStyle w:val="23"/>
        <w:rPr>
          <w:rFonts w:ascii="Times New Roman" w:hAnsi="Times New Roman"/>
        </w:rPr>
      </w:pPr>
      <w:bookmarkStart w:id="54" w:name="_Toc213690709"/>
      <w:r>
        <w:rPr>
          <w:rFonts w:hint="eastAsia" w:ascii="Times New Roman" w:hAnsi="Times New Roman"/>
        </w:rPr>
        <w:t>3</w:t>
      </w:r>
      <w:r>
        <w:rPr>
          <w:rFonts w:ascii="Times New Roman" w:hAnsi="Times New Roman"/>
        </w:rPr>
        <w:t>.3.3</w:t>
      </w:r>
      <w:r>
        <w:rPr>
          <w:rFonts w:hint="eastAsia" w:ascii="Times New Roman" w:hAnsi="Times New Roman"/>
        </w:rPr>
        <w:t>信息报告和通报内容</w:t>
      </w:r>
      <w:bookmarkEnd w:id="54"/>
    </w:p>
    <w:p w14:paraId="1DD16B72">
      <w:pPr>
        <w:pStyle w:val="21"/>
        <w:rPr>
          <w:rFonts w:ascii="Times New Roman" w:hAnsi="Times New Roman"/>
          <w:color w:val="auto"/>
        </w:rPr>
      </w:pPr>
      <w:bookmarkStart w:id="55" w:name="OLE_LINK133"/>
      <w:bookmarkStart w:id="56" w:name="OLE_LINK132"/>
      <w:r>
        <w:rPr>
          <w:rFonts w:hint="eastAsia" w:ascii="Times New Roman" w:hAnsi="Times New Roman"/>
          <w:color w:val="auto"/>
        </w:rPr>
        <w:t>按照不同的时间节点，水源地突发环境事件报告分为初报、续报和处理结果报告。初报是发现或得知突发环境事件后的首次报告；</w:t>
      </w:r>
      <w:r>
        <w:rPr>
          <w:rFonts w:ascii="Times New Roman" w:hAnsi="Times New Roman"/>
          <w:color w:val="auto"/>
        </w:rPr>
        <w:t>续报是查清有关基本情况、事件发展情况后的报告，可随时报告</w:t>
      </w:r>
      <w:r>
        <w:rPr>
          <w:rFonts w:hint="eastAsia" w:ascii="Times New Roman" w:hAnsi="Times New Roman"/>
          <w:color w:val="auto"/>
        </w:rPr>
        <w:t>；</w:t>
      </w:r>
      <w:r>
        <w:rPr>
          <w:rFonts w:ascii="Times New Roman" w:hAnsi="Times New Roman"/>
          <w:color w:val="auto"/>
        </w:rPr>
        <w:t>处理结果报告是突发环境事件处理完毕后的报告。</w:t>
      </w:r>
    </w:p>
    <w:p w14:paraId="5287A1F7">
      <w:pPr>
        <w:pStyle w:val="21"/>
        <w:rPr>
          <w:rFonts w:ascii="Times New Roman" w:hAnsi="Times New Roman"/>
          <w:color w:val="auto"/>
        </w:rPr>
      </w:pPr>
      <w:r>
        <w:rPr>
          <w:rFonts w:hint="eastAsia" w:ascii="Times New Roman" w:hAnsi="Times New Roman"/>
          <w:color w:val="auto"/>
        </w:rPr>
        <w:t>（1）</w:t>
      </w:r>
      <w:r>
        <w:rPr>
          <w:rFonts w:ascii="Times New Roman" w:hAnsi="Times New Roman"/>
          <w:color w:val="auto"/>
        </w:rPr>
        <w:t>初报应报告水源地突发环境事件的发生时间、地点、信息来源、事件起因和性质、基本过程、主要污染物和数量、监测结果、人员伤亡情况、水源地受影响情况、事件发展趋势、处置情况、拟采取的措施以及下一步工作建议等初步情况。</w:t>
      </w:r>
    </w:p>
    <w:p w14:paraId="4F4EEAC2">
      <w:pPr>
        <w:pStyle w:val="21"/>
        <w:rPr>
          <w:rFonts w:ascii="Times New Roman" w:hAnsi="Times New Roman"/>
          <w:color w:val="auto"/>
        </w:rPr>
      </w:pPr>
      <w:r>
        <w:rPr>
          <w:rFonts w:hint="eastAsia" w:ascii="Times New Roman" w:hAnsi="Times New Roman"/>
          <w:color w:val="auto"/>
        </w:rPr>
        <w:t>（2）</w:t>
      </w:r>
      <w:r>
        <w:rPr>
          <w:rFonts w:ascii="Times New Roman" w:hAnsi="Times New Roman"/>
          <w:color w:val="auto"/>
        </w:rPr>
        <w:t>续报应在初报的基础上，报告事件及有关处置措施的进展情况。</w:t>
      </w:r>
    </w:p>
    <w:p w14:paraId="464D5022">
      <w:pPr>
        <w:pStyle w:val="21"/>
        <w:rPr>
          <w:rFonts w:ascii="Times New Roman" w:hAnsi="Times New Roman"/>
          <w:color w:val="auto"/>
        </w:rPr>
      </w:pPr>
      <w:r>
        <w:rPr>
          <w:rFonts w:hint="eastAsia" w:ascii="Times New Roman" w:hAnsi="Times New Roman"/>
          <w:color w:val="auto"/>
        </w:rPr>
        <w:t>（3）</w:t>
      </w:r>
      <w:r>
        <w:rPr>
          <w:rFonts w:ascii="Times New Roman" w:hAnsi="Times New Roman"/>
          <w:color w:val="auto"/>
        </w:rPr>
        <w:t>处理结果报告应在初报、续报的基础上，报告突发环境事件的处置措施、过程和结果等详细情况。</w:t>
      </w:r>
    </w:p>
    <w:p w14:paraId="7BEEE836">
      <w:pPr>
        <w:pStyle w:val="21"/>
        <w:rPr>
          <w:rFonts w:ascii="Times New Roman" w:hAnsi="Times New Roman"/>
          <w:color w:val="auto"/>
        </w:rPr>
      </w:pPr>
      <w:r>
        <w:rPr>
          <w:rFonts w:hint="eastAsia" w:ascii="Times New Roman" w:hAnsi="Times New Roman"/>
          <w:color w:val="auto"/>
        </w:rPr>
        <w:t>应采用传真、网络、邮寄或面呈等方式书面报告，情况紧急时，可通过电话报告，但应及时补充书面报告。书面报告应说明突发环境事件报告单位、报告签发人、联系人及联系电话等内容并尽可能提供地图、图片以及有关的多媒体资料。</w:t>
      </w:r>
      <w:bookmarkEnd w:id="55"/>
      <w:bookmarkEnd w:id="56"/>
    </w:p>
    <w:p w14:paraId="0E71F5D7">
      <w:pPr>
        <w:pStyle w:val="18"/>
        <w:rPr>
          <w:rFonts w:ascii="Times New Roman" w:hAnsi="Times New Roman"/>
        </w:rPr>
      </w:pPr>
      <w:bookmarkStart w:id="57" w:name="_Toc213690710"/>
      <w:r>
        <w:rPr>
          <w:rFonts w:hint="eastAsia" w:ascii="Times New Roman" w:hAnsi="Times New Roman"/>
        </w:rPr>
        <w:t>3</w:t>
      </w:r>
      <w:r>
        <w:rPr>
          <w:rFonts w:ascii="Times New Roman" w:hAnsi="Times New Roman"/>
        </w:rPr>
        <w:t>.4</w:t>
      </w:r>
      <w:r>
        <w:rPr>
          <w:rFonts w:hint="eastAsia" w:ascii="Times New Roman" w:hAnsi="Times New Roman"/>
        </w:rPr>
        <w:t>事态研判</w:t>
      </w:r>
      <w:bookmarkEnd w:id="57"/>
    </w:p>
    <w:p w14:paraId="5A030BEC">
      <w:pPr>
        <w:pStyle w:val="21"/>
        <w:rPr>
          <w:rFonts w:ascii="Times New Roman" w:hAnsi="Times New Roman"/>
          <w:color w:val="auto"/>
        </w:rPr>
      </w:pPr>
      <w:bookmarkStart w:id="58" w:name="OLE_LINK135"/>
      <w:bookmarkStart w:id="59" w:name="OLE_LINK134"/>
      <w:r>
        <w:rPr>
          <w:rFonts w:hint="eastAsia" w:ascii="Times New Roman" w:hAnsi="Times New Roman"/>
          <w:color w:val="auto"/>
        </w:rPr>
        <w:t>发布预警后，现场应急指挥部总指挥按照水源地应急预案中列明的副总指挥、协调办公室、专项工作组成员及名单迅速组建参加应急指挥的各个工作组，跟踪开展事态研判。</w:t>
      </w:r>
    </w:p>
    <w:p w14:paraId="4E90B8F6">
      <w:pPr>
        <w:pStyle w:val="21"/>
        <w:rPr>
          <w:rFonts w:ascii="Times New Roman" w:hAnsi="Times New Roman"/>
          <w:color w:val="auto"/>
        </w:rPr>
      </w:pPr>
      <w:r>
        <w:rPr>
          <w:rFonts w:hint="eastAsia" w:ascii="Times New Roman" w:hAnsi="Times New Roman"/>
          <w:color w:val="auto"/>
        </w:rPr>
        <w:t>事态研判包括以下内容：</w:t>
      </w:r>
      <w:r>
        <w:rPr>
          <w:rFonts w:ascii="Times New Roman" w:hAnsi="Times New Roman"/>
          <w:color w:val="auto"/>
        </w:rPr>
        <w:t>判断污染物进入</w:t>
      </w:r>
      <w:r>
        <w:rPr>
          <w:rFonts w:hint="eastAsia" w:ascii="Times New Roman" w:hAnsi="Times New Roman"/>
          <w:color w:val="auto"/>
        </w:rPr>
        <w:t>水源地</w:t>
      </w:r>
      <w:r>
        <w:rPr>
          <w:rFonts w:ascii="Times New Roman" w:hAnsi="Times New Roman"/>
          <w:color w:val="auto"/>
        </w:rPr>
        <w:t>的数量及种类性质、距离水源地取水口的距离和可能对水源地造成的危害，以及备用水源地情况。</w:t>
      </w:r>
    </w:p>
    <w:p w14:paraId="0C658566">
      <w:pPr>
        <w:pStyle w:val="21"/>
        <w:rPr>
          <w:rFonts w:ascii="Times New Roman" w:hAnsi="Times New Roman"/>
          <w:color w:val="auto"/>
        </w:rPr>
      </w:pPr>
      <w:r>
        <w:rPr>
          <w:rFonts w:hint="eastAsia" w:ascii="Times New Roman" w:hAnsi="Times New Roman"/>
          <w:color w:val="auto"/>
        </w:rPr>
        <w:t>事态研判的结果，应作为制定和动态调整应急响应有关方案实施应急监测、污染源排查与处置和应急处置的重要基础。</w:t>
      </w:r>
    </w:p>
    <w:bookmarkEnd w:id="58"/>
    <w:bookmarkEnd w:id="59"/>
    <w:p w14:paraId="025016FF">
      <w:pPr>
        <w:pStyle w:val="18"/>
        <w:rPr>
          <w:rFonts w:ascii="Times New Roman" w:hAnsi="Times New Roman"/>
        </w:rPr>
      </w:pPr>
      <w:bookmarkStart w:id="60" w:name="_Toc213690711"/>
      <w:r>
        <w:rPr>
          <w:rFonts w:hint="eastAsia" w:ascii="Times New Roman" w:hAnsi="Times New Roman"/>
        </w:rPr>
        <w:t>3</w:t>
      </w:r>
      <w:r>
        <w:rPr>
          <w:rFonts w:ascii="Times New Roman" w:hAnsi="Times New Roman"/>
        </w:rPr>
        <w:t>.5</w:t>
      </w:r>
      <w:r>
        <w:rPr>
          <w:rFonts w:hint="eastAsia" w:ascii="Times New Roman" w:hAnsi="Times New Roman"/>
        </w:rPr>
        <w:t>应急监测</w:t>
      </w:r>
      <w:bookmarkEnd w:id="60"/>
    </w:p>
    <w:p w14:paraId="6C3D0F3C">
      <w:pPr>
        <w:pStyle w:val="23"/>
        <w:rPr>
          <w:rFonts w:ascii="Times New Roman" w:hAnsi="Times New Roman"/>
        </w:rPr>
      </w:pPr>
      <w:bookmarkStart w:id="61" w:name="_Toc213690712"/>
      <w:r>
        <w:rPr>
          <w:rFonts w:hint="eastAsia" w:ascii="Times New Roman" w:hAnsi="Times New Roman"/>
        </w:rPr>
        <w:t>3</w:t>
      </w:r>
      <w:r>
        <w:rPr>
          <w:rFonts w:ascii="Times New Roman" w:hAnsi="Times New Roman"/>
        </w:rPr>
        <w:t>.5.1</w:t>
      </w:r>
      <w:r>
        <w:rPr>
          <w:rFonts w:hint="eastAsia" w:ascii="Times New Roman" w:hAnsi="Times New Roman"/>
        </w:rPr>
        <w:t>开展应急监测程序</w:t>
      </w:r>
      <w:bookmarkEnd w:id="61"/>
    </w:p>
    <w:p w14:paraId="4F337F80">
      <w:pPr>
        <w:pStyle w:val="21"/>
        <w:rPr>
          <w:rFonts w:ascii="Times New Roman" w:hAnsi="Times New Roman"/>
          <w:color w:val="auto"/>
        </w:rPr>
      </w:pPr>
      <w:r>
        <w:rPr>
          <w:rFonts w:hint="eastAsia" w:ascii="Times New Roman" w:hAnsi="Times New Roman"/>
          <w:color w:val="auto"/>
        </w:rPr>
        <w:t>事件处置初期，实施应急监测的部门应按照现场应急指挥部命令，根据现场实际情况制定监测方案、设置监测点位</w:t>
      </w:r>
      <w:r>
        <w:rPr>
          <w:rFonts w:ascii="Times New Roman" w:hAnsi="Times New Roman"/>
          <w:color w:val="auto"/>
        </w:rPr>
        <w:t>确定监测频次、组织开展监测、形成监测报告，第一时间向现场应急指挥部报告监测结果和污染浓度变化态势图，并安排人员对突发环境事件监测情况进行全过程记录。</w:t>
      </w:r>
    </w:p>
    <w:p w14:paraId="125B46D4">
      <w:pPr>
        <w:pStyle w:val="21"/>
        <w:rPr>
          <w:rFonts w:ascii="Times New Roman" w:hAnsi="Times New Roman"/>
          <w:color w:val="auto"/>
        </w:rPr>
      </w:pPr>
      <w:r>
        <w:rPr>
          <w:rFonts w:hint="eastAsia" w:ascii="Times New Roman" w:hAnsi="Times New Roman"/>
          <w:color w:val="auto"/>
        </w:rPr>
        <w:t>事件处置中期，应根据事态发展，如上游来水量、应急处置措施效果等情况，适时调整监测点位</w:t>
      </w:r>
      <w:r>
        <w:rPr>
          <w:rFonts w:ascii="Times New Roman" w:hAnsi="Times New Roman"/>
          <w:color w:val="auto"/>
        </w:rPr>
        <w:t>和监测频次。</w:t>
      </w:r>
    </w:p>
    <w:p w14:paraId="66B2792D">
      <w:pPr>
        <w:pStyle w:val="21"/>
        <w:rPr>
          <w:rFonts w:ascii="Times New Roman" w:hAnsi="Times New Roman"/>
          <w:color w:val="auto"/>
        </w:rPr>
      </w:pPr>
      <w:r>
        <w:rPr>
          <w:rFonts w:hint="eastAsia" w:ascii="Times New Roman" w:hAnsi="Times New Roman"/>
          <w:color w:val="auto"/>
        </w:rPr>
        <w:t>事件处置末期，应按照现场应急指挥部命令，停止应急监测，并向现场应急指挥部提交应急监测总结报告。</w:t>
      </w:r>
    </w:p>
    <w:p w14:paraId="2F9D2126">
      <w:pPr>
        <w:pStyle w:val="23"/>
        <w:rPr>
          <w:rFonts w:ascii="Times New Roman" w:hAnsi="Times New Roman"/>
        </w:rPr>
      </w:pPr>
      <w:bookmarkStart w:id="62" w:name="_Toc213690713"/>
      <w:r>
        <w:rPr>
          <w:rFonts w:hint="eastAsia" w:ascii="Times New Roman" w:hAnsi="Times New Roman"/>
        </w:rPr>
        <w:t>3</w:t>
      </w:r>
      <w:r>
        <w:rPr>
          <w:rFonts w:ascii="Times New Roman" w:hAnsi="Times New Roman"/>
        </w:rPr>
        <w:t>.5.2</w:t>
      </w:r>
      <w:r>
        <w:rPr>
          <w:rFonts w:hint="eastAsia" w:ascii="Times New Roman" w:hAnsi="Times New Roman"/>
        </w:rPr>
        <w:t>应急监测方案</w:t>
      </w:r>
      <w:bookmarkEnd w:id="62"/>
    </w:p>
    <w:p w14:paraId="621D8E59">
      <w:pPr>
        <w:pStyle w:val="21"/>
        <w:rPr>
          <w:rFonts w:ascii="Times New Roman" w:hAnsi="Times New Roman"/>
          <w:color w:val="auto"/>
        </w:rPr>
      </w:pPr>
      <w:r>
        <w:rPr>
          <w:rFonts w:hint="eastAsia" w:ascii="Times New Roman" w:hAnsi="Times New Roman"/>
          <w:color w:val="auto"/>
        </w:rPr>
        <w:t>应急监测方案应包括依据的技术规范、实施人员、布点原则、采样频次和注意事项、监测结果记录和报告方式等应急监测重点是抓住污染带前锋、峰值位置和浓度变化，对污染带移动过程形成动态监控。当污染来源不明时，应先通过应急监测确定特征污染物成份，再进行污染源排查和先期处置。</w:t>
      </w:r>
    </w:p>
    <w:p w14:paraId="16D70450">
      <w:pPr>
        <w:pStyle w:val="21"/>
        <w:rPr>
          <w:rFonts w:ascii="Times New Roman" w:hAnsi="Times New Roman"/>
          <w:color w:val="auto"/>
        </w:rPr>
      </w:pPr>
      <w:r>
        <w:rPr>
          <w:rFonts w:hint="eastAsia" w:ascii="Times New Roman" w:hAnsi="Times New Roman"/>
          <w:color w:val="auto"/>
        </w:rPr>
        <w:t>应急监测方案包括但以下内容：</w:t>
      </w:r>
    </w:p>
    <w:p w14:paraId="4A40B8E0">
      <w:pPr>
        <w:pStyle w:val="21"/>
        <w:rPr>
          <w:rFonts w:ascii="Times New Roman" w:hAnsi="Times New Roman"/>
          <w:color w:val="auto"/>
        </w:rPr>
      </w:pPr>
      <w:r>
        <w:rPr>
          <w:rFonts w:hint="eastAsia" w:ascii="Times New Roman" w:hAnsi="Times New Roman"/>
          <w:color w:val="auto"/>
        </w:rPr>
        <w:t>（1）</w:t>
      </w:r>
      <w:r>
        <w:rPr>
          <w:rFonts w:ascii="Times New Roman" w:hAnsi="Times New Roman"/>
          <w:color w:val="auto"/>
        </w:rPr>
        <w:t>监测范围</w:t>
      </w:r>
      <w:r>
        <w:rPr>
          <w:rFonts w:hint="eastAsia" w:ascii="Times New Roman" w:hAnsi="Times New Roman"/>
          <w:color w:val="auto"/>
        </w:rPr>
        <w:t>，</w:t>
      </w:r>
      <w:r>
        <w:rPr>
          <w:rFonts w:ascii="Times New Roman" w:hAnsi="Times New Roman"/>
          <w:color w:val="auto"/>
        </w:rPr>
        <w:t>应尽量涵盖水源地突发环境事件的污染范围</w:t>
      </w:r>
      <w:r>
        <w:rPr>
          <w:rFonts w:hint="eastAsia" w:ascii="Times New Roman" w:hAnsi="Times New Roman"/>
          <w:color w:val="auto"/>
        </w:rPr>
        <w:t>，</w:t>
      </w:r>
      <w:r>
        <w:rPr>
          <w:rFonts w:ascii="Times New Roman" w:hAnsi="Times New Roman"/>
          <w:color w:val="auto"/>
        </w:rPr>
        <w:t>并包括事件可能影响区域和污染物本底浓度的监测区域。</w:t>
      </w:r>
    </w:p>
    <w:p w14:paraId="6B296339">
      <w:pPr>
        <w:pStyle w:val="21"/>
        <w:rPr>
          <w:rFonts w:ascii="Times New Roman" w:hAnsi="Times New Roman"/>
          <w:color w:val="auto"/>
        </w:rPr>
      </w:pPr>
      <w:r>
        <w:rPr>
          <w:rFonts w:hint="eastAsia" w:ascii="Times New Roman" w:hAnsi="Times New Roman"/>
          <w:color w:val="auto"/>
        </w:rPr>
        <w:t>（2）</w:t>
      </w:r>
      <w:r>
        <w:rPr>
          <w:rFonts w:ascii="Times New Roman" w:hAnsi="Times New Roman"/>
          <w:color w:val="auto"/>
        </w:rPr>
        <w:t>监测布点和频次。以突发环境事件发生地点为中心或源头，结合水文和气象条件</w:t>
      </w:r>
      <w:r>
        <w:rPr>
          <w:rFonts w:hint="eastAsia" w:ascii="Times New Roman" w:hAnsi="Times New Roman"/>
          <w:color w:val="auto"/>
        </w:rPr>
        <w:t>，</w:t>
      </w:r>
      <w:r>
        <w:rPr>
          <w:rFonts w:ascii="Times New Roman" w:hAnsi="Times New Roman"/>
          <w:color w:val="auto"/>
        </w:rPr>
        <w:t>在其扩散方向及可能受到影响的水源地位置合理布点</w:t>
      </w:r>
      <w:r>
        <w:rPr>
          <w:rFonts w:hint="eastAsia" w:ascii="Times New Roman" w:hAnsi="Times New Roman"/>
          <w:color w:val="auto"/>
        </w:rPr>
        <w:t>，</w:t>
      </w:r>
      <w:r>
        <w:rPr>
          <w:rFonts w:ascii="Times New Roman" w:hAnsi="Times New Roman"/>
          <w:color w:val="auto"/>
        </w:rPr>
        <w:t>必要时在事故影响区域内水源取水口处设置监测点位，应采取不同点位相同</w:t>
      </w:r>
      <w:r>
        <w:rPr>
          <w:rFonts w:hint="eastAsia" w:ascii="Times New Roman" w:hAnsi="Times New Roman"/>
          <w:color w:val="auto"/>
        </w:rPr>
        <w:t>间</w:t>
      </w:r>
      <w:r>
        <w:rPr>
          <w:rFonts w:ascii="Times New Roman" w:hAnsi="Times New Roman"/>
          <w:color w:val="auto"/>
        </w:rPr>
        <w:t>隔时同（一般为1小时）同步采样监测方式</w:t>
      </w:r>
      <w:r>
        <w:rPr>
          <w:rFonts w:hint="eastAsia" w:ascii="Times New Roman" w:hAnsi="Times New Roman"/>
          <w:color w:val="auto"/>
        </w:rPr>
        <w:t>，</w:t>
      </w:r>
      <w:r>
        <w:rPr>
          <w:rFonts w:ascii="Times New Roman" w:hAnsi="Times New Roman"/>
          <w:color w:val="auto"/>
        </w:rPr>
        <w:t>动态监控污染移动过程。</w:t>
      </w:r>
    </w:p>
    <w:p w14:paraId="0CF3F90D">
      <w:pPr>
        <w:pStyle w:val="21"/>
        <w:rPr>
          <w:rFonts w:ascii="Times New Roman" w:hAnsi="Times New Roman"/>
          <w:color w:val="auto"/>
        </w:rPr>
      </w:pPr>
      <w:r>
        <w:rPr>
          <w:rFonts w:ascii="Times New Roman" w:hAnsi="Times New Roman"/>
          <w:color w:val="auto"/>
        </w:rPr>
        <w:t>非点源突发环境事件，应</w:t>
      </w:r>
      <w:r>
        <w:rPr>
          <w:rFonts w:hint="eastAsia" w:ascii="Times New Roman" w:hAnsi="Times New Roman"/>
          <w:color w:val="auto"/>
        </w:rPr>
        <w:t>在水源地出水口</w:t>
      </w:r>
      <w:r>
        <w:rPr>
          <w:rFonts w:ascii="Times New Roman" w:hAnsi="Times New Roman"/>
          <w:color w:val="auto"/>
        </w:rPr>
        <w:t>附近进行加密跟踪监测</w:t>
      </w:r>
      <w:r>
        <w:rPr>
          <w:rFonts w:hint="eastAsia" w:ascii="Times New Roman" w:hAnsi="Times New Roman"/>
          <w:color w:val="auto"/>
        </w:rPr>
        <w:t>。水华灾害突发事件应对取水口不同水层进行加密跟踪监测。</w:t>
      </w:r>
    </w:p>
    <w:p w14:paraId="412DDB5A">
      <w:pPr>
        <w:pStyle w:val="21"/>
        <w:rPr>
          <w:rFonts w:ascii="Times New Roman" w:hAnsi="Times New Roman"/>
          <w:color w:val="auto"/>
        </w:rPr>
      </w:pPr>
      <w:r>
        <w:rPr>
          <w:rFonts w:hint="eastAsia" w:ascii="Times New Roman" w:hAnsi="Times New Roman"/>
          <w:color w:val="auto"/>
        </w:rPr>
        <w:t>（3）</w:t>
      </w:r>
      <w:r>
        <w:rPr>
          <w:rFonts w:ascii="Times New Roman" w:hAnsi="Times New Roman"/>
          <w:color w:val="auto"/>
        </w:rPr>
        <w:t>现场采样，应制定采样计划和准备采样器材。采样量应同时满足快速监测、实验室监测和留样的需要。采样频次应考虑污染程度和现场水文条件，按照应急专家组的意见确定</w:t>
      </w:r>
      <w:r>
        <w:rPr>
          <w:rFonts w:hint="eastAsia" w:ascii="Times New Roman" w:hAnsi="Times New Roman"/>
          <w:color w:val="auto"/>
        </w:rPr>
        <w:t>。</w:t>
      </w:r>
    </w:p>
    <w:p w14:paraId="036AE5E7">
      <w:pPr>
        <w:pStyle w:val="21"/>
        <w:rPr>
          <w:rFonts w:ascii="Times New Roman" w:hAnsi="Times New Roman"/>
          <w:color w:val="auto"/>
        </w:rPr>
      </w:pPr>
      <w:r>
        <w:rPr>
          <w:rFonts w:hint="eastAsia" w:ascii="Times New Roman" w:hAnsi="Times New Roman"/>
          <w:color w:val="auto"/>
        </w:rPr>
        <w:t>（4）</w:t>
      </w:r>
      <w:r>
        <w:rPr>
          <w:rFonts w:ascii="Times New Roman" w:hAnsi="Times New Roman"/>
          <w:color w:val="auto"/>
        </w:rPr>
        <w:t>监测项目。通过现场信息收集、信息研判、代表性样品分析等途径，确定主要污染物及监测项目。监测项目应考虑主要污染物在环境中可能产生的化学反应、衍生成其他有毒有害物质，</w:t>
      </w:r>
      <w:r>
        <w:rPr>
          <w:rFonts w:hint="eastAsia" w:ascii="Times New Roman" w:hAnsi="Times New Roman"/>
          <w:color w:val="auto"/>
        </w:rPr>
        <w:t>有条件的地区可同时开展水生生物指标的监测，为后期损害评估提供第一手资料。若出现水华或化学品泄漏，加测微囊藻毒素</w:t>
      </w:r>
      <w:r>
        <w:rPr>
          <w:rFonts w:ascii="Times New Roman" w:hAnsi="Times New Roman"/>
          <w:color w:val="auto"/>
        </w:rPr>
        <w:t>-LR、生物急性毒性（发光细菌法）、2-甲基异莰醇（MIB）、土臭素（GSM）及《生活饮用水卫生标准》（GB5749-2022）表1、表2、表3全项。</w:t>
      </w:r>
    </w:p>
    <w:p w14:paraId="2E4DABF4">
      <w:pPr>
        <w:pStyle w:val="21"/>
        <w:rPr>
          <w:rFonts w:ascii="Times New Roman" w:hAnsi="Times New Roman"/>
          <w:color w:val="auto"/>
        </w:rPr>
      </w:pPr>
      <w:r>
        <w:rPr>
          <w:rFonts w:hint="eastAsia" w:ascii="Times New Roman" w:hAnsi="Times New Roman"/>
          <w:color w:val="auto"/>
        </w:rPr>
        <w:t>（5）</w:t>
      </w:r>
      <w:r>
        <w:rPr>
          <w:rFonts w:ascii="Times New Roman" w:hAnsi="Times New Roman"/>
          <w:color w:val="auto"/>
        </w:rPr>
        <w:t>分析方法。具备现场监测条件的监测项目，应尽量在现场监测。必要时，备份样品送实验室监（复）测，以确认现场定性或定量监测结果的准确性</w:t>
      </w:r>
      <w:r>
        <w:rPr>
          <w:rFonts w:hint="eastAsia" w:ascii="Times New Roman" w:hAnsi="Times New Roman"/>
          <w:color w:val="auto"/>
        </w:rPr>
        <w:t>。</w:t>
      </w:r>
    </w:p>
    <w:p w14:paraId="13E31C02">
      <w:pPr>
        <w:pStyle w:val="21"/>
        <w:rPr>
          <w:rFonts w:ascii="Times New Roman" w:hAnsi="Times New Roman"/>
          <w:color w:val="auto"/>
        </w:rPr>
      </w:pPr>
      <w:r>
        <w:rPr>
          <w:rFonts w:hint="eastAsia" w:ascii="Times New Roman" w:hAnsi="Times New Roman"/>
          <w:color w:val="auto"/>
        </w:rPr>
        <w:t>（6）</w:t>
      </w:r>
      <w:r>
        <w:rPr>
          <w:rFonts w:ascii="Times New Roman" w:hAnsi="Times New Roman"/>
          <w:color w:val="auto"/>
        </w:rPr>
        <w:t>监测结果与数据报告。应按照有关监测技术规范进行数据处理。监测结果可用定性、半定量或定量方式报出。监测结果可采用电话、传真、快报、简报、监测报告等形式第一时间报告现场应急指挥部</w:t>
      </w:r>
      <w:r>
        <w:rPr>
          <w:rFonts w:hint="eastAsia" w:ascii="Times New Roman" w:hAnsi="Times New Roman"/>
          <w:color w:val="auto"/>
        </w:rPr>
        <w:t>。</w:t>
      </w:r>
    </w:p>
    <w:p w14:paraId="082D5408">
      <w:pPr>
        <w:pStyle w:val="21"/>
        <w:rPr>
          <w:rFonts w:ascii="Times New Roman" w:hAnsi="Times New Roman"/>
          <w:color w:val="auto"/>
        </w:rPr>
      </w:pPr>
      <w:r>
        <w:rPr>
          <w:rFonts w:hint="eastAsia" w:ascii="Times New Roman" w:hAnsi="Times New Roman"/>
          <w:color w:val="auto"/>
        </w:rPr>
        <w:t>（7）</w:t>
      </w:r>
      <w:r>
        <w:rPr>
          <w:rFonts w:ascii="Times New Roman" w:hAnsi="Times New Roman"/>
          <w:color w:val="auto"/>
        </w:rPr>
        <w:t>监测数据的质量保证。应急监测过程中的样品采集、现场监测、实验室监测、数据统计等环节，都应有质量控制措施，并对应急监测报告实行三级审核</w:t>
      </w:r>
      <w:r>
        <w:rPr>
          <w:rFonts w:hint="eastAsia" w:ascii="Times New Roman" w:hAnsi="Times New Roman"/>
          <w:color w:val="auto"/>
        </w:rPr>
        <w:t>。</w:t>
      </w:r>
    </w:p>
    <w:p w14:paraId="5CEF5BF7">
      <w:pPr>
        <w:pStyle w:val="18"/>
        <w:rPr>
          <w:rFonts w:ascii="Times New Roman" w:hAnsi="Times New Roman"/>
        </w:rPr>
      </w:pPr>
      <w:bookmarkStart w:id="63" w:name="_Toc213690714"/>
      <w:r>
        <w:rPr>
          <w:rFonts w:hint="eastAsia" w:ascii="Times New Roman" w:hAnsi="Times New Roman"/>
        </w:rPr>
        <w:t>3</w:t>
      </w:r>
      <w:r>
        <w:rPr>
          <w:rFonts w:ascii="Times New Roman" w:hAnsi="Times New Roman"/>
        </w:rPr>
        <w:t>.6</w:t>
      </w:r>
      <w:r>
        <w:rPr>
          <w:rFonts w:hint="eastAsia" w:ascii="Times New Roman" w:hAnsi="Times New Roman"/>
        </w:rPr>
        <w:t>污染源排查与处置</w:t>
      </w:r>
      <w:bookmarkEnd w:id="63"/>
    </w:p>
    <w:p w14:paraId="180CE372">
      <w:pPr>
        <w:pStyle w:val="23"/>
        <w:rPr>
          <w:rFonts w:ascii="Times New Roman" w:hAnsi="Times New Roman"/>
        </w:rPr>
      </w:pPr>
      <w:bookmarkStart w:id="64" w:name="_Toc213690715"/>
      <w:r>
        <w:rPr>
          <w:rFonts w:hint="eastAsia" w:ascii="Times New Roman" w:hAnsi="Times New Roman"/>
        </w:rPr>
        <w:t>3</w:t>
      </w:r>
      <w:r>
        <w:rPr>
          <w:rFonts w:ascii="Times New Roman" w:hAnsi="Times New Roman"/>
        </w:rPr>
        <w:t>.6.1</w:t>
      </w:r>
      <w:r>
        <w:rPr>
          <w:rFonts w:hint="eastAsia" w:ascii="Times New Roman" w:hAnsi="Times New Roman"/>
        </w:rPr>
        <w:t>明确排查对象</w:t>
      </w:r>
      <w:bookmarkEnd w:id="64"/>
    </w:p>
    <w:p w14:paraId="6AA8808E">
      <w:pPr>
        <w:pStyle w:val="21"/>
        <w:rPr>
          <w:rFonts w:ascii="Times New Roman" w:hAnsi="Times New Roman"/>
          <w:color w:val="auto"/>
        </w:rPr>
      </w:pPr>
      <w:r>
        <w:rPr>
          <w:rFonts w:hint="eastAsia" w:ascii="Times New Roman" w:hAnsi="Times New Roman"/>
          <w:color w:val="auto"/>
        </w:rPr>
        <w:t>本预案适用地域范围没有固定源、流动源，只有非点源（奶牛养殖场和农业种植区），突发环境事件情景：暴雨</w:t>
      </w:r>
      <w:bookmarkStart w:id="114" w:name="_GoBack"/>
      <w:bookmarkEnd w:id="114"/>
      <w:r>
        <w:rPr>
          <w:rFonts w:hint="eastAsia" w:ascii="Times New Roman" w:hAnsi="Times New Roman"/>
          <w:color w:val="auto"/>
          <w:lang w:eastAsia="zh-CN"/>
        </w:rPr>
        <w:t>冲刷</w:t>
      </w:r>
      <w:r>
        <w:rPr>
          <w:rFonts w:hint="eastAsia" w:ascii="Times New Roman" w:hAnsi="Times New Roman"/>
          <w:color w:val="auto"/>
        </w:rPr>
        <w:t>畜禽养殖废物、农田，导致大量细菌，农药，化肥等随地表或地下径流进入水源保护区造成水污染事件。</w:t>
      </w:r>
    </w:p>
    <w:p w14:paraId="1FC244F1">
      <w:pPr>
        <w:pStyle w:val="21"/>
        <w:rPr>
          <w:rFonts w:ascii="Times New Roman" w:hAnsi="Times New Roman"/>
          <w:color w:val="auto"/>
        </w:rPr>
      </w:pPr>
      <w:r>
        <w:rPr>
          <w:rFonts w:hint="eastAsia" w:ascii="Times New Roman" w:hAnsi="Times New Roman"/>
          <w:color w:val="auto"/>
        </w:rPr>
        <w:t>当水质监测发现异常、污染物来源不确定时，应明确负责开展溯源分析的部门、责任人及工作程序。根据特征污染物种类、浓度变化、释放总量、释放路径、释放时间，以及当时的水文和气象条件，迅速组织开展污染源排查。</w:t>
      </w:r>
    </w:p>
    <w:p w14:paraId="70B0D21F">
      <w:pPr>
        <w:pStyle w:val="21"/>
        <w:rPr>
          <w:rFonts w:ascii="Times New Roman" w:hAnsi="Times New Roman"/>
          <w:color w:val="auto"/>
        </w:rPr>
      </w:pPr>
      <w:r>
        <w:rPr>
          <w:rFonts w:hint="eastAsia" w:ascii="Times New Roman" w:hAnsi="Times New Roman"/>
          <w:color w:val="auto"/>
        </w:rPr>
        <w:t>针对不同类型污染物的排查重点和对象如下。</w:t>
      </w:r>
    </w:p>
    <w:p w14:paraId="23063735">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w:t>
      </w:r>
      <w:r>
        <w:rPr>
          <w:rFonts w:hint="eastAsia" w:ascii="Times New Roman" w:hAnsi="Times New Roman"/>
          <w:color w:val="auto"/>
        </w:rPr>
        <w:t>）</w:t>
      </w:r>
      <w:r>
        <w:rPr>
          <w:rFonts w:ascii="Times New Roman" w:hAnsi="Times New Roman"/>
          <w:color w:val="auto"/>
        </w:rPr>
        <w:t>营养盐类污染</w:t>
      </w:r>
      <w:r>
        <w:rPr>
          <w:rFonts w:hint="eastAsia" w:ascii="Times New Roman" w:hAnsi="Times New Roman"/>
          <w:color w:val="auto"/>
        </w:rPr>
        <w:t>：</w:t>
      </w:r>
      <w:r>
        <w:rPr>
          <w:rFonts w:ascii="Times New Roman" w:hAnsi="Times New Roman"/>
          <w:color w:val="auto"/>
        </w:rPr>
        <w:t>重点排查畜禽养殖场、农</w:t>
      </w:r>
      <w:r>
        <w:rPr>
          <w:rFonts w:hint="eastAsia" w:ascii="Times New Roman" w:hAnsi="Times New Roman"/>
          <w:color w:val="auto"/>
        </w:rPr>
        <w:t>业</w:t>
      </w:r>
      <w:r>
        <w:rPr>
          <w:rFonts w:ascii="Times New Roman" w:hAnsi="Times New Roman"/>
          <w:color w:val="auto"/>
        </w:rPr>
        <w:t>种植户、农村居民点等</w:t>
      </w:r>
      <w:r>
        <w:rPr>
          <w:rFonts w:hint="eastAsia" w:ascii="Times New Roman" w:hAnsi="Times New Roman"/>
          <w:color w:val="auto"/>
        </w:rPr>
        <w:t>，调查养殖废物处理处置、农药化肥施用、农村生活污染的异常情况。</w:t>
      </w:r>
    </w:p>
    <w:p w14:paraId="6F888CC2">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2</w:t>
      </w:r>
      <w:r>
        <w:rPr>
          <w:rFonts w:hint="eastAsia" w:ascii="Times New Roman" w:hAnsi="Times New Roman"/>
          <w:color w:val="auto"/>
        </w:rPr>
        <w:t>）</w:t>
      </w:r>
      <w:r>
        <w:rPr>
          <w:rFonts w:ascii="Times New Roman" w:hAnsi="Times New Roman"/>
          <w:color w:val="auto"/>
        </w:rPr>
        <w:t>细菌类污染</w:t>
      </w:r>
      <w:r>
        <w:rPr>
          <w:rFonts w:hint="eastAsia" w:ascii="Times New Roman" w:hAnsi="Times New Roman"/>
          <w:color w:val="auto"/>
        </w:rPr>
        <w:t>：</w:t>
      </w:r>
      <w:r>
        <w:rPr>
          <w:rFonts w:ascii="Times New Roman" w:hAnsi="Times New Roman"/>
          <w:color w:val="auto"/>
        </w:rPr>
        <w:t>重点排查畜禽养殖场、农村居民点</w:t>
      </w:r>
      <w:r>
        <w:rPr>
          <w:rFonts w:hint="eastAsia" w:ascii="Times New Roman" w:hAnsi="Times New Roman"/>
          <w:color w:val="auto"/>
        </w:rPr>
        <w:t>，</w:t>
      </w:r>
      <w:r>
        <w:rPr>
          <w:rFonts w:ascii="Times New Roman" w:hAnsi="Times New Roman"/>
          <w:color w:val="auto"/>
        </w:rPr>
        <w:t>养殖废物处理处置、农村生活污染的异常情况。</w:t>
      </w:r>
    </w:p>
    <w:p w14:paraId="425D455D">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w:t>
      </w:r>
      <w:r>
        <w:rPr>
          <w:rFonts w:hint="eastAsia" w:ascii="Times New Roman" w:hAnsi="Times New Roman"/>
          <w:color w:val="auto"/>
        </w:rPr>
        <w:t>）</w:t>
      </w:r>
      <w:r>
        <w:rPr>
          <w:rFonts w:ascii="Times New Roman" w:hAnsi="Times New Roman"/>
          <w:color w:val="auto"/>
        </w:rPr>
        <w:t>农药类污染</w:t>
      </w:r>
      <w:r>
        <w:rPr>
          <w:rFonts w:hint="eastAsia" w:ascii="Times New Roman" w:hAnsi="Times New Roman"/>
          <w:color w:val="auto"/>
        </w:rPr>
        <w:t>：</w:t>
      </w:r>
      <w:r>
        <w:rPr>
          <w:rFonts w:ascii="Times New Roman" w:hAnsi="Times New Roman"/>
          <w:color w:val="auto"/>
        </w:rPr>
        <w:t>重点排查农</w:t>
      </w:r>
      <w:r>
        <w:rPr>
          <w:rFonts w:hint="eastAsia" w:ascii="Times New Roman" w:hAnsi="Times New Roman"/>
          <w:color w:val="auto"/>
        </w:rPr>
        <w:t>业</w:t>
      </w:r>
      <w:r>
        <w:rPr>
          <w:rFonts w:ascii="Times New Roman" w:hAnsi="Times New Roman"/>
          <w:color w:val="auto"/>
        </w:rPr>
        <w:t>种植户、农灌退水排放口，调查农药施用和流失的异常情况。</w:t>
      </w:r>
    </w:p>
    <w:p w14:paraId="4922379A">
      <w:pPr>
        <w:pStyle w:val="21"/>
        <w:rPr>
          <w:rFonts w:ascii="Times New Roman" w:hAnsi="Times New Roman"/>
          <w:color w:val="auto"/>
        </w:rPr>
      </w:pPr>
      <w:r>
        <w:rPr>
          <w:rFonts w:hint="eastAsia" w:ascii="Times New Roman" w:hAnsi="Times New Roman"/>
          <w:color w:val="auto"/>
        </w:rPr>
        <w:t>（4）有机物污染类：重点排查农田种植户、农村居民点、调查农药化肥施用、养殖废物处理处置、农药化肥施用、农村生活污染的异常情况。</w:t>
      </w:r>
    </w:p>
    <w:p w14:paraId="30A255D6">
      <w:pPr>
        <w:pStyle w:val="21"/>
        <w:rPr>
          <w:rFonts w:ascii="Times New Roman" w:hAnsi="Times New Roman"/>
          <w:color w:val="auto"/>
        </w:rPr>
      </w:pPr>
      <w:r>
        <w:rPr>
          <w:rFonts w:hint="eastAsia" w:ascii="Times New Roman" w:hAnsi="Times New Roman"/>
          <w:color w:val="auto"/>
        </w:rPr>
        <w:t>（5）引黄北干线输水隧洞检修期沉积物扰动可能导致高浓度悬浮物、铁、锰等内源污染物释放，直接威胁墙框堡水库水质。</w:t>
      </w:r>
    </w:p>
    <w:p w14:paraId="00D3793C">
      <w:pPr>
        <w:pStyle w:val="23"/>
        <w:rPr>
          <w:rFonts w:ascii="Times New Roman" w:hAnsi="Times New Roman"/>
        </w:rPr>
      </w:pPr>
      <w:bookmarkStart w:id="65" w:name="_Toc213690716"/>
      <w:r>
        <w:rPr>
          <w:rFonts w:hint="eastAsia" w:ascii="Times New Roman" w:hAnsi="Times New Roman"/>
        </w:rPr>
        <w:t>3</w:t>
      </w:r>
      <w:r>
        <w:rPr>
          <w:rFonts w:ascii="Times New Roman" w:hAnsi="Times New Roman"/>
        </w:rPr>
        <w:t>.6.2</w:t>
      </w:r>
      <w:r>
        <w:rPr>
          <w:rFonts w:hint="eastAsia" w:ascii="Times New Roman" w:hAnsi="Times New Roman"/>
        </w:rPr>
        <w:t>切断污染源</w:t>
      </w:r>
      <w:bookmarkEnd w:id="65"/>
    </w:p>
    <w:p w14:paraId="1ACD387A">
      <w:pPr>
        <w:pStyle w:val="21"/>
        <w:rPr>
          <w:rFonts w:ascii="Times New Roman" w:hAnsi="Times New Roman"/>
          <w:color w:val="auto"/>
        </w:rPr>
      </w:pPr>
      <w:r>
        <w:rPr>
          <w:rFonts w:hint="eastAsia" w:ascii="Times New Roman" w:hAnsi="Times New Roman"/>
          <w:color w:val="auto"/>
        </w:rPr>
        <w:t>对排查出的污染源，应立即采取措施防止污染物继续扩散。处置措施主要采取切断污染源、收集和围堵污染物等处置措施，包括但不限于以下内容：</w:t>
      </w:r>
    </w:p>
    <w:p w14:paraId="0CDDE4D9">
      <w:pPr>
        <w:pStyle w:val="21"/>
        <w:rPr>
          <w:rFonts w:ascii="Times New Roman" w:hAnsi="Times New Roman"/>
          <w:color w:val="auto"/>
        </w:rPr>
      </w:pPr>
      <w:r>
        <w:rPr>
          <w:rFonts w:hint="eastAsia" w:ascii="Times New Roman" w:hAnsi="Times New Roman"/>
          <w:color w:val="auto"/>
        </w:rPr>
        <w:t>（1）</w:t>
      </w:r>
      <w:r>
        <w:rPr>
          <w:rFonts w:ascii="Times New Roman" w:hAnsi="Times New Roman"/>
          <w:color w:val="auto"/>
        </w:rPr>
        <w:t>对企业非正常方式排污导致突发环境事件，由</w:t>
      </w:r>
      <w:r>
        <w:rPr>
          <w:rFonts w:hint="eastAsia" w:ascii="Times New Roman" w:hAnsi="Times New Roman"/>
          <w:color w:val="auto"/>
        </w:rPr>
        <w:t>市</w:t>
      </w:r>
      <w:r>
        <w:rPr>
          <w:rFonts w:ascii="Times New Roman" w:hAnsi="Times New Roman"/>
          <w:color w:val="auto"/>
        </w:rPr>
        <w:t>生态环境局</w:t>
      </w:r>
      <w:r>
        <w:rPr>
          <w:rFonts w:hint="eastAsia" w:ascii="Times New Roman" w:hAnsi="Times New Roman"/>
          <w:color w:val="auto"/>
        </w:rPr>
        <w:t>云冈分局</w:t>
      </w:r>
      <w:r>
        <w:rPr>
          <w:rFonts w:ascii="Times New Roman" w:hAnsi="Times New Roman"/>
          <w:color w:val="auto"/>
        </w:rPr>
        <w:t>牵头组织应对，采取关闭、封堵、收集、转移等措施，切断污染源或泄漏源。</w:t>
      </w:r>
    </w:p>
    <w:p w14:paraId="5C420742">
      <w:pPr>
        <w:pStyle w:val="21"/>
        <w:rPr>
          <w:rFonts w:ascii="Times New Roman" w:hAnsi="Times New Roman"/>
          <w:color w:val="auto"/>
        </w:rPr>
      </w:pPr>
      <w:r>
        <w:rPr>
          <w:rFonts w:hint="eastAsia" w:ascii="Times New Roman" w:hAnsi="Times New Roman"/>
          <w:color w:val="auto"/>
        </w:rPr>
        <w:t>（2）如果是非点源引起的突发环境事件，市农业农村局、市生态环境局首先须控制污染源的排放，要求立即停止农药化肥的施用、生活污水的排放，并通过应急工程设施拦截污染源。</w:t>
      </w:r>
    </w:p>
    <w:p w14:paraId="18E5A09A">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w:t>
      </w:r>
      <w:r>
        <w:rPr>
          <w:rFonts w:hint="eastAsia" w:ascii="Times New Roman" w:hAnsi="Times New Roman"/>
          <w:color w:val="auto"/>
        </w:rPr>
        <w:t>）</w:t>
      </w:r>
      <w:r>
        <w:rPr>
          <w:rFonts w:ascii="Times New Roman" w:hAnsi="Times New Roman"/>
          <w:color w:val="auto"/>
        </w:rPr>
        <w:t>启动应急收集系统集中收集陆域污染物，设立拦截设施防止污染物在陆域漫延，组织有关部门对污染物进行回收处置</w:t>
      </w:r>
      <w:r>
        <w:rPr>
          <w:rFonts w:hint="eastAsia" w:ascii="Times New Roman" w:hAnsi="Times New Roman"/>
          <w:color w:val="auto"/>
        </w:rPr>
        <w:t>。</w:t>
      </w:r>
    </w:p>
    <w:p w14:paraId="0A560705">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4</w:t>
      </w:r>
      <w:r>
        <w:rPr>
          <w:rFonts w:hint="eastAsia" w:ascii="Times New Roman" w:hAnsi="Times New Roman"/>
          <w:color w:val="auto"/>
        </w:rPr>
        <w:t>）</w:t>
      </w:r>
      <w:r>
        <w:rPr>
          <w:rFonts w:ascii="Times New Roman" w:hAnsi="Times New Roman"/>
          <w:color w:val="auto"/>
        </w:rPr>
        <w:t>根据现场事态发展对扩散至水体的污染物进行处置</w:t>
      </w:r>
      <w:r>
        <w:rPr>
          <w:rFonts w:hint="eastAsia" w:ascii="Times New Roman" w:hAnsi="Times New Roman"/>
          <w:color w:val="auto"/>
        </w:rPr>
        <w:t>。</w:t>
      </w:r>
    </w:p>
    <w:p w14:paraId="3E1A68D3">
      <w:pPr>
        <w:pStyle w:val="18"/>
        <w:rPr>
          <w:rFonts w:ascii="Times New Roman" w:hAnsi="Times New Roman"/>
        </w:rPr>
      </w:pPr>
      <w:bookmarkStart w:id="66" w:name="_Toc213690717"/>
      <w:r>
        <w:rPr>
          <w:rFonts w:hint="eastAsia" w:ascii="Times New Roman" w:hAnsi="Times New Roman"/>
        </w:rPr>
        <w:t>3</w:t>
      </w:r>
      <w:r>
        <w:rPr>
          <w:rFonts w:ascii="Times New Roman" w:hAnsi="Times New Roman"/>
        </w:rPr>
        <w:t>.7</w:t>
      </w:r>
      <w:r>
        <w:rPr>
          <w:rFonts w:hint="eastAsia" w:ascii="Times New Roman" w:hAnsi="Times New Roman"/>
        </w:rPr>
        <w:t>应急处置</w:t>
      </w:r>
      <w:bookmarkEnd w:id="66"/>
    </w:p>
    <w:p w14:paraId="03AED409">
      <w:pPr>
        <w:pStyle w:val="23"/>
        <w:rPr>
          <w:rFonts w:ascii="Times New Roman" w:hAnsi="Times New Roman"/>
        </w:rPr>
      </w:pPr>
      <w:bookmarkStart w:id="67" w:name="_Toc213690718"/>
      <w:r>
        <w:rPr>
          <w:rFonts w:hint="eastAsia" w:ascii="Times New Roman" w:hAnsi="Times New Roman"/>
        </w:rPr>
        <w:t>3</w:t>
      </w:r>
      <w:r>
        <w:rPr>
          <w:rFonts w:ascii="Times New Roman" w:hAnsi="Times New Roman"/>
        </w:rPr>
        <w:t>.7.1</w:t>
      </w:r>
      <w:r>
        <w:rPr>
          <w:rFonts w:hint="eastAsia" w:ascii="Times New Roman" w:hAnsi="Times New Roman"/>
        </w:rPr>
        <w:t>制定现场处置方案</w:t>
      </w:r>
      <w:bookmarkEnd w:id="67"/>
    </w:p>
    <w:p w14:paraId="4E80680A">
      <w:pPr>
        <w:pStyle w:val="21"/>
        <w:rPr>
          <w:rFonts w:ascii="Times New Roman" w:hAnsi="Times New Roman"/>
          <w:color w:val="auto"/>
        </w:rPr>
      </w:pPr>
      <w:r>
        <w:rPr>
          <w:rFonts w:hint="eastAsia" w:ascii="Times New Roman" w:hAnsi="Times New Roman"/>
          <w:color w:val="auto"/>
        </w:rPr>
        <w:t>根据污染物的性质、突发事件类型、事件可控性、严重程度、影响范围及周边环境的敏感性，现场应急指挥部采取如下现场处置方案：</w:t>
      </w:r>
    </w:p>
    <w:p w14:paraId="5783F7FC">
      <w:pPr>
        <w:pStyle w:val="21"/>
        <w:rPr>
          <w:rFonts w:ascii="Times New Roman" w:hAnsi="Times New Roman"/>
          <w:color w:val="auto"/>
        </w:rPr>
      </w:pPr>
      <w:r>
        <w:rPr>
          <w:rFonts w:hint="eastAsia" w:ascii="Times New Roman" w:hAnsi="Times New Roman"/>
          <w:color w:val="auto"/>
        </w:rPr>
        <w:t>（1）当饮用水水源已受到污染时，应急处置组立即启动水源地防控措施，采取隔离污水、治理污染、调水稀释、停止供水等方法尽快消除污染威胁；通知相关居民停止取水、用水；当饮用水供水中断后，供水部门通过多渠道组织提供安全饮用水，并加大宣传和引导力度，避免引起群众恐慌心理；</w:t>
      </w:r>
    </w:p>
    <w:p w14:paraId="08120F7F">
      <w:pPr>
        <w:pStyle w:val="21"/>
        <w:rPr>
          <w:rFonts w:ascii="Times New Roman" w:hAnsi="Times New Roman"/>
          <w:color w:val="auto"/>
        </w:rPr>
      </w:pPr>
      <w:r>
        <w:rPr>
          <w:rFonts w:hint="eastAsia" w:ascii="Times New Roman" w:hAnsi="Times New Roman"/>
          <w:color w:val="auto"/>
        </w:rPr>
        <w:t>（2）</w:t>
      </w:r>
      <w:r>
        <w:rPr>
          <w:rFonts w:ascii="Times New Roman" w:hAnsi="Times New Roman"/>
          <w:color w:val="auto"/>
        </w:rPr>
        <w:t>水体内污染物治理、总量或浓度削减。根据应急专家组</w:t>
      </w:r>
      <w:r>
        <w:rPr>
          <w:rFonts w:hint="eastAsia" w:ascii="Times New Roman" w:hAnsi="Times New Roman"/>
          <w:color w:val="auto"/>
        </w:rPr>
        <w:t>等意见，制定综合处置方案，经现场应急指挥部确认后实施。一般采取隔离、吸附、打捞、扰动等物理方法，氧化、沉淀等化学方法，利用湿地生物群消解等生物方法和上游调水等稀释方法，可以采取一种或多种方式，力争短时间内削减污染物浓度。</w:t>
      </w:r>
    </w:p>
    <w:p w14:paraId="1A3725D1">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w:t>
      </w:r>
      <w:r>
        <w:rPr>
          <w:rFonts w:hint="eastAsia" w:ascii="Times New Roman" w:hAnsi="Times New Roman"/>
          <w:color w:val="auto"/>
        </w:rPr>
        <w:t>）水华灾害突发环境事件。对一级水域保护区的水华发生区域，采取增氧机、藻类打捞等方式减少或控制藻类生产和扩散；条件允许，可采用生态调水的方式通过增加水体扰动控制水华灾害。</w:t>
      </w:r>
    </w:p>
    <w:p w14:paraId="0C76E54F">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4</w:t>
      </w:r>
      <w:r>
        <w:rPr>
          <w:rFonts w:hint="eastAsia" w:ascii="Times New Roman" w:hAnsi="Times New Roman"/>
          <w:color w:val="auto"/>
        </w:rPr>
        <w:t>）应急处置组根据应急处置方案，迅速消除、控制或者安全转移污染源，及时控制污染物继续外排或泄漏，切断污染物进入水源的途径；减少危害程度和范围，并同时对供水管网进行消毒处理。</w:t>
      </w:r>
    </w:p>
    <w:p w14:paraId="1EA4C94D">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5</w:t>
      </w:r>
      <w:r>
        <w:rPr>
          <w:rFonts w:hint="eastAsia" w:ascii="Times New Roman" w:hAnsi="Times New Roman"/>
          <w:color w:val="auto"/>
        </w:rPr>
        <w:t>）当发生供水应急状态时，紧急切断部分管路，实行区域间歇性供水。</w:t>
      </w:r>
    </w:p>
    <w:p w14:paraId="6AAE8156">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6</w:t>
      </w:r>
      <w:r>
        <w:rPr>
          <w:rFonts w:hint="eastAsia" w:ascii="Times New Roman" w:hAnsi="Times New Roman"/>
          <w:color w:val="auto"/>
        </w:rPr>
        <w:t>）划定现场污染警戒区、隔离区和交通管制区，并设置警示标志。</w:t>
      </w:r>
    </w:p>
    <w:p w14:paraId="0EDE6E21">
      <w:pPr>
        <w:pStyle w:val="23"/>
        <w:rPr>
          <w:rFonts w:ascii="Times New Roman" w:hAnsi="Times New Roman"/>
        </w:rPr>
      </w:pPr>
      <w:bookmarkStart w:id="68" w:name="_Toc213690719"/>
      <w:r>
        <w:rPr>
          <w:rFonts w:hint="eastAsia" w:ascii="Times New Roman" w:hAnsi="Times New Roman"/>
        </w:rPr>
        <w:t>3</w:t>
      </w:r>
      <w:r>
        <w:rPr>
          <w:rFonts w:ascii="Times New Roman" w:hAnsi="Times New Roman"/>
        </w:rPr>
        <w:t>.7.2</w:t>
      </w:r>
      <w:r>
        <w:rPr>
          <w:rFonts w:hint="eastAsia" w:ascii="Times New Roman" w:hAnsi="Times New Roman"/>
        </w:rPr>
        <w:t>供水安全保障</w:t>
      </w:r>
      <w:bookmarkEnd w:id="68"/>
    </w:p>
    <w:p w14:paraId="34B5C0C8">
      <w:pPr>
        <w:pStyle w:val="21"/>
        <w:rPr>
          <w:rFonts w:ascii="Times New Roman" w:hAnsi="Times New Roman"/>
          <w:color w:val="auto"/>
        </w:rPr>
      </w:pPr>
      <w:r>
        <w:rPr>
          <w:rFonts w:hint="eastAsia" w:ascii="Times New Roman" w:hAnsi="Times New Roman"/>
          <w:color w:val="auto"/>
        </w:rPr>
        <w:t>当饮用水水源受到污染时，应急供水保障组负责联系供水部门，立即启动地表水水源地防控措施，采取深度处理、低压供水或启动备用水源等应急措施，通知相关居民停止取水、用水；当饮用水供水中断后，组织多渠道提供安全饮用水，及时保障群众用水安全。加强污染源监测，待水质满足取水要求时恢复取水和供水。</w:t>
      </w:r>
    </w:p>
    <w:p w14:paraId="663C35AB">
      <w:pPr>
        <w:pStyle w:val="18"/>
        <w:rPr>
          <w:rFonts w:ascii="Times New Roman" w:hAnsi="Times New Roman"/>
        </w:rPr>
      </w:pPr>
      <w:bookmarkStart w:id="69" w:name="_Toc213690720"/>
      <w:r>
        <w:rPr>
          <w:rFonts w:hint="eastAsia" w:ascii="Times New Roman" w:hAnsi="Times New Roman"/>
        </w:rPr>
        <w:t>3</w:t>
      </w:r>
      <w:r>
        <w:rPr>
          <w:rFonts w:ascii="Times New Roman" w:hAnsi="Times New Roman"/>
        </w:rPr>
        <w:t>.8</w:t>
      </w:r>
      <w:r>
        <w:rPr>
          <w:rFonts w:hint="eastAsia" w:ascii="Times New Roman" w:hAnsi="Times New Roman"/>
        </w:rPr>
        <w:t>物资调集及应急设施启用</w:t>
      </w:r>
      <w:bookmarkEnd w:id="69"/>
    </w:p>
    <w:p w14:paraId="505EFA88">
      <w:pPr>
        <w:pStyle w:val="21"/>
        <w:rPr>
          <w:rFonts w:ascii="Times New Roman" w:hAnsi="Times New Roman"/>
          <w:color w:val="auto"/>
        </w:rPr>
      </w:pPr>
      <w:r>
        <w:rPr>
          <w:rFonts w:hint="eastAsia" w:ascii="Times New Roman" w:hAnsi="Times New Roman"/>
          <w:color w:val="auto"/>
        </w:rPr>
        <w:t>墙框堡水库集中式饮用水水源地突发环境事件应急物资主要依托突发环境事件区域可调用的应急物资及市生态环境局云冈分局等配备的应急物资。相关单位负责定期检查和维护。</w:t>
      </w:r>
    </w:p>
    <w:p w14:paraId="6C70A4B7">
      <w:pPr>
        <w:pStyle w:val="21"/>
        <w:rPr>
          <w:rFonts w:ascii="Times New Roman" w:hAnsi="Times New Roman"/>
          <w:color w:val="auto"/>
        </w:rPr>
      </w:pPr>
      <w:r>
        <w:rPr>
          <w:rFonts w:hint="eastAsia" w:ascii="Times New Roman" w:hAnsi="Times New Roman"/>
          <w:color w:val="auto"/>
        </w:rPr>
        <w:t>应急物资、装备和设施包括但不限于以下内容：</w:t>
      </w:r>
    </w:p>
    <w:p w14:paraId="617D8E05">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1）对水体内污染物进行打捞和拦截的物资、装备和设施，如救援打捞设备、筑坝材料、溢出控制装备等。</w:t>
      </w:r>
    </w:p>
    <w:p w14:paraId="76D003A9">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2）控制和消除污染物的物资、装备和设施，如中和剂、灭火剂、解毒剂、吸收剂等。</w:t>
      </w:r>
    </w:p>
    <w:p w14:paraId="4758DE37">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3）移除和拦截移动源的装备和设施，如吊车、临时围堰、导流槽、应急池等。</w:t>
      </w:r>
    </w:p>
    <w:p w14:paraId="32CC762E">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4）对污染物进行拦截、导流、分流及降解的应急工程设施，如拦截坝、节制闸、导流渠、分流沟、前置库等。</w:t>
      </w:r>
    </w:p>
    <w:p w14:paraId="2CD911FA">
      <w:pPr>
        <w:pStyle w:val="21"/>
        <w:rPr>
          <w:rFonts w:ascii="Times New Roman" w:hAnsi="Times New Roman"/>
          <w:color w:val="auto"/>
        </w:rPr>
      </w:pPr>
      <w:r>
        <w:rPr>
          <w:rFonts w:hint="eastAsia" w:ascii="Times New Roman" w:hAnsi="Times New Roman"/>
          <w:color w:val="auto"/>
        </w:rPr>
        <w:t>应急物资应在启动响应后</w:t>
      </w:r>
      <w:r>
        <w:rPr>
          <w:rFonts w:ascii="Times New Roman" w:hAnsi="Times New Roman"/>
          <w:color w:val="auto"/>
        </w:rPr>
        <w:t>2小时内调运至现场指挥部指定位置。</w:t>
      </w:r>
    </w:p>
    <w:p w14:paraId="77933F80">
      <w:pPr>
        <w:pStyle w:val="18"/>
        <w:rPr>
          <w:rFonts w:ascii="Times New Roman" w:hAnsi="Times New Roman"/>
        </w:rPr>
      </w:pPr>
      <w:bookmarkStart w:id="70" w:name="_Toc213690721"/>
      <w:r>
        <w:rPr>
          <w:rFonts w:hint="eastAsia" w:ascii="Times New Roman" w:hAnsi="Times New Roman"/>
        </w:rPr>
        <w:t>3</w:t>
      </w:r>
      <w:r>
        <w:rPr>
          <w:rFonts w:ascii="Times New Roman" w:hAnsi="Times New Roman"/>
        </w:rPr>
        <w:t>.9</w:t>
      </w:r>
      <w:r>
        <w:rPr>
          <w:rFonts w:hint="eastAsia" w:ascii="Times New Roman" w:hAnsi="Times New Roman"/>
        </w:rPr>
        <w:t>舆情监测与信息发布</w:t>
      </w:r>
      <w:bookmarkEnd w:id="70"/>
    </w:p>
    <w:p w14:paraId="7B57A3E7">
      <w:pPr>
        <w:pStyle w:val="21"/>
        <w:rPr>
          <w:rFonts w:ascii="Times New Roman" w:hAnsi="Times New Roman"/>
          <w:color w:val="auto"/>
        </w:rPr>
      </w:pPr>
      <w:r>
        <w:rPr>
          <w:rFonts w:hint="eastAsia" w:ascii="Times New Roman" w:hAnsi="Times New Roman"/>
          <w:color w:val="auto"/>
        </w:rPr>
        <w:t>根据区指挥部命令，现场应急指挥部在地表水水源地突发环境事件发生后，事发地现场应急指挥部应在接报后</w:t>
      </w:r>
      <w:r>
        <w:rPr>
          <w:rFonts w:ascii="Times New Roman" w:hAnsi="Times New Roman"/>
          <w:color w:val="auto"/>
        </w:rPr>
        <w:t>1小时内通过区政府官方媒体发布首条权威信息</w:t>
      </w:r>
      <w:r>
        <w:rPr>
          <w:rFonts w:hint="eastAsia" w:ascii="Times New Roman" w:hAnsi="Times New Roman"/>
          <w:color w:val="auto"/>
        </w:rPr>
        <w:t>，应第一时间向社会发布信息，正确引导舆论。并针对舆情及时发布事件原因、影响区域、已采取的措施及成效、公众应注意的防范措施、热线电话等。</w:t>
      </w:r>
    </w:p>
    <w:p w14:paraId="7F978154">
      <w:pPr>
        <w:pStyle w:val="18"/>
        <w:rPr>
          <w:rFonts w:ascii="Times New Roman" w:hAnsi="Times New Roman"/>
        </w:rPr>
      </w:pPr>
      <w:bookmarkStart w:id="71" w:name="_Toc213690722"/>
      <w:r>
        <w:rPr>
          <w:rFonts w:hint="eastAsia" w:ascii="Times New Roman" w:hAnsi="Times New Roman"/>
        </w:rPr>
        <w:t>3</w:t>
      </w:r>
      <w:r>
        <w:rPr>
          <w:rFonts w:ascii="Times New Roman" w:hAnsi="Times New Roman"/>
        </w:rPr>
        <w:t>.10</w:t>
      </w:r>
      <w:r>
        <w:rPr>
          <w:rFonts w:hint="eastAsia" w:ascii="Times New Roman" w:hAnsi="Times New Roman"/>
        </w:rPr>
        <w:t>响应终止</w:t>
      </w:r>
      <w:bookmarkEnd w:id="71"/>
    </w:p>
    <w:p w14:paraId="0206BD97">
      <w:pPr>
        <w:pStyle w:val="23"/>
        <w:rPr>
          <w:rFonts w:ascii="Times New Roman" w:hAnsi="Times New Roman"/>
        </w:rPr>
      </w:pPr>
      <w:bookmarkStart w:id="72" w:name="_Toc213690723"/>
      <w:bookmarkStart w:id="73" w:name="OLE_LINK139"/>
      <w:bookmarkStart w:id="74" w:name="OLE_LINK138"/>
      <w:r>
        <w:rPr>
          <w:rFonts w:hint="eastAsia" w:ascii="Times New Roman" w:hAnsi="Times New Roman"/>
        </w:rPr>
        <w:t>3</w:t>
      </w:r>
      <w:r>
        <w:rPr>
          <w:rFonts w:ascii="Times New Roman" w:hAnsi="Times New Roman"/>
        </w:rPr>
        <w:t>.10.1</w:t>
      </w:r>
      <w:r>
        <w:rPr>
          <w:rFonts w:hint="eastAsia" w:ascii="Times New Roman" w:hAnsi="Times New Roman"/>
        </w:rPr>
        <w:t>应急终止条件</w:t>
      </w:r>
      <w:bookmarkEnd w:id="72"/>
    </w:p>
    <w:bookmarkEnd w:id="73"/>
    <w:bookmarkEnd w:id="74"/>
    <w:p w14:paraId="170BE157">
      <w:pPr>
        <w:pStyle w:val="21"/>
        <w:rPr>
          <w:rFonts w:ascii="Times New Roman" w:hAnsi="Times New Roman"/>
          <w:color w:val="auto"/>
        </w:rPr>
      </w:pPr>
      <w:bookmarkStart w:id="75" w:name="OLE_LINK137"/>
      <w:bookmarkStart w:id="76" w:name="OLE_LINK136"/>
      <w:r>
        <w:rPr>
          <w:rFonts w:hint="eastAsia" w:ascii="Times New Roman" w:hAnsi="Times New Roman"/>
          <w:color w:val="auto"/>
        </w:rPr>
        <w:t>集中式饮用水源地威胁已解除、污染物质已降至规定限值以内、所造成的危害基本消除时，特征污染物监测持续稳定达标作为应急终止条件。</w:t>
      </w:r>
    </w:p>
    <w:p w14:paraId="0E65A353">
      <w:pPr>
        <w:pStyle w:val="21"/>
        <w:rPr>
          <w:rFonts w:ascii="Times New Roman" w:hAnsi="Times New Roman"/>
          <w:color w:val="auto"/>
        </w:rPr>
      </w:pPr>
      <w:r>
        <w:rPr>
          <w:rFonts w:hint="eastAsia" w:ascii="Times New Roman" w:hAnsi="Times New Roman"/>
          <w:color w:val="auto"/>
        </w:rPr>
        <w:t>符合下列情形之一的，可终止应急响应。</w:t>
      </w:r>
    </w:p>
    <w:p w14:paraId="4C15B1EC">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1）进入水源保护区陆域范围的污染物已成功围堵，且清运至水源保护区外，未向水域扩散时。</w:t>
      </w:r>
    </w:p>
    <w:p w14:paraId="4A52D7FD">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2）进入水源保护区水域范围的污染团已成功拦截或导流至水源保护区外，没有向取水口扩散的风险，且水质监测结果稳定达标。</w:t>
      </w:r>
    </w:p>
    <w:p w14:paraId="775EFC9C">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3）水质监测结果尚未稳定达标，但根据应急专家组建议可恢复正常取水时。</w:t>
      </w:r>
    </w:p>
    <w:bookmarkEnd w:id="75"/>
    <w:bookmarkEnd w:id="76"/>
    <w:p w14:paraId="221F54AC">
      <w:pPr>
        <w:pStyle w:val="23"/>
        <w:rPr>
          <w:rFonts w:ascii="Times New Roman" w:hAnsi="Times New Roman"/>
        </w:rPr>
      </w:pPr>
      <w:bookmarkStart w:id="77" w:name="_Toc213690724"/>
      <w:r>
        <w:rPr>
          <w:rFonts w:ascii="Times New Roman" w:hAnsi="Times New Roman"/>
        </w:rPr>
        <w:t>3.10.2</w:t>
      </w:r>
      <w:r>
        <w:rPr>
          <w:rFonts w:hint="eastAsia" w:ascii="Times New Roman" w:hAnsi="Times New Roman"/>
        </w:rPr>
        <w:t>应急终止程序</w:t>
      </w:r>
      <w:bookmarkEnd w:id="77"/>
    </w:p>
    <w:p w14:paraId="17C66BEF">
      <w:pPr>
        <w:pStyle w:val="21"/>
        <w:rPr>
          <w:rFonts w:ascii="Times New Roman" w:hAnsi="Times New Roman"/>
          <w:color w:val="auto"/>
        </w:rPr>
      </w:pPr>
      <w:r>
        <w:rPr>
          <w:rFonts w:hint="eastAsia" w:ascii="Times New Roman" w:hAnsi="Times New Roman"/>
          <w:color w:val="auto"/>
        </w:rPr>
        <w:t>按照“谁启动、谁终止”的原则，经专家组分析论证，认为满足响应终止条件时，向区指挥部提出响应终止建议，由区指挥部终止应急响应。</w:t>
      </w:r>
    </w:p>
    <w:p w14:paraId="334B78D9">
      <w:pPr>
        <w:pStyle w:val="21"/>
        <w:rPr>
          <w:rFonts w:ascii="Times New Roman" w:hAnsi="Times New Roman"/>
          <w:color w:val="auto"/>
        </w:rPr>
        <w:sectPr>
          <w:pgSz w:w="11906" w:h="16838"/>
          <w:pgMar w:top="1440" w:right="1701" w:bottom="1440" w:left="1701" w:header="851" w:footer="992" w:gutter="0"/>
          <w:cols w:space="425" w:num="1"/>
          <w:docGrid w:type="lines" w:linePitch="312" w:charSpace="0"/>
        </w:sectPr>
      </w:pPr>
    </w:p>
    <w:p w14:paraId="6C113760">
      <w:pPr>
        <w:pStyle w:val="17"/>
        <w:rPr>
          <w:rFonts w:ascii="Times New Roman" w:hAnsi="Times New Roman"/>
        </w:rPr>
      </w:pPr>
      <w:bookmarkStart w:id="78" w:name="_Toc213690725"/>
      <w:r>
        <w:rPr>
          <w:rFonts w:hint="eastAsia" w:ascii="Times New Roman" w:hAnsi="Times New Roman"/>
        </w:rPr>
        <w:t>4后期工作</w:t>
      </w:r>
      <w:bookmarkEnd w:id="78"/>
    </w:p>
    <w:p w14:paraId="4B25ED64">
      <w:pPr>
        <w:pStyle w:val="18"/>
        <w:rPr>
          <w:rFonts w:ascii="Times New Roman" w:hAnsi="Times New Roman"/>
        </w:rPr>
      </w:pPr>
      <w:bookmarkStart w:id="79" w:name="_Toc213690726"/>
      <w:r>
        <w:rPr>
          <w:rFonts w:hint="eastAsia" w:ascii="Times New Roman" w:hAnsi="Times New Roman"/>
        </w:rPr>
        <w:t>4</w:t>
      </w:r>
      <w:r>
        <w:rPr>
          <w:rFonts w:ascii="Times New Roman" w:hAnsi="Times New Roman"/>
        </w:rPr>
        <w:t>.1</w:t>
      </w:r>
      <w:r>
        <w:rPr>
          <w:rFonts w:hint="eastAsia" w:ascii="Times New Roman" w:hAnsi="Times New Roman"/>
        </w:rPr>
        <w:t>后期防控</w:t>
      </w:r>
      <w:bookmarkEnd w:id="79"/>
    </w:p>
    <w:p w14:paraId="3205DBDA">
      <w:pPr>
        <w:pStyle w:val="21"/>
        <w:rPr>
          <w:rFonts w:ascii="Times New Roman" w:hAnsi="Times New Roman"/>
          <w:color w:val="auto"/>
        </w:rPr>
      </w:pPr>
      <w:r>
        <w:rPr>
          <w:rFonts w:hint="eastAsia" w:ascii="Times New Roman" w:hAnsi="Times New Roman"/>
          <w:color w:val="auto"/>
        </w:rPr>
        <w:t>当污染源和污染水体得到有效控制后，事故现场及附近的道路、水源都有可能受到严重污染，若不及时进行防控，污染会迅速蔓延，造成更大危害。还必须事故发生地做好污染防控工作。</w:t>
      </w:r>
    </w:p>
    <w:p w14:paraId="5C37CB9E">
      <w:pPr>
        <w:pStyle w:val="21"/>
        <w:rPr>
          <w:rFonts w:ascii="Times New Roman" w:hAnsi="Times New Roman"/>
          <w:color w:val="auto"/>
        </w:rPr>
      </w:pPr>
      <w:r>
        <w:rPr>
          <w:rFonts w:hint="eastAsia" w:ascii="Times New Roman" w:hAnsi="Times New Roman"/>
          <w:color w:val="auto"/>
        </w:rPr>
        <w:t>水源地突发环境事件应急响应终止后，应急指挥部应组织应急监测队伍进行后期污染监测；组织专家制定后期污染治理方案，消除投放药剂的残留毒性和后期效应，防止次生突发环境事件；事件处理过程中产生的二次污染物应采取措施妥善、合法处置。事故处置过程产生的固废污染物需妥善安全暂存，委托有能力处置单位妥善处置，若为危险废物须交由有资质单位安全处置；在事故场地及蔓延区域的污染物清除完成后，对土壤或水生态系统进行修复；部分污染物导流到水源地下游或其他区域，对这些区域的污染物进行清除等。</w:t>
      </w:r>
    </w:p>
    <w:p w14:paraId="04826ABA">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1）化学品污染环境净化和消洗</w:t>
      </w:r>
    </w:p>
    <w:p w14:paraId="337C490D">
      <w:pPr>
        <w:pStyle w:val="21"/>
        <w:rPr>
          <w:rFonts w:ascii="Times New Roman" w:hAnsi="Times New Roman"/>
          <w:color w:val="auto"/>
        </w:rPr>
      </w:pPr>
      <w:r>
        <w:rPr>
          <w:rFonts w:hint="eastAsia" w:ascii="Times New Roman" w:hAnsi="Times New Roman"/>
          <w:color w:val="auto"/>
        </w:rPr>
        <w:t>化学品能重新利用的则应回收再利用；不能重新利用的，可交有资质单位处置；农药等毒性物质尽可能交与有资质的危险废物处理的单位净化处置。</w:t>
      </w:r>
    </w:p>
    <w:p w14:paraId="6C5652FB">
      <w:pPr>
        <w:pStyle w:val="21"/>
        <w:rPr>
          <w:rFonts w:ascii="Times New Roman" w:hAnsi="Times New Roman"/>
          <w:color w:val="auto"/>
        </w:rPr>
      </w:pPr>
      <w:r>
        <w:rPr>
          <w:rFonts w:hint="eastAsia" w:ascii="Times New Roman" w:hAnsi="Times New Roman"/>
          <w:color w:val="auto"/>
        </w:rPr>
        <w:t>化学消毒法，把消防毒剂水溶液装于消防车水罐，经消防泵加压后，通过水带、水枪以开花或喷雾水流喷洒。</w:t>
      </w:r>
    </w:p>
    <w:p w14:paraId="201ADC86">
      <w:pPr>
        <w:pStyle w:val="21"/>
        <w:rPr>
          <w:rFonts w:ascii="Times New Roman" w:hAnsi="Times New Roman"/>
          <w:color w:val="auto"/>
        </w:rPr>
      </w:pPr>
      <w:r>
        <w:rPr>
          <w:rFonts w:hint="eastAsia" w:ascii="Times New Roman" w:hAnsi="Times New Roman"/>
          <w:color w:val="auto"/>
        </w:rPr>
        <w:t>物理消毒法，即用吸附垫、活性炭等具有吸附能力的物质，吸附回收后转移委托有资质单位处置。也可用喷射雾状水进行稀释降毒。</w:t>
      </w:r>
    </w:p>
    <w:p w14:paraId="07F6EF9D">
      <w:pPr>
        <w:pStyle w:val="21"/>
        <w:rPr>
          <w:rFonts w:ascii="Times New Roman" w:hAnsi="Times New Roman"/>
          <w:color w:val="auto"/>
        </w:rPr>
      </w:pPr>
      <w:r>
        <w:rPr>
          <w:rFonts w:hint="eastAsia" w:ascii="Times New Roman" w:hAnsi="Times New Roman"/>
          <w:color w:val="auto"/>
        </w:rPr>
        <w:t>受污染水体抽吸进入用活性炭设施净化处理达标后排入污水处理站，废活性炭委托有资质的单位处置。</w:t>
      </w:r>
    </w:p>
    <w:p w14:paraId="0373435E">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2）被污染的土壤</w:t>
      </w:r>
    </w:p>
    <w:p w14:paraId="0832BE60">
      <w:pPr>
        <w:pStyle w:val="21"/>
        <w:rPr>
          <w:rFonts w:ascii="Times New Roman" w:hAnsi="Times New Roman"/>
          <w:color w:val="auto"/>
        </w:rPr>
      </w:pPr>
      <w:r>
        <w:rPr>
          <w:rFonts w:hint="eastAsia" w:ascii="Times New Roman" w:hAnsi="Times New Roman"/>
          <w:color w:val="auto"/>
        </w:rPr>
        <w:t>使用简单工具将表层剥离装入容器，并委托危险废物处理的有资质单位净化处置；若环境不允许挖掘或清除大量土壤时，可使用物理、化学或生物方法消除，如对地表干封闭处理、地下水位高的地方使用注水法使水位上升，收集从地表溢出的水、让土壤保持休闲或通过翻耕促进蒸发的自然降解法。</w:t>
      </w:r>
    </w:p>
    <w:p w14:paraId="74CF9053">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3）动物疫病污染源</w:t>
      </w:r>
    </w:p>
    <w:p w14:paraId="5E9937E0">
      <w:pPr>
        <w:pStyle w:val="21"/>
        <w:rPr>
          <w:rFonts w:ascii="Times New Roman" w:hAnsi="Times New Roman"/>
          <w:color w:val="auto"/>
        </w:rPr>
      </w:pPr>
      <w:r>
        <w:rPr>
          <w:rFonts w:hint="eastAsia" w:ascii="Times New Roman" w:hAnsi="Times New Roman"/>
          <w:color w:val="auto"/>
        </w:rPr>
        <w:t>在保护区外消毒深埋死畜，粪便一律焚烧；</w:t>
      </w:r>
    </w:p>
    <w:p w14:paraId="439558E4">
      <w:pPr>
        <w:pStyle w:val="21"/>
        <w:rPr>
          <w:rFonts w:ascii="Times New Roman" w:hAnsi="Times New Roman"/>
          <w:color w:val="auto"/>
        </w:rPr>
      </w:pPr>
      <w:r>
        <w:rPr>
          <w:rFonts w:hint="eastAsia" w:ascii="Times New Roman" w:hAnsi="Times New Roman"/>
          <w:color w:val="auto"/>
        </w:rPr>
        <w:t>若为普通病畜粪便，可在保护区外堆肥发酵，高温无害化处理。污染的地面、圈舍、用具应彻底消毒，可用</w:t>
      </w:r>
      <w:r>
        <w:rPr>
          <w:rFonts w:ascii="Times New Roman" w:hAnsi="Times New Roman"/>
          <w:color w:val="auto"/>
        </w:rPr>
        <w:t>10%火碱水、20%漂白粉或0.1升汞水消毒，第二天再消毒一次；</w:t>
      </w:r>
      <w:r>
        <w:rPr>
          <w:rFonts w:hint="eastAsia" w:ascii="Times New Roman" w:hAnsi="Times New Roman"/>
          <w:color w:val="auto"/>
        </w:rPr>
        <w:t>如为烈性传染病，可每间隔</w:t>
      </w:r>
      <w:r>
        <w:rPr>
          <w:rFonts w:ascii="Times New Roman" w:hAnsi="Times New Roman"/>
          <w:color w:val="auto"/>
        </w:rPr>
        <w:t>1小时消毒一次，连续消毒3次。</w:t>
      </w:r>
    </w:p>
    <w:p w14:paraId="21218238">
      <w:pPr>
        <w:pStyle w:val="21"/>
        <w:rPr>
          <w:rFonts w:ascii="Times New Roman" w:hAnsi="Times New Roman"/>
          <w:color w:val="auto"/>
        </w:rPr>
      </w:pPr>
      <w:r>
        <w:rPr>
          <w:rFonts w:hint="eastAsia" w:ascii="Times New Roman" w:hAnsi="Times New Roman"/>
          <w:color w:val="auto"/>
        </w:rPr>
        <w:t>污染的土层表面，应铲出</w:t>
      </w:r>
      <w:r>
        <w:rPr>
          <w:rFonts w:ascii="Times New Roman" w:hAnsi="Times New Roman"/>
          <w:color w:val="auto"/>
        </w:rPr>
        <w:t>15厘米，再换上新土，避免重复感染。污染的土层消毒处理。</w:t>
      </w:r>
    </w:p>
    <w:p w14:paraId="6E91E0A7">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4）参与现场应急的人员及工具</w:t>
      </w:r>
    </w:p>
    <w:p w14:paraId="4C8725B5">
      <w:pPr>
        <w:pStyle w:val="21"/>
        <w:rPr>
          <w:rFonts w:ascii="Times New Roman" w:hAnsi="Times New Roman"/>
          <w:color w:val="auto"/>
        </w:rPr>
      </w:pPr>
      <w:r>
        <w:rPr>
          <w:rFonts w:hint="eastAsia" w:ascii="Times New Roman" w:hAnsi="Times New Roman"/>
          <w:color w:val="auto"/>
        </w:rPr>
        <w:t>装备人员洗消。为减少污染的扩大、杜绝二次污染，在处置过程中，要对警戒区作业人员、器材装备、进行彻底的洗消，消除化危品对人体和器材装备的侵害，脱去所有个人防护用品，及时用肥皂、洗洁精等清洗皮肤、毛发，避免有害物质被人体吸收；洗消后仍要通过一次检测，不合格者要返回重新洗消。洗消必须在出口处设置的洗消间或洗消帐篷内进行，洗消液要集中回收，作为危废委托有资质单位处置。</w:t>
      </w:r>
    </w:p>
    <w:p w14:paraId="3CA37B1B">
      <w:pPr>
        <w:pStyle w:val="21"/>
        <w:rPr>
          <w:rFonts w:ascii="Times New Roman" w:hAnsi="Times New Roman"/>
          <w:color w:val="auto"/>
        </w:rPr>
      </w:pPr>
      <w:r>
        <w:rPr>
          <w:rFonts w:hint="eastAsia" w:ascii="Times New Roman" w:hAnsi="Times New Roman"/>
          <w:color w:val="auto"/>
        </w:rPr>
        <w:t>所有一次性的个人防护用品集中收集装入塑料袋或容器内按危险固体废物处置，其他防护用品和救援工具则应清洗后晾干保存。</w:t>
      </w:r>
    </w:p>
    <w:p w14:paraId="75CBAD81">
      <w:pPr>
        <w:pStyle w:val="18"/>
        <w:rPr>
          <w:rFonts w:ascii="Times New Roman" w:hAnsi="Times New Roman"/>
        </w:rPr>
      </w:pPr>
      <w:bookmarkStart w:id="80" w:name="_Toc213690727"/>
      <w:r>
        <w:rPr>
          <w:rFonts w:hint="eastAsia" w:ascii="Times New Roman" w:hAnsi="Times New Roman"/>
        </w:rPr>
        <w:t>4</w:t>
      </w:r>
      <w:r>
        <w:rPr>
          <w:rFonts w:ascii="Times New Roman" w:hAnsi="Times New Roman"/>
        </w:rPr>
        <w:t>.2</w:t>
      </w:r>
      <w:r>
        <w:rPr>
          <w:rFonts w:hint="eastAsia" w:ascii="Times New Roman" w:hAnsi="Times New Roman"/>
        </w:rPr>
        <w:t>事件调查</w:t>
      </w:r>
      <w:bookmarkEnd w:id="80"/>
    </w:p>
    <w:p w14:paraId="29A25252">
      <w:pPr>
        <w:pStyle w:val="21"/>
        <w:rPr>
          <w:rFonts w:ascii="Times New Roman" w:hAnsi="Times New Roman"/>
          <w:color w:val="auto"/>
        </w:rPr>
      </w:pPr>
      <w:r>
        <w:rPr>
          <w:rFonts w:hint="eastAsia" w:ascii="Times New Roman" w:hAnsi="Times New Roman"/>
          <w:color w:val="auto"/>
        </w:rPr>
        <w:t>根据《突发环境事件调查处理办法》（环境保护部令第</w:t>
      </w:r>
      <w:r>
        <w:rPr>
          <w:rFonts w:ascii="Times New Roman" w:hAnsi="Times New Roman"/>
          <w:color w:val="auto"/>
        </w:rPr>
        <w:t>32号），由</w:t>
      </w:r>
      <w:r>
        <w:rPr>
          <w:rFonts w:hint="eastAsia" w:ascii="Times New Roman" w:hAnsi="Times New Roman"/>
          <w:color w:val="auto"/>
        </w:rPr>
        <w:t>区</w:t>
      </w:r>
      <w:r>
        <w:rPr>
          <w:rFonts w:ascii="Times New Roman" w:hAnsi="Times New Roman"/>
          <w:color w:val="auto"/>
        </w:rPr>
        <w:t>生态环境主管部门牵头，有关部门配合，组织开展事件调查，查明事件原因和性质，提出整改防范措施和处理建议。</w:t>
      </w:r>
    </w:p>
    <w:p w14:paraId="40A5ACC7">
      <w:pPr>
        <w:pStyle w:val="18"/>
        <w:rPr>
          <w:rFonts w:ascii="Times New Roman" w:hAnsi="Times New Roman"/>
        </w:rPr>
      </w:pPr>
      <w:bookmarkStart w:id="81" w:name="_Toc213690728"/>
      <w:r>
        <w:rPr>
          <w:rFonts w:hint="eastAsia" w:ascii="Times New Roman" w:hAnsi="Times New Roman"/>
        </w:rPr>
        <w:t>4</w:t>
      </w:r>
      <w:r>
        <w:rPr>
          <w:rFonts w:ascii="Times New Roman" w:hAnsi="Times New Roman"/>
        </w:rPr>
        <w:t>.3</w:t>
      </w:r>
      <w:r>
        <w:rPr>
          <w:rFonts w:hint="eastAsia" w:ascii="Times New Roman" w:hAnsi="Times New Roman"/>
        </w:rPr>
        <w:t>损害评估</w:t>
      </w:r>
      <w:bookmarkEnd w:id="81"/>
    </w:p>
    <w:p w14:paraId="492F9285">
      <w:pPr>
        <w:pStyle w:val="21"/>
        <w:rPr>
          <w:rFonts w:ascii="Times New Roman" w:hAnsi="Times New Roman"/>
          <w:color w:val="auto"/>
        </w:rPr>
      </w:pPr>
      <w:r>
        <w:rPr>
          <w:rFonts w:hint="eastAsia" w:ascii="Times New Roman" w:hAnsi="Times New Roman"/>
          <w:color w:val="auto"/>
        </w:rPr>
        <w:t>由大同市生态环境局云冈分局牵头，区人民检察院、区财政局、第三方评估机构参与，依据《生态环境损害赔偿管理规定》开展损害评估。</w:t>
      </w:r>
    </w:p>
    <w:p w14:paraId="7B985EE7">
      <w:pPr>
        <w:pStyle w:val="18"/>
        <w:rPr>
          <w:rFonts w:ascii="Times New Roman" w:hAnsi="Times New Roman"/>
        </w:rPr>
      </w:pPr>
      <w:bookmarkStart w:id="82" w:name="_Toc213690729"/>
      <w:r>
        <w:rPr>
          <w:rFonts w:hint="eastAsia" w:ascii="Times New Roman" w:hAnsi="Times New Roman"/>
        </w:rPr>
        <w:t>4</w:t>
      </w:r>
      <w:r>
        <w:rPr>
          <w:rFonts w:ascii="Times New Roman" w:hAnsi="Times New Roman"/>
        </w:rPr>
        <w:t>.4</w:t>
      </w:r>
      <w:r>
        <w:rPr>
          <w:rFonts w:hint="eastAsia" w:ascii="Times New Roman" w:hAnsi="Times New Roman"/>
        </w:rPr>
        <w:t>善后处置</w:t>
      </w:r>
      <w:bookmarkEnd w:id="82"/>
    </w:p>
    <w:p w14:paraId="0AC01AD1">
      <w:pPr>
        <w:pStyle w:val="21"/>
        <w:rPr>
          <w:rFonts w:ascii="Times New Roman" w:hAnsi="Times New Roman"/>
          <w:color w:val="auto"/>
        </w:rPr>
        <w:sectPr>
          <w:pgSz w:w="11906" w:h="16838"/>
          <w:pgMar w:top="1440" w:right="1701" w:bottom="1440" w:left="1701" w:header="851" w:footer="992" w:gutter="0"/>
          <w:cols w:space="425" w:num="1"/>
          <w:docGrid w:type="lines" w:linePitch="312" w:charSpace="0"/>
        </w:sectPr>
      </w:pPr>
      <w:r>
        <w:rPr>
          <w:rFonts w:hint="eastAsia" w:ascii="Times New Roman" w:hAnsi="Times New Roman"/>
          <w:color w:val="auto"/>
        </w:rPr>
        <w:t>区人民政府要组织专家对受影响地区进行科学评估，及时制定损害赔偿、风险源整改、污染场地修复等工作方案，并落实到责任单位。</w:t>
      </w:r>
    </w:p>
    <w:p w14:paraId="53D79A96">
      <w:pPr>
        <w:pStyle w:val="17"/>
        <w:rPr>
          <w:rFonts w:ascii="Times New Roman" w:hAnsi="Times New Roman"/>
        </w:rPr>
      </w:pPr>
      <w:bookmarkStart w:id="83" w:name="_Toc213690730"/>
      <w:r>
        <w:rPr>
          <w:rFonts w:hint="eastAsia" w:ascii="Times New Roman" w:hAnsi="Times New Roman"/>
        </w:rPr>
        <w:t>5应急保障</w:t>
      </w:r>
      <w:bookmarkEnd w:id="83"/>
    </w:p>
    <w:p w14:paraId="59CE25CE">
      <w:pPr>
        <w:pStyle w:val="18"/>
        <w:rPr>
          <w:rFonts w:ascii="Times New Roman" w:hAnsi="Times New Roman"/>
        </w:rPr>
      </w:pPr>
      <w:bookmarkStart w:id="84" w:name="_Toc213690731"/>
      <w:r>
        <w:rPr>
          <w:rFonts w:hint="eastAsia" w:ascii="Times New Roman" w:hAnsi="Times New Roman"/>
        </w:rPr>
        <w:t>5</w:t>
      </w:r>
      <w:r>
        <w:rPr>
          <w:rFonts w:ascii="Times New Roman" w:hAnsi="Times New Roman"/>
        </w:rPr>
        <w:t>.1</w:t>
      </w:r>
      <w:r>
        <w:rPr>
          <w:rFonts w:hint="eastAsia" w:ascii="Times New Roman" w:hAnsi="Times New Roman"/>
        </w:rPr>
        <w:t>通讯与信息保障</w:t>
      </w:r>
      <w:bookmarkEnd w:id="84"/>
    </w:p>
    <w:p w14:paraId="07B5CDFB">
      <w:pPr>
        <w:pStyle w:val="21"/>
        <w:rPr>
          <w:rFonts w:ascii="Times New Roman" w:hAnsi="Times New Roman"/>
          <w:color w:val="auto"/>
        </w:rPr>
      </w:pPr>
      <w:r>
        <w:rPr>
          <w:rFonts w:hint="eastAsia" w:ascii="Times New Roman" w:hAnsi="Times New Roman"/>
          <w:color w:val="auto"/>
        </w:rPr>
        <w:t>区指挥部要建立和完善环境应急指挥系统，及时更新应急指挥部成员单位负责人、联络人及联系方式等信息。区指挥部、现场应急指挥部、区指挥部办公室及成员单位要确保通讯畅通，区指挥部办公室要保持</w:t>
      </w:r>
      <w:r>
        <w:rPr>
          <w:rFonts w:ascii="Times New Roman" w:hAnsi="Times New Roman"/>
          <w:color w:val="auto"/>
        </w:rPr>
        <w:t>24小时应急值守。</w:t>
      </w:r>
    </w:p>
    <w:p w14:paraId="26C6CB27">
      <w:pPr>
        <w:pStyle w:val="18"/>
        <w:rPr>
          <w:rFonts w:ascii="Times New Roman" w:hAnsi="Times New Roman"/>
        </w:rPr>
      </w:pPr>
      <w:bookmarkStart w:id="85" w:name="_Toc213690732"/>
      <w:r>
        <w:rPr>
          <w:rFonts w:hint="eastAsia" w:ascii="Times New Roman" w:hAnsi="Times New Roman"/>
        </w:rPr>
        <w:t>5</w:t>
      </w:r>
      <w:r>
        <w:rPr>
          <w:rFonts w:ascii="Times New Roman" w:hAnsi="Times New Roman"/>
        </w:rPr>
        <w:t>.2</w:t>
      </w:r>
      <w:r>
        <w:rPr>
          <w:rFonts w:hint="eastAsia" w:ascii="Times New Roman" w:hAnsi="Times New Roman"/>
        </w:rPr>
        <w:t>应急队伍保障</w:t>
      </w:r>
      <w:bookmarkEnd w:id="85"/>
    </w:p>
    <w:p w14:paraId="3678C10F">
      <w:pPr>
        <w:pStyle w:val="21"/>
        <w:rPr>
          <w:rFonts w:ascii="Times New Roman" w:hAnsi="Times New Roman"/>
          <w:color w:val="auto"/>
        </w:rPr>
      </w:pPr>
      <w:r>
        <w:rPr>
          <w:rFonts w:hint="eastAsia" w:ascii="Times New Roman" w:hAnsi="Times New Roman"/>
          <w:color w:val="auto"/>
        </w:rPr>
        <w:t>区政府应加强应急队伍建设，保证在饮用水水源地突发环境事件发生后，能迅速参与并完成监测、防控等现场处置工作。</w:t>
      </w:r>
    </w:p>
    <w:p w14:paraId="19527783">
      <w:pPr>
        <w:pStyle w:val="21"/>
        <w:rPr>
          <w:rFonts w:ascii="Times New Roman" w:hAnsi="Times New Roman"/>
          <w:color w:val="auto"/>
        </w:rPr>
      </w:pPr>
      <w:r>
        <w:rPr>
          <w:rFonts w:hint="eastAsia" w:ascii="Times New Roman" w:hAnsi="Times New Roman"/>
          <w:color w:val="auto"/>
        </w:rPr>
        <w:t>环境应急处置、环境应急监测、消防救援、大型国有骨干企业应急救援队伍及其他相关方面应急救援队伍等力量，要参加地表水水源地突发环境事件的应急监测、应急处置与救援、调查处理等工作。</w:t>
      </w:r>
    </w:p>
    <w:p w14:paraId="4D2B7FB3">
      <w:pPr>
        <w:pStyle w:val="21"/>
        <w:rPr>
          <w:rFonts w:ascii="Times New Roman" w:hAnsi="Times New Roman"/>
          <w:color w:val="auto"/>
        </w:rPr>
      </w:pPr>
      <w:r>
        <w:rPr>
          <w:rFonts w:hint="eastAsia" w:ascii="Times New Roman" w:hAnsi="Times New Roman"/>
          <w:color w:val="auto"/>
        </w:rPr>
        <w:t>区指挥部办公室要建立区级环境应急专家库，发挥专家组作用，为应急处置方案制定、污染损害评估和调查处理工作提供决策建议。</w:t>
      </w:r>
    </w:p>
    <w:p w14:paraId="36BDF7DF">
      <w:pPr>
        <w:pStyle w:val="21"/>
        <w:rPr>
          <w:rFonts w:ascii="Times New Roman" w:hAnsi="Times New Roman"/>
          <w:color w:val="auto"/>
        </w:rPr>
      </w:pPr>
      <w:r>
        <w:rPr>
          <w:rFonts w:hint="eastAsia" w:ascii="Times New Roman" w:hAnsi="Times New Roman"/>
          <w:color w:val="auto"/>
        </w:rPr>
        <w:t>应急队伍的培训与地表水水源地应急预案的演练至少每年一次。培训内容主要包括事故信息报告、个体防护、应急资源的使用、应急监测布点方法及监测方法、应急处理方法等；演练内容主要包括通讯系统是否正常运作、信息报送流程是否畅通、各现场应急工作组配合是否协调、应急人员能力是否满足需要等。同时强化环境应急救援队伍能力建设，提高地表水水源地突发环境事件快速响应及应急处置能力。</w:t>
      </w:r>
    </w:p>
    <w:p w14:paraId="4762ACA4">
      <w:pPr>
        <w:pStyle w:val="18"/>
        <w:rPr>
          <w:rFonts w:ascii="Times New Roman" w:hAnsi="Times New Roman"/>
        </w:rPr>
      </w:pPr>
      <w:bookmarkStart w:id="86" w:name="_Toc213690733"/>
      <w:r>
        <w:rPr>
          <w:rFonts w:hint="eastAsia" w:ascii="Times New Roman" w:hAnsi="Times New Roman"/>
        </w:rPr>
        <w:t>5</w:t>
      </w:r>
      <w:r>
        <w:rPr>
          <w:rFonts w:ascii="Times New Roman" w:hAnsi="Times New Roman"/>
        </w:rPr>
        <w:t>.3</w:t>
      </w:r>
      <w:r>
        <w:rPr>
          <w:rFonts w:hint="eastAsia" w:ascii="Times New Roman" w:hAnsi="Times New Roman"/>
        </w:rPr>
        <w:t>应急资源保障</w:t>
      </w:r>
      <w:bookmarkEnd w:id="86"/>
    </w:p>
    <w:p w14:paraId="247C461C">
      <w:pPr>
        <w:pStyle w:val="21"/>
        <w:rPr>
          <w:rFonts w:ascii="Times New Roman" w:hAnsi="Times New Roman"/>
          <w:color w:val="auto"/>
        </w:rPr>
      </w:pPr>
      <w:r>
        <w:rPr>
          <w:rFonts w:hint="eastAsia" w:ascii="Times New Roman" w:hAnsi="Times New Roman"/>
          <w:color w:val="auto"/>
        </w:rPr>
        <w:t>水源地应明确应急物资（包括药剂、物资、装备和设施）的配备、保存、更新及养护方案，建立应急物资储备库。根据事件和演练经验，持续改进提高药剂、物资、装备的存放规范、应急设施的建设要求，确保事件发生时能够快速高效的使用应急资源。</w:t>
      </w:r>
    </w:p>
    <w:p w14:paraId="6E40B1D3">
      <w:pPr>
        <w:pStyle w:val="18"/>
        <w:rPr>
          <w:rFonts w:ascii="Times New Roman" w:hAnsi="Times New Roman"/>
        </w:rPr>
      </w:pPr>
      <w:bookmarkStart w:id="87" w:name="_Toc213690734"/>
      <w:r>
        <w:rPr>
          <w:rFonts w:hint="eastAsia" w:ascii="Times New Roman" w:hAnsi="Times New Roman"/>
        </w:rPr>
        <w:t>5</w:t>
      </w:r>
      <w:r>
        <w:rPr>
          <w:rFonts w:ascii="Times New Roman" w:hAnsi="Times New Roman"/>
        </w:rPr>
        <w:t>.4</w:t>
      </w:r>
      <w:r>
        <w:rPr>
          <w:rFonts w:hint="eastAsia" w:ascii="Times New Roman" w:hAnsi="Times New Roman"/>
        </w:rPr>
        <w:t>经费保障</w:t>
      </w:r>
      <w:bookmarkEnd w:id="87"/>
    </w:p>
    <w:p w14:paraId="384D6421">
      <w:pPr>
        <w:pStyle w:val="21"/>
        <w:rPr>
          <w:rFonts w:ascii="Times New Roman" w:hAnsi="Times New Roman"/>
          <w:color w:val="auto"/>
        </w:rPr>
      </w:pPr>
      <w:r>
        <w:rPr>
          <w:rFonts w:hint="eastAsia" w:ascii="Times New Roman" w:hAnsi="Times New Roman"/>
          <w:color w:val="auto"/>
        </w:rPr>
        <w:t>地表水水源地突发环境事件应急处置所需经费首先由事件责任单位承担。区指挥部办公室及各成员单位根据地表水水源地突发环境事件应急需要，提出应急能力、装备建设和培训、演练等项目经费预算，由区指挥部办公室向区人民政府提出申请，区人民政府批转区财政局提出意见后，报区人民政府批准后执行，确保遇到地表水水源地突发环境事件及时拨付到位，对地表水水源地突发环境事件应急处置工作提供资金保障。</w:t>
      </w:r>
    </w:p>
    <w:p w14:paraId="213DA2F1">
      <w:pPr>
        <w:pStyle w:val="21"/>
        <w:rPr>
          <w:rFonts w:ascii="Times New Roman" w:hAnsi="Times New Roman"/>
          <w:color w:val="auto"/>
        </w:rPr>
      </w:pPr>
      <w:r>
        <w:rPr>
          <w:rFonts w:hint="eastAsia" w:ascii="Times New Roman" w:hAnsi="Times New Roman"/>
          <w:color w:val="auto"/>
        </w:rPr>
        <w:t>区财政局对地表水水源地突发环境事件财政应急保障资金的使用进行监督检查和绩效管理。</w:t>
      </w:r>
    </w:p>
    <w:p w14:paraId="7A2267B5">
      <w:pPr>
        <w:pStyle w:val="18"/>
        <w:rPr>
          <w:rFonts w:ascii="Times New Roman" w:hAnsi="Times New Roman"/>
        </w:rPr>
      </w:pPr>
      <w:bookmarkStart w:id="88" w:name="_Toc213690735"/>
      <w:r>
        <w:rPr>
          <w:rFonts w:hint="eastAsia" w:ascii="Times New Roman" w:hAnsi="Times New Roman"/>
        </w:rPr>
        <w:t>5</w:t>
      </w:r>
      <w:r>
        <w:rPr>
          <w:rFonts w:ascii="Times New Roman" w:hAnsi="Times New Roman"/>
        </w:rPr>
        <w:t>.5</w:t>
      </w:r>
      <w:r>
        <w:rPr>
          <w:rFonts w:hint="eastAsia" w:ascii="Times New Roman" w:hAnsi="Times New Roman"/>
        </w:rPr>
        <w:t>其他保障</w:t>
      </w:r>
      <w:bookmarkEnd w:id="88"/>
    </w:p>
    <w:p w14:paraId="03097BAC">
      <w:pPr>
        <w:pStyle w:val="23"/>
        <w:rPr>
          <w:rFonts w:ascii="Times New Roman" w:hAnsi="Times New Roman"/>
        </w:rPr>
      </w:pPr>
      <w:bookmarkStart w:id="89" w:name="_Toc213690736"/>
      <w:r>
        <w:rPr>
          <w:rFonts w:ascii="Times New Roman" w:hAnsi="Times New Roman"/>
        </w:rPr>
        <w:t>5.5.1物资、设备设施运输保障</w:t>
      </w:r>
      <w:bookmarkEnd w:id="89"/>
    </w:p>
    <w:p w14:paraId="24FA92F5">
      <w:pPr>
        <w:pStyle w:val="21"/>
        <w:rPr>
          <w:rFonts w:ascii="Times New Roman" w:hAnsi="Times New Roman"/>
          <w:color w:val="auto"/>
        </w:rPr>
      </w:pPr>
      <w:r>
        <w:rPr>
          <w:rFonts w:hint="eastAsia" w:ascii="Times New Roman" w:hAnsi="Times New Roman"/>
          <w:color w:val="auto"/>
        </w:rPr>
        <w:t>区交通运输局根据应急指挥部的指令，负责保证应急处置状态下应急处置物资和设备设施的运输保障，应急交通工具优先安排、优先调度。公安部门负责保障道路畅通，必要时，依法对相关区域道路采取交通管制，确保应急物资、器材和人员及时到位，满足应急处置工作需要。</w:t>
      </w:r>
    </w:p>
    <w:p w14:paraId="780382D6">
      <w:pPr>
        <w:pStyle w:val="21"/>
        <w:rPr>
          <w:rFonts w:ascii="Times New Roman" w:hAnsi="Times New Roman"/>
          <w:color w:val="auto"/>
        </w:rPr>
      </w:pPr>
      <w:r>
        <w:rPr>
          <w:rFonts w:hint="eastAsia" w:ascii="Times New Roman" w:hAnsi="Times New Roman"/>
          <w:color w:val="auto"/>
        </w:rPr>
        <w:t>区消防大队根据应急指挥部的指令，负责协助清理现场，调配消防车辆向供水重点保障区域和缺水区域应急送水。</w:t>
      </w:r>
    </w:p>
    <w:p w14:paraId="72184842">
      <w:pPr>
        <w:pStyle w:val="23"/>
        <w:rPr>
          <w:rFonts w:ascii="Times New Roman" w:hAnsi="Times New Roman"/>
        </w:rPr>
      </w:pPr>
      <w:bookmarkStart w:id="90" w:name="_Toc213690737"/>
      <w:r>
        <w:rPr>
          <w:rFonts w:ascii="Times New Roman" w:hAnsi="Times New Roman"/>
        </w:rPr>
        <w:t>5.5.2医疗卫生救助保障</w:t>
      </w:r>
      <w:bookmarkEnd w:id="90"/>
    </w:p>
    <w:p w14:paraId="18BBF908">
      <w:pPr>
        <w:pStyle w:val="21"/>
        <w:rPr>
          <w:rFonts w:ascii="Times New Roman" w:hAnsi="Times New Roman"/>
          <w:color w:val="auto"/>
        </w:rPr>
      </w:pPr>
      <w:r>
        <w:rPr>
          <w:rFonts w:hint="eastAsia" w:ascii="Times New Roman" w:hAnsi="Times New Roman"/>
          <w:color w:val="auto"/>
        </w:rPr>
        <w:t>区卫体局负责完善应急救援机制，储备医疗救治、检测检验等卫生应急物资。主要负责对供水单位的卫生监督；开展水源水、出厂水、管网末梢水、二次供水的水质监测；对发生突发环境事件造成的人员中毒、伤亡及时组织医疗急救。</w:t>
      </w:r>
    </w:p>
    <w:p w14:paraId="7A8EA80D">
      <w:pPr>
        <w:pStyle w:val="23"/>
        <w:rPr>
          <w:rFonts w:ascii="Times New Roman" w:hAnsi="Times New Roman" w:cs="Times New Roman"/>
        </w:rPr>
      </w:pPr>
      <w:bookmarkStart w:id="91" w:name="_Toc213690738"/>
      <w:r>
        <w:rPr>
          <w:rFonts w:ascii="Times New Roman" w:hAnsi="Times New Roman" w:cs="Times New Roman"/>
        </w:rPr>
        <w:t>5.5.3治安和人员安全保障</w:t>
      </w:r>
      <w:bookmarkEnd w:id="91"/>
    </w:p>
    <w:p w14:paraId="5E6816D5">
      <w:pPr>
        <w:pStyle w:val="21"/>
        <w:rPr>
          <w:rFonts w:ascii="Times New Roman" w:hAnsi="Times New Roman"/>
          <w:color w:val="auto"/>
        </w:rPr>
      </w:pPr>
      <w:r>
        <w:rPr>
          <w:rFonts w:hint="eastAsia" w:ascii="Times New Roman" w:hAnsi="Times New Roman"/>
          <w:color w:val="auto"/>
        </w:rPr>
        <w:t>发生饮用水源地突发环境事件时，区公安分局根据现场应急指挥部指令，依据相关规定实施治安维护工作，及时做好人员疏散、现场控制、交通管制等工作，采取有力措施防止不法人员趁乱抢劫、盗窃或哄抢财物，依法打击破坏社会秩序的行为，维护社会稳定。</w:t>
      </w:r>
    </w:p>
    <w:p w14:paraId="27003C5D">
      <w:pPr>
        <w:pStyle w:val="21"/>
        <w:rPr>
          <w:rFonts w:ascii="Times New Roman" w:hAnsi="Times New Roman"/>
          <w:color w:val="auto"/>
        </w:rPr>
      </w:pPr>
      <w:r>
        <w:rPr>
          <w:rFonts w:hint="eastAsia" w:ascii="Times New Roman" w:hAnsi="Times New Roman"/>
          <w:color w:val="auto"/>
        </w:rPr>
        <w:t>区应急管理局根据现场应急指挥部的指令，组织协调受灾群众的安置和救助工作，并指导相关部门向群众分发救灾物资。</w:t>
      </w:r>
    </w:p>
    <w:p w14:paraId="35BADB77">
      <w:pPr>
        <w:pStyle w:val="21"/>
        <w:rPr>
          <w:rFonts w:ascii="Times New Roman" w:hAnsi="Times New Roman"/>
          <w:color w:val="auto"/>
        </w:rPr>
      </w:pPr>
      <w:r>
        <w:rPr>
          <w:rFonts w:hint="eastAsia" w:ascii="Times New Roman" w:hAnsi="Times New Roman"/>
          <w:color w:val="auto"/>
        </w:rPr>
        <w:t>现场处置人员应根据事件特征，配置相应的专业防护装备，采取安全防护措施，严格执行应急处置程序。</w:t>
      </w:r>
    </w:p>
    <w:p w14:paraId="74820E66">
      <w:pPr>
        <w:pStyle w:val="23"/>
        <w:rPr>
          <w:rFonts w:ascii="Times New Roman" w:hAnsi="Times New Roman"/>
        </w:rPr>
      </w:pPr>
      <w:bookmarkStart w:id="92" w:name="_Toc213690739"/>
      <w:r>
        <w:rPr>
          <w:rFonts w:ascii="Times New Roman" w:hAnsi="Times New Roman"/>
        </w:rPr>
        <w:t>5.5.4社会动员保障</w:t>
      </w:r>
      <w:bookmarkEnd w:id="92"/>
    </w:p>
    <w:p w14:paraId="468DB5B8">
      <w:pPr>
        <w:pStyle w:val="21"/>
        <w:rPr>
          <w:rFonts w:ascii="Times New Roman" w:hAnsi="Times New Roman"/>
          <w:color w:val="auto"/>
        </w:rPr>
        <w:sectPr>
          <w:pgSz w:w="11906" w:h="16838"/>
          <w:pgMar w:top="1440" w:right="1701" w:bottom="1440" w:left="1701" w:header="851" w:footer="992" w:gutter="0"/>
          <w:cols w:space="425" w:num="1"/>
          <w:docGrid w:type="lines" w:linePitch="312" w:charSpace="0"/>
        </w:sectPr>
      </w:pPr>
      <w:r>
        <w:rPr>
          <w:rFonts w:hint="eastAsia" w:ascii="Times New Roman" w:hAnsi="Times New Roman"/>
          <w:color w:val="auto"/>
        </w:rPr>
        <w:t>事发地各乡镇政府制定社会动员方案，明确动员的条件、范围、程序和相关的保障措施，运用各种形式，将水源地突发环境事件发生和影响范围内的对象动员起来，共同参与和配合水源地突发环境事件的应急处置。</w:t>
      </w:r>
    </w:p>
    <w:p w14:paraId="5C836FC9">
      <w:pPr>
        <w:pStyle w:val="17"/>
        <w:rPr>
          <w:rFonts w:ascii="Times New Roman" w:hAnsi="Times New Roman"/>
        </w:rPr>
      </w:pPr>
      <w:bookmarkStart w:id="93" w:name="_Toc213690740"/>
      <w:r>
        <w:rPr>
          <w:rFonts w:ascii="Times New Roman" w:hAnsi="Times New Roman"/>
        </w:rPr>
        <w:t>6</w:t>
      </w:r>
      <w:r>
        <w:rPr>
          <w:rFonts w:hint="eastAsia" w:ascii="Times New Roman" w:hAnsi="Times New Roman"/>
        </w:rPr>
        <w:t>附则</w:t>
      </w:r>
      <w:bookmarkEnd w:id="93"/>
    </w:p>
    <w:p w14:paraId="65487D10">
      <w:pPr>
        <w:pStyle w:val="18"/>
        <w:rPr>
          <w:rFonts w:ascii="Times New Roman" w:hAnsi="Times New Roman"/>
        </w:rPr>
      </w:pPr>
      <w:bookmarkStart w:id="94" w:name="_Toc213690741"/>
      <w:r>
        <w:rPr>
          <w:rFonts w:hint="eastAsia" w:ascii="Times New Roman" w:hAnsi="Times New Roman"/>
        </w:rPr>
        <w:t>6</w:t>
      </w:r>
      <w:r>
        <w:rPr>
          <w:rFonts w:ascii="Times New Roman" w:hAnsi="Times New Roman"/>
        </w:rPr>
        <w:t>.1</w:t>
      </w:r>
      <w:r>
        <w:rPr>
          <w:rFonts w:hint="eastAsia" w:ascii="Times New Roman" w:hAnsi="Times New Roman"/>
        </w:rPr>
        <w:t>名词术语</w:t>
      </w:r>
      <w:bookmarkEnd w:id="94"/>
    </w:p>
    <w:p w14:paraId="5514C890">
      <w:pPr>
        <w:pStyle w:val="21"/>
        <w:rPr>
          <w:rFonts w:ascii="Times New Roman" w:hAnsi="Times New Roman"/>
          <w:color w:val="auto"/>
        </w:rPr>
      </w:pPr>
      <w:r>
        <w:rPr>
          <w:rFonts w:ascii="Times New Roman" w:hAnsi="Times New Roman"/>
          <w:color w:val="auto"/>
        </w:rPr>
        <w:t>1</w:t>
      </w:r>
      <w:r>
        <w:rPr>
          <w:rFonts w:hint="eastAsia" w:ascii="Times New Roman" w:hAnsi="Times New Roman"/>
          <w:color w:val="auto"/>
        </w:rPr>
        <w:t>、</w:t>
      </w:r>
      <w:r>
        <w:rPr>
          <w:rFonts w:ascii="Times New Roman" w:hAnsi="Times New Roman"/>
          <w:color w:val="auto"/>
        </w:rPr>
        <w:t>集中式地表水饮用水水源地</w:t>
      </w:r>
    </w:p>
    <w:p w14:paraId="68142879">
      <w:pPr>
        <w:pStyle w:val="21"/>
        <w:rPr>
          <w:rFonts w:ascii="Times New Roman" w:hAnsi="Times New Roman"/>
          <w:color w:val="auto"/>
        </w:rPr>
      </w:pPr>
      <w:r>
        <w:rPr>
          <w:rFonts w:hint="eastAsia" w:ascii="Times New Roman" w:hAnsi="Times New Roman"/>
          <w:color w:val="auto"/>
        </w:rPr>
        <w:t>指进入输水管网、送到用户且具有一定取水规模</w:t>
      </w:r>
      <w:r>
        <w:rPr>
          <w:rFonts w:ascii="Times New Roman" w:hAnsi="Times New Roman"/>
          <w:color w:val="auto"/>
        </w:rPr>
        <w:t>（供水人口般大于 1000人）的在用、备用和规划的地表水饮用水水源地依据取水口所在水体类型不同，可分为河流型水源地和湖泊（水库）型水源地。</w:t>
      </w:r>
    </w:p>
    <w:p w14:paraId="20067408">
      <w:pPr>
        <w:pStyle w:val="21"/>
        <w:rPr>
          <w:rFonts w:ascii="Times New Roman" w:hAnsi="Times New Roman"/>
          <w:color w:val="auto"/>
        </w:rPr>
      </w:pPr>
      <w:r>
        <w:rPr>
          <w:rFonts w:ascii="Times New Roman" w:hAnsi="Times New Roman"/>
          <w:color w:val="auto"/>
        </w:rPr>
        <w:t>2</w:t>
      </w:r>
      <w:r>
        <w:rPr>
          <w:rFonts w:hint="eastAsia" w:ascii="Times New Roman" w:hAnsi="Times New Roman"/>
          <w:color w:val="auto"/>
        </w:rPr>
        <w:t>、</w:t>
      </w:r>
      <w:r>
        <w:rPr>
          <w:rFonts w:ascii="Times New Roman" w:hAnsi="Times New Roman"/>
          <w:color w:val="auto"/>
        </w:rPr>
        <w:t>饮用水水源保护区</w:t>
      </w:r>
    </w:p>
    <w:p w14:paraId="2CBCBFEB">
      <w:pPr>
        <w:pStyle w:val="21"/>
        <w:rPr>
          <w:rFonts w:ascii="Times New Roman" w:hAnsi="Times New Roman"/>
          <w:color w:val="auto"/>
        </w:rPr>
      </w:pPr>
      <w:r>
        <w:rPr>
          <w:rFonts w:hint="eastAsia" w:ascii="Times New Roman" w:hAnsi="Times New Roman"/>
          <w:color w:val="auto"/>
        </w:rPr>
        <w:t>指国家为防治饮用水水源地污染、保障水源地环境质量而划定，并要求加以特殊保护的一定面积的水域和陆域。饮用水水源保护区</w:t>
      </w:r>
      <w:r>
        <w:rPr>
          <w:rFonts w:ascii="Times New Roman" w:hAnsi="Times New Roman"/>
          <w:color w:val="auto"/>
        </w:rPr>
        <w:t>（以下简称水源保护区）分为一级保护区和二级保护区，必要时可在水源保护区外划定准保护区。</w:t>
      </w:r>
    </w:p>
    <w:p w14:paraId="5CE01F2D">
      <w:pPr>
        <w:pStyle w:val="21"/>
        <w:rPr>
          <w:rFonts w:ascii="Times New Roman" w:hAnsi="Times New Roman"/>
          <w:color w:val="auto"/>
        </w:rPr>
      </w:pPr>
      <w:r>
        <w:rPr>
          <w:rFonts w:ascii="Times New Roman" w:hAnsi="Times New Roman"/>
          <w:color w:val="auto"/>
        </w:rPr>
        <w:t>3</w:t>
      </w:r>
      <w:r>
        <w:rPr>
          <w:rFonts w:hint="eastAsia" w:ascii="Times New Roman" w:hAnsi="Times New Roman"/>
          <w:color w:val="auto"/>
        </w:rPr>
        <w:t>、</w:t>
      </w:r>
      <w:r>
        <w:rPr>
          <w:rFonts w:ascii="Times New Roman" w:hAnsi="Times New Roman"/>
          <w:color w:val="auto"/>
        </w:rPr>
        <w:t>地表水饮用水水源地风险物质（以下简称水源地风险物质）</w:t>
      </w:r>
    </w:p>
    <w:p w14:paraId="251F3BC8">
      <w:pPr>
        <w:pStyle w:val="21"/>
        <w:rPr>
          <w:rFonts w:ascii="Times New Roman" w:hAnsi="Times New Roman"/>
          <w:color w:val="auto"/>
        </w:rPr>
      </w:pPr>
      <w:r>
        <w:rPr>
          <w:rFonts w:hint="eastAsia" w:ascii="Times New Roman" w:hAnsi="Times New Roman"/>
          <w:color w:val="auto"/>
        </w:rPr>
        <w:t>指《地表水环境质量标准》中表</w:t>
      </w:r>
      <w:r>
        <w:rPr>
          <w:rFonts w:ascii="Times New Roman" w:hAnsi="Times New Roman"/>
          <w:color w:val="auto"/>
        </w:rPr>
        <w:t>1、表2和表3所包含的项目</w:t>
      </w:r>
      <w:r>
        <w:rPr>
          <w:rFonts w:hint="eastAsia" w:ascii="Times New Roman" w:hAnsi="Times New Roman"/>
          <w:color w:val="auto"/>
        </w:rPr>
        <w:t>与物质，以及该标准之外其他可能影响人体健康的项目与物质。</w:t>
      </w:r>
    </w:p>
    <w:p w14:paraId="2E546F74">
      <w:pPr>
        <w:pStyle w:val="21"/>
        <w:rPr>
          <w:rFonts w:ascii="Times New Roman" w:hAnsi="Times New Roman"/>
          <w:color w:val="auto"/>
        </w:rPr>
      </w:pPr>
      <w:r>
        <w:rPr>
          <w:rFonts w:ascii="Times New Roman" w:hAnsi="Times New Roman"/>
          <w:color w:val="auto"/>
        </w:rPr>
        <w:t>4</w:t>
      </w:r>
      <w:r>
        <w:rPr>
          <w:rFonts w:hint="eastAsia" w:ascii="Times New Roman" w:hAnsi="Times New Roman"/>
          <w:color w:val="auto"/>
        </w:rPr>
        <w:t>、</w:t>
      </w:r>
      <w:r>
        <w:rPr>
          <w:rFonts w:ascii="Times New Roman" w:hAnsi="Times New Roman"/>
          <w:color w:val="auto"/>
        </w:rPr>
        <w:t>饮用水水源地突发环境事件（以下简称水源地突发环境事件）</w:t>
      </w:r>
    </w:p>
    <w:p w14:paraId="54B833D9">
      <w:pPr>
        <w:pStyle w:val="21"/>
        <w:rPr>
          <w:rFonts w:ascii="Times New Roman" w:hAnsi="Times New Roman"/>
          <w:color w:val="auto"/>
        </w:rPr>
      </w:pPr>
      <w:r>
        <w:rPr>
          <w:rFonts w:hint="eastAsia" w:ascii="Times New Roman" w:hAnsi="Times New Roman"/>
          <w:color w:val="auto"/>
        </w:rPr>
        <w:t>指由于污染物排放或自然灾害、生产安全事故、交通运输事故等因素，导致水源地风险物质进入水源保护区或其上游的连接水体，突然造成或可能造成水源地水质超标，影响或可能影响饮用水供水单位</w:t>
      </w:r>
      <w:r>
        <w:rPr>
          <w:rFonts w:ascii="Times New Roman" w:hAnsi="Times New Roman"/>
          <w:color w:val="auto"/>
        </w:rPr>
        <w:t>（以下简称供水单位）正常取水，危及公众身体健康和财产安全，需要采取紧急措施予以应对的事件。</w:t>
      </w:r>
    </w:p>
    <w:p w14:paraId="6FE84A02">
      <w:pPr>
        <w:pStyle w:val="21"/>
        <w:rPr>
          <w:rFonts w:ascii="Times New Roman" w:hAnsi="Times New Roman"/>
          <w:color w:val="auto"/>
        </w:rPr>
      </w:pPr>
      <w:r>
        <w:rPr>
          <w:rFonts w:ascii="Times New Roman" w:hAnsi="Times New Roman"/>
          <w:color w:val="auto"/>
        </w:rPr>
        <w:t>5</w:t>
      </w:r>
      <w:r>
        <w:rPr>
          <w:rFonts w:hint="eastAsia" w:ascii="Times New Roman" w:hAnsi="Times New Roman"/>
          <w:color w:val="auto"/>
        </w:rPr>
        <w:t>、</w:t>
      </w:r>
      <w:r>
        <w:rPr>
          <w:rFonts w:ascii="Times New Roman" w:hAnsi="Times New Roman"/>
          <w:color w:val="auto"/>
        </w:rPr>
        <w:t>水质超标</w:t>
      </w:r>
    </w:p>
    <w:p w14:paraId="5016E4EB">
      <w:pPr>
        <w:pStyle w:val="21"/>
        <w:rPr>
          <w:rFonts w:ascii="Times New Roman" w:hAnsi="Times New Roman"/>
          <w:color w:val="auto"/>
        </w:rPr>
      </w:pPr>
      <w:r>
        <w:rPr>
          <w:rFonts w:hint="eastAsia" w:ascii="Times New Roman" w:hAnsi="Times New Roman"/>
          <w:color w:val="auto"/>
        </w:rPr>
        <w:t>指水源地水质超过《地表水环境质量标准》规定的类水质标准或标准限值的要求。</w:t>
      </w:r>
    </w:p>
    <w:p w14:paraId="6A945190">
      <w:pPr>
        <w:pStyle w:val="21"/>
        <w:rPr>
          <w:rFonts w:ascii="Times New Roman" w:hAnsi="Times New Roman"/>
          <w:color w:val="auto"/>
        </w:rPr>
      </w:pPr>
      <w:r>
        <w:rPr>
          <w:rFonts w:hint="eastAsia" w:ascii="Times New Roman" w:hAnsi="Times New Roman"/>
          <w:color w:val="auto"/>
        </w:rPr>
        <w:t>《地表水环境质量标准》未包括的项目，可根据物质本身的危害特性和有关供水单位的净化能力，参考国外有关标准</w:t>
      </w:r>
      <w:r>
        <w:rPr>
          <w:rFonts w:ascii="Times New Roman" w:hAnsi="Times New Roman"/>
          <w:color w:val="auto"/>
        </w:rPr>
        <w:t>（如世界卫生组织、美国环境保护署等）规定的浓度值，由市、</w:t>
      </w:r>
      <w:r>
        <w:rPr>
          <w:rFonts w:hint="eastAsia" w:ascii="Times New Roman" w:hAnsi="Times New Roman"/>
          <w:color w:val="auto"/>
        </w:rPr>
        <w:t>区（</w:t>
      </w:r>
      <w:r>
        <w:rPr>
          <w:rFonts w:ascii="Times New Roman" w:hAnsi="Times New Roman"/>
          <w:color w:val="auto"/>
        </w:rPr>
        <w:t>县</w:t>
      </w:r>
      <w:r>
        <w:rPr>
          <w:rFonts w:hint="eastAsia" w:ascii="Times New Roman" w:hAnsi="Times New Roman"/>
          <w:color w:val="auto"/>
        </w:rPr>
        <w:t>）</w:t>
      </w:r>
      <w:r>
        <w:rPr>
          <w:rFonts w:ascii="Times New Roman" w:hAnsi="Times New Roman"/>
          <w:color w:val="auto"/>
        </w:rPr>
        <w:t>级人民政府组织有关部门会商或依据应急专家组意见确定。</w:t>
      </w:r>
    </w:p>
    <w:p w14:paraId="57C55628">
      <w:pPr>
        <w:pStyle w:val="21"/>
        <w:rPr>
          <w:rFonts w:ascii="Times New Roman" w:hAnsi="Times New Roman"/>
          <w:color w:val="auto"/>
        </w:rPr>
      </w:pPr>
      <w:r>
        <w:rPr>
          <w:rFonts w:ascii="Times New Roman" w:hAnsi="Times New Roman"/>
          <w:color w:val="auto"/>
        </w:rPr>
        <w:t>6</w:t>
      </w:r>
      <w:r>
        <w:rPr>
          <w:rFonts w:hint="eastAsia" w:ascii="Times New Roman" w:hAnsi="Times New Roman"/>
          <w:color w:val="auto"/>
        </w:rPr>
        <w:t>、突发环境事件</w:t>
      </w:r>
    </w:p>
    <w:p w14:paraId="75CF7ABC">
      <w:pPr>
        <w:pStyle w:val="21"/>
        <w:rPr>
          <w:rFonts w:ascii="Times New Roman" w:hAnsi="Times New Roman"/>
          <w:color w:val="auto"/>
        </w:rPr>
      </w:pPr>
      <w:r>
        <w:rPr>
          <w:rFonts w:hint="eastAsia" w:ascii="Times New Roman" w:hAnsi="Times New Roman"/>
          <w:color w:val="auto"/>
        </w:rPr>
        <w:t>固定风险源突发环境事件：</w:t>
      </w:r>
      <w:r>
        <w:rPr>
          <w:rFonts w:ascii="Times New Roman" w:hAnsi="Times New Roman"/>
          <w:color w:val="auto"/>
        </w:rPr>
        <w:t>可能发生突发环境事件的排放污染物企业事业单位，生产、储存、运输、使用危险化学品的企业，产生、收集、贮存、运输、利用、处置危险废物的企业，以及尾矿库等固定源，因自然灾害、生产安全事故、违法排污等原因：导致水源地风险物质直接或间接排入水源保护区或其上游连接水体，造成水质污染的事件。</w:t>
      </w:r>
    </w:p>
    <w:p w14:paraId="5A2AF929">
      <w:pPr>
        <w:pStyle w:val="21"/>
        <w:rPr>
          <w:rFonts w:ascii="Times New Roman" w:hAnsi="Times New Roman"/>
          <w:color w:val="auto"/>
        </w:rPr>
      </w:pPr>
      <w:r>
        <w:rPr>
          <w:rFonts w:hint="eastAsia" w:ascii="Times New Roman" w:hAnsi="Times New Roman"/>
          <w:color w:val="auto"/>
        </w:rPr>
        <w:t>流动源突发环境事件：</w:t>
      </w:r>
      <w:r>
        <w:rPr>
          <w:rFonts w:ascii="Times New Roman" w:hAnsi="Times New Roman"/>
          <w:color w:val="auto"/>
        </w:rPr>
        <w:t>在公路或水路运输过程中，由于交通事故等原因，导致油品、化学品或其他有毒有害物质进入水源保护区或其上游连接水体，造成水质污染的事件。</w:t>
      </w:r>
    </w:p>
    <w:p w14:paraId="113C254B">
      <w:pPr>
        <w:pStyle w:val="21"/>
        <w:rPr>
          <w:rFonts w:ascii="Times New Roman" w:hAnsi="Times New Roman"/>
          <w:color w:val="auto"/>
        </w:rPr>
      </w:pPr>
      <w:r>
        <w:rPr>
          <w:rFonts w:hint="eastAsia" w:ascii="Times New Roman" w:hAnsi="Times New Roman"/>
          <w:color w:val="auto"/>
        </w:rPr>
        <w:t>非点源风险源突发环境事件：</w:t>
      </w:r>
      <w:r>
        <w:rPr>
          <w:rFonts w:ascii="Times New Roman" w:hAnsi="Times New Roman"/>
          <w:color w:val="auto"/>
        </w:rPr>
        <w:t>一是暴雨冲刷畜禽养殖废物农田或果园土壤，导致大量细菌、农药、化肥等随地表或地下径流进入水源保护区或其上游连接水体，造成水质污染的事件</w:t>
      </w:r>
      <w:r>
        <w:rPr>
          <w:rFonts w:hint="eastAsia" w:ascii="Times New Roman" w:hAnsi="Times New Roman"/>
          <w:color w:val="auto"/>
        </w:rPr>
        <w:t>。</w:t>
      </w:r>
    </w:p>
    <w:p w14:paraId="5466FEB7">
      <w:pPr>
        <w:pStyle w:val="21"/>
        <w:rPr>
          <w:rFonts w:ascii="Times New Roman" w:hAnsi="Times New Roman"/>
          <w:color w:val="auto"/>
        </w:rPr>
      </w:pPr>
      <w:r>
        <w:rPr>
          <w:rFonts w:hint="eastAsia" w:ascii="Times New Roman" w:hAnsi="Times New Roman"/>
          <w:color w:val="auto"/>
        </w:rPr>
        <w:t>水华灾害突发环境事件：</w:t>
      </w:r>
      <w:r>
        <w:rPr>
          <w:rFonts w:ascii="Times New Roman" w:hAnsi="Times New Roman"/>
          <w:color w:val="auto"/>
        </w:rPr>
        <w:t>封闭型或半封闭型的水域（湖泊、水库）在营养条件、水动力条件、光热条件等适宜情况下，浮游藻类大量繁殖并聚集，使得水体色度发生变化、水体溶氧降低藻类厌氧分解产生异味或毒性物质，导致水华灾害的事件</w:t>
      </w:r>
      <w:r>
        <w:rPr>
          <w:rFonts w:hint="eastAsia" w:ascii="Times New Roman" w:hAnsi="Times New Roman"/>
          <w:color w:val="auto"/>
        </w:rPr>
        <w:t>。</w:t>
      </w:r>
    </w:p>
    <w:p w14:paraId="5E6F453C">
      <w:pPr>
        <w:pStyle w:val="18"/>
        <w:rPr>
          <w:rFonts w:ascii="Times New Roman" w:hAnsi="Times New Roman"/>
        </w:rPr>
      </w:pPr>
      <w:bookmarkStart w:id="95" w:name="_Toc213690742"/>
      <w:r>
        <w:rPr>
          <w:rFonts w:hint="eastAsia" w:ascii="Times New Roman" w:hAnsi="Times New Roman"/>
        </w:rPr>
        <w:t>6</w:t>
      </w:r>
      <w:r>
        <w:rPr>
          <w:rFonts w:ascii="Times New Roman" w:hAnsi="Times New Roman"/>
        </w:rPr>
        <w:t>.2</w:t>
      </w:r>
      <w:r>
        <w:rPr>
          <w:rFonts w:hint="eastAsia" w:ascii="Times New Roman" w:hAnsi="Times New Roman"/>
        </w:rPr>
        <w:t>预案解释权属</w:t>
      </w:r>
      <w:bookmarkEnd w:id="95"/>
    </w:p>
    <w:p w14:paraId="4BDF9328">
      <w:pPr>
        <w:pStyle w:val="21"/>
        <w:rPr>
          <w:rFonts w:ascii="Times New Roman" w:hAnsi="Times New Roman"/>
          <w:color w:val="auto"/>
        </w:rPr>
      </w:pPr>
      <w:r>
        <w:rPr>
          <w:rFonts w:hint="eastAsia" w:ascii="Times New Roman" w:hAnsi="Times New Roman"/>
          <w:color w:val="auto"/>
        </w:rPr>
        <w:t>本预案由大同市生态环境局云冈分局负责解释。</w:t>
      </w:r>
    </w:p>
    <w:p w14:paraId="616B3412">
      <w:pPr>
        <w:pStyle w:val="18"/>
        <w:rPr>
          <w:rFonts w:ascii="Times New Roman" w:hAnsi="Times New Roman"/>
        </w:rPr>
      </w:pPr>
      <w:bookmarkStart w:id="96" w:name="_Toc213690743"/>
      <w:r>
        <w:rPr>
          <w:rFonts w:hint="eastAsia" w:ascii="Times New Roman" w:hAnsi="Times New Roman"/>
        </w:rPr>
        <w:t>6</w:t>
      </w:r>
      <w:r>
        <w:rPr>
          <w:rFonts w:ascii="Times New Roman" w:hAnsi="Times New Roman"/>
        </w:rPr>
        <w:t>.3</w:t>
      </w:r>
      <w:r>
        <w:rPr>
          <w:rFonts w:hint="eastAsia" w:ascii="Times New Roman" w:hAnsi="Times New Roman"/>
        </w:rPr>
        <w:t>预案演练和修订</w:t>
      </w:r>
      <w:bookmarkEnd w:id="96"/>
    </w:p>
    <w:p w14:paraId="0B3E861D">
      <w:pPr>
        <w:pStyle w:val="23"/>
        <w:rPr>
          <w:rFonts w:ascii="Times New Roman" w:hAnsi="Times New Roman"/>
        </w:rPr>
      </w:pPr>
      <w:bookmarkStart w:id="97" w:name="_Toc213690744"/>
      <w:r>
        <w:rPr>
          <w:rFonts w:ascii="Times New Roman" w:hAnsi="Times New Roman"/>
        </w:rPr>
        <w:t>6.3.1演练分类</w:t>
      </w:r>
      <w:bookmarkEnd w:id="97"/>
    </w:p>
    <w:p w14:paraId="199BA1E8">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w:t>
      </w:r>
      <w:r>
        <w:rPr>
          <w:rFonts w:hint="eastAsia" w:ascii="Times New Roman" w:hAnsi="Times New Roman"/>
          <w:color w:val="auto"/>
        </w:rPr>
        <w:t>）综合</w:t>
      </w:r>
      <w:r>
        <w:rPr>
          <w:rFonts w:ascii="Times New Roman" w:hAnsi="Times New Roman"/>
          <w:color w:val="auto"/>
        </w:rPr>
        <w:t>演练：由</w:t>
      </w:r>
      <w:r>
        <w:rPr>
          <w:rFonts w:hint="eastAsia" w:ascii="Times New Roman" w:hAnsi="Times New Roman"/>
          <w:color w:val="auto"/>
        </w:rPr>
        <w:t>区</w:t>
      </w:r>
      <w:r>
        <w:rPr>
          <w:rFonts w:ascii="Times New Roman" w:hAnsi="Times New Roman"/>
          <w:color w:val="auto"/>
        </w:rPr>
        <w:t>指挥部指挥长和各专业应急处置小组负责人分别按应急救援预案要求，以组织指挥的形式组织实施应急救援任务的演练。</w:t>
      </w:r>
    </w:p>
    <w:p w14:paraId="2A7957BE">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2）单项演练：由各专业应急处置小组各自开展的应急救援任务中的单项科目的演练；</w:t>
      </w:r>
    </w:p>
    <w:p w14:paraId="6F05AA7C">
      <w:pPr>
        <w:pStyle w:val="23"/>
        <w:rPr>
          <w:rFonts w:ascii="Times New Roman" w:hAnsi="Times New Roman"/>
        </w:rPr>
      </w:pPr>
      <w:bookmarkStart w:id="98" w:name="_Toc213690745"/>
      <w:r>
        <w:rPr>
          <w:rFonts w:ascii="Times New Roman" w:hAnsi="Times New Roman"/>
        </w:rPr>
        <w:t>6.3.2演练方式</w:t>
      </w:r>
      <w:bookmarkEnd w:id="98"/>
    </w:p>
    <w:p w14:paraId="664D6A4C">
      <w:pPr>
        <w:pStyle w:val="21"/>
        <w:rPr>
          <w:rFonts w:ascii="Times New Roman" w:hAnsi="Times New Roman"/>
          <w:color w:val="auto"/>
        </w:rPr>
      </w:pPr>
      <w:r>
        <w:rPr>
          <w:rFonts w:hint="eastAsia" w:ascii="Times New Roman" w:hAnsi="Times New Roman"/>
          <w:color w:val="auto"/>
        </w:rPr>
        <w:t>结合实际情况，在确保演练效果的前提下，可采取多种形式，如推演、实战等。</w:t>
      </w:r>
    </w:p>
    <w:p w14:paraId="23C90FEC">
      <w:pPr>
        <w:pStyle w:val="23"/>
        <w:rPr>
          <w:rFonts w:ascii="Times New Roman" w:hAnsi="Times New Roman"/>
        </w:rPr>
      </w:pPr>
      <w:bookmarkStart w:id="99" w:name="_Toc213690746"/>
      <w:r>
        <w:rPr>
          <w:rFonts w:ascii="Times New Roman" w:hAnsi="Times New Roman"/>
        </w:rPr>
        <w:t>6.3.3演练内容</w:t>
      </w:r>
      <w:bookmarkEnd w:id="99"/>
    </w:p>
    <w:p w14:paraId="5F5E97F0">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w:t>
      </w:r>
      <w:r>
        <w:rPr>
          <w:rFonts w:hint="eastAsia" w:ascii="Times New Roman" w:hAnsi="Times New Roman"/>
          <w:color w:val="auto"/>
        </w:rPr>
        <w:t>信息报送流程；</w:t>
      </w:r>
    </w:p>
    <w:p w14:paraId="0D9AC7D7">
      <w:pPr>
        <w:pStyle w:val="21"/>
        <w:rPr>
          <w:rFonts w:ascii="Times New Roman" w:hAnsi="Times New Roman"/>
          <w:color w:val="auto"/>
        </w:rPr>
      </w:pPr>
      <w:r>
        <w:rPr>
          <w:rFonts w:hint="eastAsia" w:ascii="Times New Roman" w:hAnsi="Times New Roman"/>
          <w:color w:val="auto"/>
        </w:rPr>
        <w:t>（2）</w:t>
      </w:r>
      <w:r>
        <w:rPr>
          <w:rFonts w:ascii="Times New Roman" w:hAnsi="Times New Roman"/>
          <w:color w:val="auto"/>
        </w:rPr>
        <w:t>通信及报警信号的联络；</w:t>
      </w:r>
    </w:p>
    <w:p w14:paraId="3AC2A74B">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w:t>
      </w:r>
      <w:r>
        <w:rPr>
          <w:rFonts w:hint="eastAsia" w:ascii="Times New Roman" w:hAnsi="Times New Roman"/>
          <w:color w:val="auto"/>
        </w:rPr>
        <w:t>）</w:t>
      </w:r>
      <w:r>
        <w:rPr>
          <w:rFonts w:ascii="Times New Roman" w:hAnsi="Times New Roman"/>
          <w:color w:val="auto"/>
        </w:rPr>
        <w:t>突发环境事件现场应急处置措施；</w:t>
      </w:r>
    </w:p>
    <w:p w14:paraId="05BC4467">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4）</w:t>
      </w:r>
      <w:r>
        <w:rPr>
          <w:rFonts w:hint="eastAsia" w:ascii="Times New Roman" w:hAnsi="Times New Roman"/>
          <w:color w:val="auto"/>
        </w:rPr>
        <w:t>应急保障情况</w:t>
      </w:r>
      <w:r>
        <w:rPr>
          <w:rFonts w:ascii="Times New Roman" w:hAnsi="Times New Roman"/>
          <w:color w:val="auto"/>
        </w:rPr>
        <w:t>；</w:t>
      </w:r>
    </w:p>
    <w:p w14:paraId="4E360F34">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5）消毒及洗消处理；</w:t>
      </w:r>
    </w:p>
    <w:p w14:paraId="5CA8037C">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6）各种标志、设置警戒范围及人员控制；</w:t>
      </w:r>
    </w:p>
    <w:p w14:paraId="63FB9DF8">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7）划定的隔离区内交通控制及管理；</w:t>
      </w:r>
    </w:p>
    <w:p w14:paraId="229AEE0E">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8）污染区域内人员的疏散撤离及人员清查；</w:t>
      </w:r>
    </w:p>
    <w:p w14:paraId="7A5733F8">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9）向上级报告情况及向周边通报情况；</w:t>
      </w:r>
    </w:p>
    <w:p w14:paraId="262A2BE1">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10）事故的善后工作。</w:t>
      </w:r>
    </w:p>
    <w:p w14:paraId="1DCDCD6E">
      <w:pPr>
        <w:pStyle w:val="23"/>
        <w:rPr>
          <w:rFonts w:ascii="Times New Roman" w:hAnsi="Times New Roman"/>
        </w:rPr>
      </w:pPr>
      <w:bookmarkStart w:id="100" w:name="_Toc213690747"/>
      <w:r>
        <w:rPr>
          <w:rFonts w:ascii="Times New Roman" w:hAnsi="Times New Roman"/>
        </w:rPr>
        <w:t>6.3.4演练范围与频次</w:t>
      </w:r>
      <w:bookmarkEnd w:id="100"/>
    </w:p>
    <w:p w14:paraId="07DDFB5C">
      <w:pPr>
        <w:pStyle w:val="21"/>
        <w:rPr>
          <w:rFonts w:ascii="Times New Roman" w:hAnsi="Times New Roman"/>
          <w:color w:val="auto"/>
        </w:rPr>
      </w:pPr>
      <w:r>
        <w:rPr>
          <w:rFonts w:hint="eastAsia" w:ascii="Times New Roman" w:hAnsi="Times New Roman"/>
          <w:color w:val="auto"/>
        </w:rPr>
        <w:t>区指挥部每年至少组织一次实战演练和一次桌面推演，各专项工作组每季度至少开展一次针对本组职责的单项演练。</w:t>
      </w:r>
    </w:p>
    <w:p w14:paraId="69106290">
      <w:pPr>
        <w:pStyle w:val="23"/>
        <w:rPr>
          <w:rFonts w:ascii="Times New Roman" w:hAnsi="Times New Roman"/>
        </w:rPr>
      </w:pPr>
      <w:bookmarkStart w:id="101" w:name="_Toc213690748"/>
      <w:r>
        <w:rPr>
          <w:rFonts w:ascii="Times New Roman" w:hAnsi="Times New Roman"/>
        </w:rPr>
        <w:t>6.3.5演练</w:t>
      </w:r>
      <w:r>
        <w:rPr>
          <w:rFonts w:hint="eastAsia" w:ascii="Times New Roman" w:hAnsi="Times New Roman"/>
        </w:rPr>
        <w:t>总结评估</w:t>
      </w:r>
      <w:bookmarkEnd w:id="101"/>
    </w:p>
    <w:p w14:paraId="43527043">
      <w:pPr>
        <w:pStyle w:val="21"/>
        <w:rPr>
          <w:rFonts w:ascii="Times New Roman" w:hAnsi="Times New Roman"/>
          <w:color w:val="auto"/>
        </w:rPr>
      </w:pPr>
      <w:r>
        <w:rPr>
          <w:rFonts w:hint="eastAsia" w:ascii="Times New Roman" w:hAnsi="Times New Roman"/>
          <w:color w:val="auto"/>
        </w:rPr>
        <w:t>区指挥部和各部门经预案演练后应进行讲评和总结，及时发现事故应急救援预案中的问题，并从中找到改进的措施。</w:t>
      </w:r>
    </w:p>
    <w:p w14:paraId="619CCDF4">
      <w:pPr>
        <w:pStyle w:val="21"/>
        <w:rPr>
          <w:rFonts w:ascii="Times New Roman" w:hAnsi="Times New Roman"/>
          <w:color w:val="auto"/>
        </w:rPr>
      </w:pPr>
      <w:r>
        <w:rPr>
          <w:rFonts w:hint="eastAsia" w:ascii="Times New Roman" w:hAnsi="Times New Roman"/>
          <w:color w:val="auto"/>
        </w:rPr>
        <w:t>评估的内容有：</w:t>
      </w:r>
    </w:p>
    <w:p w14:paraId="7E244270">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1）通过演练发现的主要问题；</w:t>
      </w:r>
    </w:p>
    <w:p w14:paraId="759D6683">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2）对演练准备情况的评估；</w:t>
      </w:r>
    </w:p>
    <w:p w14:paraId="23B822FB">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3）对预案有关程序、内容的建议和改进意见；</w:t>
      </w:r>
    </w:p>
    <w:p w14:paraId="1B95B77B">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4）在训练、防护器具、抢救设置等方面的改进意见；</w:t>
      </w:r>
    </w:p>
    <w:p w14:paraId="552459E3">
      <w:pPr>
        <w:pStyle w:val="21"/>
        <w:rPr>
          <w:rFonts w:ascii="Times New Roman" w:hAnsi="Times New Roman"/>
          <w:color w:val="auto"/>
        </w:rPr>
      </w:pPr>
      <w:r>
        <w:rPr>
          <w:rFonts w:hint="eastAsia" w:ascii="Times New Roman" w:hAnsi="Times New Roman"/>
          <w:color w:val="auto"/>
        </w:rPr>
        <w:t>（</w:t>
      </w:r>
      <w:r>
        <w:rPr>
          <w:rFonts w:ascii="Times New Roman" w:hAnsi="Times New Roman"/>
          <w:color w:val="auto"/>
        </w:rPr>
        <w:t>5）对演练指挥中心的意见等。</w:t>
      </w:r>
    </w:p>
    <w:p w14:paraId="786A6D71">
      <w:pPr>
        <w:pStyle w:val="18"/>
        <w:rPr>
          <w:rFonts w:ascii="Times New Roman" w:hAnsi="Times New Roman"/>
        </w:rPr>
      </w:pPr>
      <w:bookmarkStart w:id="102" w:name="_Toc213690749"/>
      <w:r>
        <w:rPr>
          <w:rFonts w:hint="eastAsia" w:ascii="Times New Roman" w:hAnsi="Times New Roman"/>
        </w:rPr>
        <w:t>6</w:t>
      </w:r>
      <w:r>
        <w:rPr>
          <w:rFonts w:ascii="Times New Roman" w:hAnsi="Times New Roman"/>
        </w:rPr>
        <w:t>.4</w:t>
      </w:r>
      <w:r>
        <w:rPr>
          <w:rFonts w:hint="eastAsia" w:ascii="Times New Roman" w:hAnsi="Times New Roman"/>
        </w:rPr>
        <w:t>预案实施日期</w:t>
      </w:r>
      <w:bookmarkEnd w:id="102"/>
    </w:p>
    <w:p w14:paraId="44883B04">
      <w:pPr>
        <w:pStyle w:val="21"/>
        <w:rPr>
          <w:rFonts w:ascii="Times New Roman" w:hAnsi="Times New Roman"/>
          <w:color w:val="auto"/>
        </w:rPr>
      </w:pPr>
      <w:r>
        <w:rPr>
          <w:rFonts w:hint="eastAsia" w:ascii="Times New Roman" w:hAnsi="Times New Roman"/>
          <w:color w:val="auto"/>
        </w:rPr>
        <w:t>本预案自发布之日起实施，有效期3年。</w:t>
      </w:r>
    </w:p>
    <w:p w14:paraId="4B9B3CF7">
      <w:pPr>
        <w:pStyle w:val="21"/>
        <w:rPr>
          <w:rFonts w:ascii="Times New Roman" w:hAnsi="Times New Roman"/>
          <w:color w:val="auto"/>
        </w:rPr>
      </w:pPr>
    </w:p>
    <w:p w14:paraId="794555C3">
      <w:pPr>
        <w:pStyle w:val="21"/>
        <w:rPr>
          <w:rFonts w:ascii="Times New Roman" w:hAnsi="Times New Roman"/>
          <w:color w:val="auto"/>
        </w:rPr>
      </w:pPr>
    </w:p>
    <w:p w14:paraId="03FC0C5E">
      <w:pPr>
        <w:pStyle w:val="21"/>
        <w:rPr>
          <w:rFonts w:ascii="Times New Roman" w:hAnsi="Times New Roman"/>
          <w:color w:val="auto"/>
        </w:rPr>
      </w:pPr>
    </w:p>
    <w:p w14:paraId="51B58299">
      <w:pPr>
        <w:pStyle w:val="17"/>
        <w:rPr>
          <w:rFonts w:ascii="Times New Roman" w:hAnsi="Times New Roman"/>
        </w:rPr>
      </w:pPr>
    </w:p>
    <w:p w14:paraId="7D4A2255">
      <w:pPr>
        <w:pStyle w:val="17"/>
        <w:rPr>
          <w:rFonts w:ascii="Times New Roman" w:hAnsi="Times New Roman"/>
        </w:rPr>
        <w:sectPr>
          <w:pgSz w:w="11906" w:h="16838"/>
          <w:pgMar w:top="1440" w:right="1701" w:bottom="1440" w:left="1701" w:header="851" w:footer="992" w:gutter="0"/>
          <w:cols w:space="425" w:num="1"/>
          <w:docGrid w:type="lines" w:linePitch="312" w:charSpace="0"/>
        </w:sectPr>
      </w:pPr>
    </w:p>
    <w:p w14:paraId="15BDEEC0">
      <w:pPr>
        <w:pStyle w:val="23"/>
        <w:rPr>
          <w:rFonts w:ascii="Times New Roman" w:hAnsi="Times New Roman"/>
        </w:rPr>
      </w:pPr>
      <w:bookmarkStart w:id="103" w:name="_Toc213690750"/>
      <w:bookmarkStart w:id="104" w:name="_Toc199509456"/>
      <w:bookmarkStart w:id="105" w:name="_Toc186731099"/>
      <w:r>
        <w:rPr>
          <w:rFonts w:hint="eastAsia" w:ascii="Times New Roman" w:hAnsi="Times New Roman"/>
        </w:rPr>
        <w:t>附件1</w:t>
      </w:r>
      <w:bookmarkEnd w:id="103"/>
      <w:bookmarkEnd w:id="104"/>
      <w:bookmarkEnd w:id="105"/>
      <w:r>
        <w:rPr>
          <w:rFonts w:ascii="Times New Roman" w:hAnsi="Times New Roman"/>
        </w:rPr>
        <w:t xml:space="preserve"> </w:t>
      </w:r>
    </w:p>
    <w:p w14:paraId="61AAF9B7">
      <w:pPr>
        <w:pStyle w:val="27"/>
        <w:rPr>
          <w:rFonts w:ascii="Times New Roman" w:hAnsi="Times New Roman"/>
          <w:color w:val="auto"/>
        </w:rPr>
      </w:pPr>
      <w:r>
        <w:rPr>
          <w:rFonts w:hint="eastAsia" w:ascii="Times New Roman" w:hAnsi="Times New Roman"/>
          <w:color w:val="auto"/>
        </w:rPr>
        <w:t>大同市云冈区集中式地表水源地突发环境事件应急响应流程</w:t>
      </w:r>
    </w:p>
    <w:p w14:paraId="63E09585">
      <w:pPr>
        <w:pStyle w:val="21"/>
        <w:spacing w:line="240" w:lineRule="auto"/>
        <w:ind w:firstLine="0"/>
        <w:jc w:val="center"/>
        <w:rPr>
          <w:rFonts w:ascii="Times New Roman" w:hAnsi="Times New Roman"/>
          <w:color w:val="auto"/>
        </w:rPr>
      </w:pPr>
      <w:r>
        <w:rPr>
          <w:rFonts w:ascii="Times New Roman" w:hAnsi="Times New Roman"/>
          <w:color w:val="auto"/>
        </w:rPr>
        <w:drawing>
          <wp:inline distT="0" distB="0" distL="0" distR="0">
            <wp:extent cx="4787900" cy="6711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795274" cy="6721759"/>
                    </a:xfrm>
                    <a:prstGeom prst="rect">
                      <a:avLst/>
                    </a:prstGeom>
                  </pic:spPr>
                </pic:pic>
              </a:graphicData>
            </a:graphic>
          </wp:inline>
        </w:drawing>
      </w:r>
    </w:p>
    <w:p w14:paraId="60F8DF76">
      <w:pPr>
        <w:pStyle w:val="21"/>
        <w:spacing w:line="240" w:lineRule="auto"/>
        <w:ind w:firstLine="0"/>
        <w:jc w:val="center"/>
        <w:rPr>
          <w:rFonts w:ascii="Times New Roman" w:hAnsi="Times New Roman"/>
          <w:color w:val="auto"/>
        </w:rPr>
      </w:pPr>
    </w:p>
    <w:p w14:paraId="0C47E975">
      <w:pPr>
        <w:pStyle w:val="21"/>
        <w:spacing w:line="240" w:lineRule="auto"/>
        <w:ind w:firstLine="0"/>
        <w:jc w:val="center"/>
        <w:rPr>
          <w:rFonts w:ascii="Times New Roman" w:hAnsi="Times New Roman"/>
          <w:color w:val="auto"/>
        </w:rPr>
      </w:pPr>
    </w:p>
    <w:p w14:paraId="407169E8">
      <w:pPr>
        <w:pStyle w:val="21"/>
        <w:spacing w:line="240" w:lineRule="auto"/>
        <w:ind w:firstLine="0"/>
        <w:jc w:val="center"/>
        <w:rPr>
          <w:rFonts w:ascii="Times New Roman" w:hAnsi="Times New Roman"/>
          <w:color w:val="auto"/>
        </w:rPr>
      </w:pPr>
    </w:p>
    <w:p w14:paraId="177F2505">
      <w:pPr>
        <w:pStyle w:val="21"/>
        <w:spacing w:line="240" w:lineRule="auto"/>
        <w:ind w:firstLine="0"/>
        <w:jc w:val="center"/>
        <w:rPr>
          <w:rFonts w:ascii="Times New Roman" w:hAnsi="Times New Roman"/>
          <w:color w:val="auto"/>
        </w:rPr>
        <w:sectPr>
          <w:pgSz w:w="11906" w:h="16838"/>
          <w:pgMar w:top="1440" w:right="1701" w:bottom="1440" w:left="1701" w:header="851" w:footer="992" w:gutter="0"/>
          <w:cols w:space="425" w:num="1"/>
          <w:docGrid w:type="lines" w:linePitch="312" w:charSpace="0"/>
        </w:sectPr>
      </w:pPr>
    </w:p>
    <w:p w14:paraId="35E145B4">
      <w:pPr>
        <w:pStyle w:val="23"/>
        <w:rPr>
          <w:rFonts w:ascii="Times New Roman" w:hAnsi="Times New Roman"/>
        </w:rPr>
      </w:pPr>
      <w:bookmarkStart w:id="106" w:name="_Toc199509458"/>
      <w:bookmarkStart w:id="107" w:name="_Toc213690751"/>
      <w:bookmarkStart w:id="108" w:name="_Toc205817942"/>
      <w:r>
        <w:rPr>
          <w:rFonts w:hint="eastAsia" w:ascii="Times New Roman" w:hAnsi="Times New Roman"/>
        </w:rPr>
        <w:t>附件</w:t>
      </w:r>
      <w:bookmarkEnd w:id="106"/>
      <w:r>
        <w:rPr>
          <w:rFonts w:ascii="Times New Roman" w:hAnsi="Times New Roman"/>
        </w:rPr>
        <w:t>2</w:t>
      </w:r>
      <w:bookmarkEnd w:id="107"/>
      <w:bookmarkEnd w:id="108"/>
    </w:p>
    <w:p w14:paraId="7276E81A">
      <w:pPr>
        <w:pStyle w:val="27"/>
        <w:jc w:val="center"/>
        <w:rPr>
          <w:rFonts w:ascii="Times New Roman" w:hAnsi="Times New Roman"/>
          <w:color w:val="auto"/>
        </w:rPr>
      </w:pPr>
      <w:r>
        <w:rPr>
          <w:rFonts w:hint="eastAsia" w:ascii="Times New Roman" w:hAnsi="Times New Roman"/>
          <w:color w:val="auto"/>
        </w:rPr>
        <w:t>应急指挥部成员名单及联系方式</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6"/>
        <w:gridCol w:w="3362"/>
        <w:gridCol w:w="2750"/>
        <w:gridCol w:w="2112"/>
        <w:gridCol w:w="3254"/>
      </w:tblGrid>
      <w:tr w14:paraId="4B77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tcBorders>
              <w:top w:val="single" w:color="auto" w:sz="4" w:space="0"/>
              <w:left w:val="single" w:color="auto" w:sz="4" w:space="0"/>
              <w:bottom w:val="single" w:color="auto" w:sz="4" w:space="0"/>
              <w:right w:val="single" w:color="auto" w:sz="4" w:space="0"/>
            </w:tcBorders>
            <w:vAlign w:val="center"/>
          </w:tcPr>
          <w:p w14:paraId="6DCFDC98">
            <w:pPr>
              <w:jc w:val="center"/>
              <w:rPr>
                <w:rFonts w:ascii="Times New Roman" w:hAnsi="Times New Roman" w:eastAsia="仿宋" w:cs="Times New Roman"/>
                <w:sz w:val="28"/>
                <w:szCs w:val="28"/>
              </w:rPr>
            </w:pPr>
            <w:bookmarkStart w:id="109" w:name="OLE_LINK5"/>
            <w:bookmarkStart w:id="110" w:name="OLE_LINK6"/>
            <w:r>
              <w:rPr>
                <w:rFonts w:hint="eastAsia" w:ascii="Times New Roman" w:hAnsi="Times New Roman" w:eastAsia="仿宋" w:cs="Times New Roman"/>
                <w:sz w:val="28"/>
                <w:szCs w:val="28"/>
              </w:rPr>
              <w:t>指挥部职务</w:t>
            </w:r>
          </w:p>
        </w:tc>
        <w:tc>
          <w:tcPr>
            <w:tcW w:w="1186" w:type="pct"/>
            <w:tcBorders>
              <w:top w:val="single" w:color="auto" w:sz="4" w:space="0"/>
              <w:left w:val="single" w:color="auto" w:sz="4" w:space="0"/>
              <w:bottom w:val="single" w:color="auto" w:sz="4" w:space="0"/>
              <w:right w:val="single" w:color="auto" w:sz="4" w:space="0"/>
            </w:tcBorders>
            <w:vAlign w:val="center"/>
          </w:tcPr>
          <w:p w14:paraId="7965FA67">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单位</w:t>
            </w:r>
          </w:p>
        </w:tc>
        <w:tc>
          <w:tcPr>
            <w:tcW w:w="970" w:type="pct"/>
            <w:tcBorders>
              <w:top w:val="single" w:color="auto" w:sz="4" w:space="0"/>
              <w:left w:val="single" w:color="auto" w:sz="4" w:space="0"/>
              <w:bottom w:val="single" w:color="auto" w:sz="4" w:space="0"/>
              <w:right w:val="single" w:color="auto" w:sz="4" w:space="0"/>
            </w:tcBorders>
            <w:vAlign w:val="center"/>
          </w:tcPr>
          <w:p w14:paraId="65FD6169">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单位联系方式</w:t>
            </w:r>
          </w:p>
        </w:tc>
        <w:tc>
          <w:tcPr>
            <w:tcW w:w="745" w:type="pct"/>
            <w:tcBorders>
              <w:top w:val="single" w:color="auto" w:sz="4" w:space="0"/>
              <w:left w:val="single" w:color="auto" w:sz="4" w:space="0"/>
              <w:bottom w:val="single" w:color="auto" w:sz="4" w:space="0"/>
              <w:right w:val="single" w:color="auto" w:sz="4" w:space="0"/>
            </w:tcBorders>
            <w:vAlign w:val="center"/>
          </w:tcPr>
          <w:p w14:paraId="2BB44F04">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联系人</w:t>
            </w:r>
          </w:p>
        </w:tc>
        <w:tc>
          <w:tcPr>
            <w:tcW w:w="1148" w:type="pct"/>
            <w:tcBorders>
              <w:top w:val="single" w:color="auto" w:sz="4" w:space="0"/>
              <w:left w:val="single" w:color="auto" w:sz="4" w:space="0"/>
              <w:bottom w:val="single" w:color="auto" w:sz="4" w:space="0"/>
              <w:right w:val="single" w:color="auto" w:sz="4" w:space="0"/>
            </w:tcBorders>
            <w:vAlign w:val="center"/>
          </w:tcPr>
          <w:p w14:paraId="699F9DA2">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联系方式</w:t>
            </w:r>
          </w:p>
        </w:tc>
      </w:tr>
      <w:tr w14:paraId="30B16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tcBorders>
              <w:top w:val="single" w:color="auto" w:sz="4" w:space="0"/>
              <w:left w:val="single" w:color="auto" w:sz="4" w:space="0"/>
              <w:bottom w:val="single" w:color="auto" w:sz="4" w:space="0"/>
              <w:right w:val="single" w:color="auto" w:sz="4" w:space="0"/>
            </w:tcBorders>
            <w:vAlign w:val="center"/>
          </w:tcPr>
          <w:p w14:paraId="4E26572C">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指挥长</w:t>
            </w:r>
          </w:p>
        </w:tc>
        <w:tc>
          <w:tcPr>
            <w:tcW w:w="1186" w:type="pct"/>
            <w:tcBorders>
              <w:top w:val="single" w:color="auto" w:sz="4" w:space="0"/>
              <w:left w:val="single" w:color="auto" w:sz="4" w:space="0"/>
              <w:bottom w:val="single" w:color="auto" w:sz="4" w:space="0"/>
              <w:right w:val="single" w:color="auto" w:sz="4" w:space="0"/>
            </w:tcBorders>
            <w:vAlign w:val="center"/>
          </w:tcPr>
          <w:p w14:paraId="624AE339">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云冈区人民政府</w:t>
            </w:r>
          </w:p>
        </w:tc>
        <w:tc>
          <w:tcPr>
            <w:tcW w:w="970" w:type="pct"/>
            <w:tcBorders>
              <w:top w:val="single" w:color="auto" w:sz="4" w:space="0"/>
              <w:left w:val="single" w:color="auto" w:sz="4" w:space="0"/>
              <w:bottom w:val="single" w:color="auto" w:sz="4" w:space="0"/>
              <w:right w:val="single" w:color="auto" w:sz="4" w:space="0"/>
            </w:tcBorders>
            <w:vAlign w:val="center"/>
          </w:tcPr>
          <w:p w14:paraId="48DB4DAE">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4040117</w:t>
            </w:r>
          </w:p>
        </w:tc>
        <w:tc>
          <w:tcPr>
            <w:tcW w:w="745" w:type="pct"/>
            <w:tcBorders>
              <w:top w:val="single" w:color="auto" w:sz="4" w:space="0"/>
              <w:left w:val="single" w:color="auto" w:sz="4" w:space="0"/>
              <w:bottom w:val="single" w:color="auto" w:sz="4" w:space="0"/>
              <w:right w:val="single" w:color="auto" w:sz="4" w:space="0"/>
            </w:tcBorders>
            <w:vAlign w:val="center"/>
          </w:tcPr>
          <w:p w14:paraId="4B8FFAA0">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张俊杰</w:t>
            </w:r>
          </w:p>
        </w:tc>
        <w:tc>
          <w:tcPr>
            <w:tcW w:w="1148" w:type="pct"/>
            <w:tcBorders>
              <w:top w:val="single" w:color="auto" w:sz="4" w:space="0"/>
              <w:left w:val="single" w:color="auto" w:sz="4" w:space="0"/>
              <w:bottom w:val="single" w:color="auto" w:sz="4" w:space="0"/>
              <w:right w:val="single" w:color="auto" w:sz="4" w:space="0"/>
            </w:tcBorders>
            <w:vAlign w:val="center"/>
          </w:tcPr>
          <w:p w14:paraId="0CEB9D0A">
            <w:pPr>
              <w:jc w:val="center"/>
              <w:rPr>
                <w:rFonts w:ascii="Times New Roman" w:hAnsi="Times New Roman" w:eastAsia="仿宋" w:cs="Times New Roman"/>
                <w:sz w:val="28"/>
                <w:szCs w:val="28"/>
              </w:rPr>
            </w:pPr>
          </w:p>
        </w:tc>
      </w:tr>
      <w:tr w14:paraId="6504A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tcBorders>
              <w:top w:val="single" w:color="auto" w:sz="4" w:space="0"/>
              <w:left w:val="single" w:color="auto" w:sz="4" w:space="0"/>
              <w:bottom w:val="single" w:color="auto" w:sz="4" w:space="0"/>
              <w:right w:val="single" w:color="auto" w:sz="4" w:space="0"/>
            </w:tcBorders>
            <w:vAlign w:val="center"/>
          </w:tcPr>
          <w:p w14:paraId="118FC1CB">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副指挥长</w:t>
            </w:r>
          </w:p>
        </w:tc>
        <w:tc>
          <w:tcPr>
            <w:tcW w:w="1186" w:type="pct"/>
            <w:tcBorders>
              <w:top w:val="single" w:color="auto" w:sz="4" w:space="0"/>
              <w:left w:val="single" w:color="auto" w:sz="4" w:space="0"/>
              <w:bottom w:val="single" w:color="auto" w:sz="4" w:space="0"/>
              <w:right w:val="single" w:color="auto" w:sz="4" w:space="0"/>
            </w:tcBorders>
            <w:vAlign w:val="center"/>
          </w:tcPr>
          <w:p w14:paraId="78E30403">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云冈区人民政府</w:t>
            </w:r>
          </w:p>
        </w:tc>
        <w:tc>
          <w:tcPr>
            <w:tcW w:w="970" w:type="pct"/>
            <w:tcBorders>
              <w:top w:val="single" w:color="auto" w:sz="4" w:space="0"/>
              <w:left w:val="single" w:color="auto" w:sz="4" w:space="0"/>
              <w:bottom w:val="single" w:color="auto" w:sz="4" w:space="0"/>
              <w:right w:val="single" w:color="auto" w:sz="4" w:space="0"/>
            </w:tcBorders>
            <w:vAlign w:val="center"/>
          </w:tcPr>
          <w:p w14:paraId="7C731085">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4040081</w:t>
            </w:r>
          </w:p>
        </w:tc>
        <w:tc>
          <w:tcPr>
            <w:tcW w:w="745" w:type="pct"/>
            <w:tcBorders>
              <w:top w:val="single" w:color="auto" w:sz="4" w:space="0"/>
              <w:left w:val="single" w:color="auto" w:sz="4" w:space="0"/>
              <w:bottom w:val="single" w:color="auto" w:sz="4" w:space="0"/>
              <w:right w:val="single" w:color="auto" w:sz="4" w:space="0"/>
            </w:tcBorders>
            <w:vAlign w:val="center"/>
          </w:tcPr>
          <w:p w14:paraId="5109C0B2">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韩光华</w:t>
            </w:r>
          </w:p>
        </w:tc>
        <w:tc>
          <w:tcPr>
            <w:tcW w:w="1148" w:type="pct"/>
            <w:tcBorders>
              <w:top w:val="single" w:color="auto" w:sz="4" w:space="0"/>
              <w:left w:val="single" w:color="auto" w:sz="4" w:space="0"/>
              <w:bottom w:val="single" w:color="auto" w:sz="4" w:space="0"/>
              <w:right w:val="single" w:color="auto" w:sz="4" w:space="0"/>
            </w:tcBorders>
            <w:vAlign w:val="center"/>
          </w:tcPr>
          <w:p w14:paraId="5072F12A">
            <w:pPr>
              <w:jc w:val="center"/>
              <w:rPr>
                <w:rFonts w:ascii="Times New Roman" w:hAnsi="Times New Roman" w:eastAsia="仿宋" w:cs="Times New Roman"/>
                <w:sz w:val="28"/>
                <w:szCs w:val="28"/>
              </w:rPr>
            </w:pPr>
          </w:p>
        </w:tc>
      </w:tr>
      <w:tr w14:paraId="0334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tcBorders>
              <w:top w:val="single" w:color="auto" w:sz="4" w:space="0"/>
              <w:left w:val="single" w:color="auto" w:sz="4" w:space="0"/>
              <w:bottom w:val="single" w:color="auto" w:sz="4" w:space="0"/>
              <w:right w:val="single" w:color="auto" w:sz="4" w:space="0"/>
            </w:tcBorders>
            <w:vAlign w:val="center"/>
          </w:tcPr>
          <w:p w14:paraId="7F9F6235">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指挥部办公室</w:t>
            </w:r>
          </w:p>
        </w:tc>
        <w:tc>
          <w:tcPr>
            <w:tcW w:w="1186" w:type="pct"/>
            <w:tcBorders>
              <w:top w:val="single" w:color="auto" w:sz="4" w:space="0"/>
              <w:left w:val="single" w:color="auto" w:sz="4" w:space="0"/>
              <w:bottom w:val="single" w:color="auto" w:sz="4" w:space="0"/>
              <w:right w:val="single" w:color="auto" w:sz="4" w:space="0"/>
            </w:tcBorders>
            <w:vAlign w:val="center"/>
          </w:tcPr>
          <w:p w14:paraId="44512DEF">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市生态环境局云冈分局</w:t>
            </w:r>
          </w:p>
        </w:tc>
        <w:tc>
          <w:tcPr>
            <w:tcW w:w="970" w:type="pct"/>
            <w:tcBorders>
              <w:top w:val="single" w:color="auto" w:sz="4" w:space="0"/>
              <w:left w:val="single" w:color="auto" w:sz="4" w:space="0"/>
              <w:bottom w:val="single" w:color="auto" w:sz="4" w:space="0"/>
              <w:right w:val="single" w:color="auto" w:sz="4" w:space="0"/>
            </w:tcBorders>
            <w:vAlign w:val="center"/>
          </w:tcPr>
          <w:p w14:paraId="28FE90D2">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4040915</w:t>
            </w:r>
          </w:p>
        </w:tc>
        <w:tc>
          <w:tcPr>
            <w:tcW w:w="745" w:type="pct"/>
            <w:tcBorders>
              <w:top w:val="single" w:color="auto" w:sz="4" w:space="0"/>
              <w:left w:val="single" w:color="auto" w:sz="4" w:space="0"/>
              <w:bottom w:val="single" w:color="auto" w:sz="4" w:space="0"/>
              <w:right w:val="single" w:color="auto" w:sz="4" w:space="0"/>
            </w:tcBorders>
            <w:vAlign w:val="center"/>
          </w:tcPr>
          <w:p w14:paraId="63782E14">
            <w:pPr>
              <w:jc w:val="center"/>
              <w:rPr>
                <w:rFonts w:ascii="Times New Roman" w:hAnsi="Times New Roman" w:eastAsia="仿宋" w:cs="Times New Roman"/>
                <w:sz w:val="28"/>
                <w:szCs w:val="28"/>
              </w:rPr>
            </w:pPr>
            <w:r>
              <w:rPr>
                <w:rFonts w:ascii="Times New Roman" w:hAnsi="Times New Roman" w:eastAsia="仿宋" w:cs="Times New Roman"/>
                <w:sz w:val="28"/>
                <w:szCs w:val="28"/>
              </w:rPr>
              <w:t>胡春林</w:t>
            </w:r>
          </w:p>
        </w:tc>
        <w:tc>
          <w:tcPr>
            <w:tcW w:w="1148" w:type="pct"/>
            <w:tcBorders>
              <w:top w:val="single" w:color="auto" w:sz="4" w:space="0"/>
              <w:left w:val="single" w:color="auto" w:sz="4" w:space="0"/>
              <w:bottom w:val="single" w:color="auto" w:sz="4" w:space="0"/>
              <w:right w:val="single" w:color="auto" w:sz="4" w:space="0"/>
            </w:tcBorders>
            <w:vAlign w:val="center"/>
          </w:tcPr>
          <w:p w14:paraId="4A2A0A6C">
            <w:pPr>
              <w:jc w:val="center"/>
              <w:rPr>
                <w:rFonts w:ascii="Times New Roman" w:hAnsi="Times New Roman" w:eastAsia="仿宋" w:cs="Times New Roman"/>
                <w:sz w:val="28"/>
                <w:szCs w:val="28"/>
              </w:rPr>
            </w:pPr>
          </w:p>
        </w:tc>
      </w:tr>
      <w:tr w14:paraId="0BFC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Merge w:val="restart"/>
            <w:tcBorders>
              <w:top w:val="single" w:color="auto" w:sz="4" w:space="0"/>
              <w:left w:val="single" w:color="auto" w:sz="4" w:space="0"/>
              <w:right w:val="single" w:color="auto" w:sz="4" w:space="0"/>
            </w:tcBorders>
            <w:vAlign w:val="center"/>
          </w:tcPr>
          <w:p w14:paraId="0F7CB3AE">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成员</w:t>
            </w:r>
          </w:p>
        </w:tc>
        <w:tc>
          <w:tcPr>
            <w:tcW w:w="1186" w:type="pct"/>
            <w:tcBorders>
              <w:top w:val="single" w:color="auto" w:sz="4" w:space="0"/>
              <w:left w:val="single" w:color="auto" w:sz="4" w:space="0"/>
              <w:bottom w:val="single" w:color="auto" w:sz="4" w:space="0"/>
              <w:right w:val="single" w:color="auto" w:sz="4" w:space="0"/>
            </w:tcBorders>
            <w:vAlign w:val="center"/>
          </w:tcPr>
          <w:p w14:paraId="7BE189DF">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区委宣传部</w:t>
            </w:r>
          </w:p>
        </w:tc>
        <w:tc>
          <w:tcPr>
            <w:tcW w:w="970" w:type="pct"/>
            <w:tcBorders>
              <w:top w:val="single" w:color="auto" w:sz="4" w:space="0"/>
              <w:left w:val="single" w:color="auto" w:sz="4" w:space="0"/>
              <w:bottom w:val="single" w:color="auto" w:sz="4" w:space="0"/>
              <w:right w:val="single" w:color="auto" w:sz="4" w:space="0"/>
            </w:tcBorders>
            <w:vAlign w:val="center"/>
          </w:tcPr>
          <w:p w14:paraId="156F6F09">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4040686</w:t>
            </w:r>
          </w:p>
        </w:tc>
        <w:tc>
          <w:tcPr>
            <w:tcW w:w="745" w:type="pct"/>
            <w:tcBorders>
              <w:top w:val="single" w:color="auto" w:sz="4" w:space="0"/>
              <w:left w:val="single" w:color="auto" w:sz="4" w:space="0"/>
              <w:bottom w:val="single" w:color="auto" w:sz="4" w:space="0"/>
              <w:right w:val="single" w:color="auto" w:sz="4" w:space="0"/>
            </w:tcBorders>
            <w:vAlign w:val="center"/>
          </w:tcPr>
          <w:p w14:paraId="0AE52536">
            <w:pPr>
              <w:jc w:val="center"/>
              <w:rPr>
                <w:rFonts w:ascii="Times New Roman" w:hAnsi="Times New Roman" w:eastAsia="仿宋" w:cs="Times New Roman"/>
                <w:sz w:val="28"/>
                <w:szCs w:val="28"/>
              </w:rPr>
            </w:pPr>
          </w:p>
        </w:tc>
        <w:tc>
          <w:tcPr>
            <w:tcW w:w="1148" w:type="pct"/>
            <w:tcBorders>
              <w:top w:val="single" w:color="auto" w:sz="4" w:space="0"/>
              <w:left w:val="single" w:color="auto" w:sz="4" w:space="0"/>
              <w:bottom w:val="single" w:color="auto" w:sz="4" w:space="0"/>
              <w:right w:val="single" w:color="auto" w:sz="4" w:space="0"/>
            </w:tcBorders>
            <w:vAlign w:val="center"/>
          </w:tcPr>
          <w:p w14:paraId="2E8259C0">
            <w:pPr>
              <w:jc w:val="center"/>
              <w:rPr>
                <w:rFonts w:ascii="Times New Roman" w:hAnsi="Times New Roman" w:eastAsia="仿宋" w:cs="Times New Roman"/>
                <w:sz w:val="28"/>
                <w:szCs w:val="28"/>
              </w:rPr>
            </w:pPr>
          </w:p>
        </w:tc>
      </w:tr>
      <w:tr w14:paraId="2E2E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left w:val="single" w:color="auto" w:sz="4" w:space="0"/>
              <w:right w:val="single" w:color="auto" w:sz="4" w:space="0"/>
            </w:tcBorders>
            <w:vAlign w:val="center"/>
          </w:tcPr>
          <w:p w14:paraId="08FFADAE">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50C4B6C4">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区应急管理局</w:t>
            </w:r>
          </w:p>
        </w:tc>
        <w:tc>
          <w:tcPr>
            <w:tcW w:w="970" w:type="pct"/>
            <w:tcBorders>
              <w:top w:val="single" w:color="auto" w:sz="4" w:space="0"/>
              <w:left w:val="single" w:color="auto" w:sz="4" w:space="0"/>
              <w:bottom w:val="single" w:color="auto" w:sz="4" w:space="0"/>
              <w:right w:val="single" w:color="auto" w:sz="4" w:space="0"/>
            </w:tcBorders>
            <w:vAlign w:val="center"/>
          </w:tcPr>
          <w:p w14:paraId="17E71DBF">
            <w:pPr>
              <w:jc w:val="center"/>
              <w:rPr>
                <w:rFonts w:ascii="Times New Roman" w:hAnsi="Times New Roman" w:eastAsia="仿宋" w:cs="Times New Roman"/>
                <w:sz w:val="28"/>
                <w:szCs w:val="28"/>
              </w:rPr>
            </w:pPr>
            <w:r>
              <w:rPr>
                <w:rFonts w:ascii="Times New Roman" w:hAnsi="Times New Roman" w:eastAsia="仿宋" w:cs="Times New Roman"/>
                <w:sz w:val="28"/>
                <w:szCs w:val="28"/>
              </w:rPr>
              <w:t>4040012</w:t>
            </w:r>
          </w:p>
        </w:tc>
        <w:tc>
          <w:tcPr>
            <w:tcW w:w="745" w:type="pct"/>
            <w:tcBorders>
              <w:top w:val="single" w:color="auto" w:sz="4" w:space="0"/>
              <w:left w:val="single" w:color="auto" w:sz="4" w:space="0"/>
              <w:bottom w:val="single" w:color="auto" w:sz="4" w:space="0"/>
              <w:right w:val="single" w:color="auto" w:sz="4" w:space="0"/>
            </w:tcBorders>
            <w:vAlign w:val="center"/>
          </w:tcPr>
          <w:p w14:paraId="209CECB4">
            <w:pPr>
              <w:jc w:val="center"/>
              <w:rPr>
                <w:rFonts w:ascii="Times New Roman" w:hAnsi="Times New Roman" w:eastAsia="仿宋" w:cs="Times New Roman"/>
                <w:sz w:val="28"/>
                <w:szCs w:val="28"/>
              </w:rPr>
            </w:pPr>
            <w:r>
              <w:rPr>
                <w:rFonts w:ascii="Times New Roman" w:hAnsi="Times New Roman" w:eastAsia="仿宋" w:cs="Times New Roman"/>
                <w:sz w:val="28"/>
                <w:szCs w:val="28"/>
              </w:rPr>
              <w:t xml:space="preserve"> 周喜旺 </w:t>
            </w:r>
          </w:p>
        </w:tc>
        <w:tc>
          <w:tcPr>
            <w:tcW w:w="1148" w:type="pct"/>
            <w:tcBorders>
              <w:top w:val="single" w:color="auto" w:sz="4" w:space="0"/>
              <w:left w:val="single" w:color="auto" w:sz="4" w:space="0"/>
              <w:bottom w:val="single" w:color="auto" w:sz="4" w:space="0"/>
              <w:right w:val="single" w:color="auto" w:sz="4" w:space="0"/>
            </w:tcBorders>
            <w:vAlign w:val="center"/>
          </w:tcPr>
          <w:p w14:paraId="428A2145">
            <w:pPr>
              <w:jc w:val="center"/>
              <w:rPr>
                <w:rFonts w:ascii="Times New Roman" w:hAnsi="Times New Roman" w:eastAsia="仿宋" w:cs="Times New Roman"/>
                <w:sz w:val="28"/>
                <w:szCs w:val="28"/>
              </w:rPr>
            </w:pPr>
            <w:r>
              <w:rPr>
                <w:rFonts w:ascii="Times New Roman" w:hAnsi="Times New Roman" w:eastAsia="仿宋" w:cs="Times New Roman"/>
                <w:sz w:val="28"/>
                <w:szCs w:val="28"/>
              </w:rPr>
              <w:t>4040012</w:t>
            </w:r>
          </w:p>
        </w:tc>
      </w:tr>
      <w:tr w14:paraId="5EEC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left w:val="single" w:color="auto" w:sz="4" w:space="0"/>
              <w:right w:val="single" w:color="auto" w:sz="4" w:space="0"/>
            </w:tcBorders>
            <w:vAlign w:val="center"/>
          </w:tcPr>
          <w:p w14:paraId="14E8C772">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09887C56">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区发改科技局</w:t>
            </w:r>
          </w:p>
        </w:tc>
        <w:tc>
          <w:tcPr>
            <w:tcW w:w="970" w:type="pct"/>
            <w:tcBorders>
              <w:top w:val="single" w:color="auto" w:sz="4" w:space="0"/>
              <w:left w:val="single" w:color="auto" w:sz="4" w:space="0"/>
              <w:bottom w:val="single" w:color="auto" w:sz="4" w:space="0"/>
              <w:right w:val="single" w:color="auto" w:sz="4" w:space="0"/>
            </w:tcBorders>
            <w:vAlign w:val="center"/>
          </w:tcPr>
          <w:p w14:paraId="300A9DBE">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4031115 </w:t>
            </w:r>
          </w:p>
        </w:tc>
        <w:tc>
          <w:tcPr>
            <w:tcW w:w="745" w:type="pct"/>
            <w:tcBorders>
              <w:top w:val="single" w:color="auto" w:sz="4" w:space="0"/>
              <w:left w:val="single" w:color="auto" w:sz="4" w:space="0"/>
              <w:bottom w:val="single" w:color="auto" w:sz="4" w:space="0"/>
              <w:right w:val="single" w:color="auto" w:sz="4" w:space="0"/>
            </w:tcBorders>
            <w:vAlign w:val="center"/>
          </w:tcPr>
          <w:p w14:paraId="5A5F1AEE">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杨晓伟</w:t>
            </w:r>
          </w:p>
        </w:tc>
        <w:tc>
          <w:tcPr>
            <w:tcW w:w="1148" w:type="pct"/>
            <w:tcBorders>
              <w:top w:val="single" w:color="auto" w:sz="4" w:space="0"/>
              <w:left w:val="single" w:color="auto" w:sz="4" w:space="0"/>
              <w:bottom w:val="single" w:color="auto" w:sz="4" w:space="0"/>
              <w:right w:val="single" w:color="auto" w:sz="4" w:space="0"/>
            </w:tcBorders>
            <w:vAlign w:val="center"/>
          </w:tcPr>
          <w:p w14:paraId="000BAF5F">
            <w:pPr>
              <w:jc w:val="center"/>
              <w:rPr>
                <w:rFonts w:ascii="Times New Roman" w:hAnsi="Times New Roman" w:eastAsia="仿宋" w:cs="Times New Roman"/>
                <w:sz w:val="28"/>
                <w:szCs w:val="28"/>
              </w:rPr>
            </w:pPr>
            <w:r>
              <w:rPr>
                <w:rFonts w:ascii="Times New Roman" w:hAnsi="Times New Roman" w:eastAsia="仿宋" w:cs="Times New Roman"/>
                <w:sz w:val="28"/>
                <w:szCs w:val="28"/>
              </w:rPr>
              <w:t>18734671791</w:t>
            </w:r>
          </w:p>
        </w:tc>
      </w:tr>
      <w:tr w14:paraId="43FE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left w:val="single" w:color="auto" w:sz="4" w:space="0"/>
              <w:right w:val="single" w:color="auto" w:sz="4" w:space="0"/>
            </w:tcBorders>
            <w:vAlign w:val="center"/>
          </w:tcPr>
          <w:p w14:paraId="0A1AF25E">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241CF75B">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区工信局</w:t>
            </w:r>
          </w:p>
        </w:tc>
        <w:tc>
          <w:tcPr>
            <w:tcW w:w="970" w:type="pct"/>
            <w:tcBorders>
              <w:top w:val="single" w:color="auto" w:sz="4" w:space="0"/>
              <w:left w:val="single" w:color="auto" w:sz="4" w:space="0"/>
              <w:bottom w:val="single" w:color="auto" w:sz="4" w:space="0"/>
              <w:right w:val="single" w:color="auto" w:sz="4" w:space="0"/>
            </w:tcBorders>
            <w:vAlign w:val="center"/>
          </w:tcPr>
          <w:p w14:paraId="4B13C107">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4042158 </w:t>
            </w:r>
          </w:p>
        </w:tc>
        <w:tc>
          <w:tcPr>
            <w:tcW w:w="745" w:type="pct"/>
            <w:tcBorders>
              <w:top w:val="single" w:color="auto" w:sz="4" w:space="0"/>
              <w:left w:val="single" w:color="auto" w:sz="4" w:space="0"/>
              <w:bottom w:val="single" w:color="auto" w:sz="4" w:space="0"/>
              <w:right w:val="single" w:color="auto" w:sz="4" w:space="0"/>
            </w:tcBorders>
            <w:vAlign w:val="center"/>
          </w:tcPr>
          <w:p w14:paraId="5B4494D2">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王中旺</w:t>
            </w:r>
          </w:p>
        </w:tc>
        <w:tc>
          <w:tcPr>
            <w:tcW w:w="1148" w:type="pct"/>
            <w:tcBorders>
              <w:top w:val="single" w:color="auto" w:sz="4" w:space="0"/>
              <w:left w:val="single" w:color="auto" w:sz="4" w:space="0"/>
              <w:bottom w:val="single" w:color="auto" w:sz="4" w:space="0"/>
              <w:right w:val="single" w:color="auto" w:sz="4" w:space="0"/>
            </w:tcBorders>
            <w:vAlign w:val="center"/>
          </w:tcPr>
          <w:p w14:paraId="4572E8DB">
            <w:pPr>
              <w:jc w:val="center"/>
              <w:rPr>
                <w:rFonts w:ascii="Times New Roman" w:hAnsi="Times New Roman" w:eastAsia="仿宋" w:cs="Times New Roman"/>
                <w:sz w:val="28"/>
                <w:szCs w:val="28"/>
              </w:rPr>
            </w:pPr>
            <w:r>
              <w:rPr>
                <w:rFonts w:ascii="Times New Roman" w:hAnsi="Times New Roman" w:eastAsia="仿宋" w:cs="Times New Roman"/>
                <w:sz w:val="28"/>
                <w:szCs w:val="28"/>
              </w:rPr>
              <w:t>18435138746</w:t>
            </w:r>
          </w:p>
        </w:tc>
      </w:tr>
      <w:tr w14:paraId="6C31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left w:val="single" w:color="auto" w:sz="4" w:space="0"/>
              <w:right w:val="single" w:color="auto" w:sz="4" w:space="0"/>
            </w:tcBorders>
            <w:vAlign w:val="center"/>
          </w:tcPr>
          <w:p w14:paraId="66EFAEEA">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446A5853">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市公安局云冈分局</w:t>
            </w:r>
          </w:p>
        </w:tc>
        <w:tc>
          <w:tcPr>
            <w:tcW w:w="970" w:type="pct"/>
            <w:tcBorders>
              <w:top w:val="single" w:color="auto" w:sz="4" w:space="0"/>
              <w:left w:val="single" w:color="auto" w:sz="4" w:space="0"/>
              <w:bottom w:val="single" w:color="auto" w:sz="4" w:space="0"/>
              <w:right w:val="single" w:color="auto" w:sz="4" w:space="0"/>
            </w:tcBorders>
            <w:vAlign w:val="center"/>
          </w:tcPr>
          <w:p w14:paraId="390B9FA2">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4055110 </w:t>
            </w:r>
          </w:p>
        </w:tc>
        <w:tc>
          <w:tcPr>
            <w:tcW w:w="745" w:type="pct"/>
            <w:tcBorders>
              <w:top w:val="single" w:color="auto" w:sz="4" w:space="0"/>
              <w:left w:val="single" w:color="auto" w:sz="4" w:space="0"/>
              <w:bottom w:val="single" w:color="auto" w:sz="4" w:space="0"/>
              <w:right w:val="single" w:color="auto" w:sz="4" w:space="0"/>
            </w:tcBorders>
            <w:vAlign w:val="center"/>
          </w:tcPr>
          <w:p w14:paraId="681DB99B">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游双全</w:t>
            </w:r>
          </w:p>
        </w:tc>
        <w:tc>
          <w:tcPr>
            <w:tcW w:w="1148" w:type="pct"/>
            <w:tcBorders>
              <w:top w:val="single" w:color="auto" w:sz="4" w:space="0"/>
              <w:left w:val="single" w:color="auto" w:sz="4" w:space="0"/>
              <w:bottom w:val="single" w:color="auto" w:sz="4" w:space="0"/>
              <w:right w:val="single" w:color="auto" w:sz="4" w:space="0"/>
            </w:tcBorders>
            <w:vAlign w:val="center"/>
          </w:tcPr>
          <w:p w14:paraId="0575ED03">
            <w:pPr>
              <w:jc w:val="center"/>
              <w:rPr>
                <w:rFonts w:ascii="Times New Roman" w:hAnsi="Times New Roman" w:eastAsia="仿宋" w:cs="Times New Roman"/>
                <w:sz w:val="28"/>
                <w:szCs w:val="28"/>
              </w:rPr>
            </w:pPr>
            <w:r>
              <w:rPr>
                <w:rFonts w:ascii="Times New Roman" w:hAnsi="Times New Roman" w:eastAsia="仿宋" w:cs="Times New Roman"/>
                <w:sz w:val="28"/>
                <w:szCs w:val="28"/>
              </w:rPr>
              <w:t>13903523573</w:t>
            </w:r>
          </w:p>
        </w:tc>
      </w:tr>
      <w:tr w14:paraId="4513E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left w:val="single" w:color="auto" w:sz="4" w:space="0"/>
              <w:right w:val="single" w:color="auto" w:sz="4" w:space="0"/>
            </w:tcBorders>
            <w:vAlign w:val="center"/>
          </w:tcPr>
          <w:p w14:paraId="7810A3B9">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7918DAE5">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区财政局</w:t>
            </w:r>
          </w:p>
        </w:tc>
        <w:tc>
          <w:tcPr>
            <w:tcW w:w="970" w:type="pct"/>
            <w:tcBorders>
              <w:top w:val="single" w:color="auto" w:sz="4" w:space="0"/>
              <w:left w:val="single" w:color="auto" w:sz="4" w:space="0"/>
              <w:bottom w:val="single" w:color="auto" w:sz="4" w:space="0"/>
              <w:right w:val="single" w:color="auto" w:sz="4" w:space="0"/>
            </w:tcBorders>
            <w:vAlign w:val="center"/>
          </w:tcPr>
          <w:p w14:paraId="09296B22">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4040216 </w:t>
            </w:r>
          </w:p>
        </w:tc>
        <w:tc>
          <w:tcPr>
            <w:tcW w:w="745" w:type="pct"/>
            <w:tcBorders>
              <w:top w:val="single" w:color="auto" w:sz="4" w:space="0"/>
              <w:left w:val="single" w:color="auto" w:sz="4" w:space="0"/>
              <w:bottom w:val="single" w:color="auto" w:sz="4" w:space="0"/>
              <w:right w:val="single" w:color="auto" w:sz="4" w:space="0"/>
            </w:tcBorders>
            <w:vAlign w:val="center"/>
          </w:tcPr>
          <w:p w14:paraId="3269F3B6">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 翟潇</w:t>
            </w:r>
          </w:p>
        </w:tc>
        <w:tc>
          <w:tcPr>
            <w:tcW w:w="1148" w:type="pct"/>
            <w:tcBorders>
              <w:top w:val="single" w:color="auto" w:sz="4" w:space="0"/>
              <w:left w:val="single" w:color="auto" w:sz="4" w:space="0"/>
              <w:bottom w:val="single" w:color="auto" w:sz="4" w:space="0"/>
              <w:right w:val="single" w:color="auto" w:sz="4" w:space="0"/>
            </w:tcBorders>
            <w:vAlign w:val="center"/>
          </w:tcPr>
          <w:p w14:paraId="27E9BB7C">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18635263144</w:t>
            </w:r>
          </w:p>
        </w:tc>
      </w:tr>
      <w:tr w14:paraId="1FBF0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left w:val="single" w:color="auto" w:sz="4" w:space="0"/>
              <w:right w:val="single" w:color="auto" w:sz="4" w:space="0"/>
            </w:tcBorders>
            <w:vAlign w:val="center"/>
          </w:tcPr>
          <w:p w14:paraId="0C4A00C6">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694A3838">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区水务局</w:t>
            </w:r>
          </w:p>
        </w:tc>
        <w:tc>
          <w:tcPr>
            <w:tcW w:w="970" w:type="pct"/>
            <w:tcBorders>
              <w:top w:val="single" w:color="auto" w:sz="4" w:space="0"/>
              <w:left w:val="single" w:color="auto" w:sz="4" w:space="0"/>
              <w:bottom w:val="single" w:color="auto" w:sz="4" w:space="0"/>
              <w:right w:val="single" w:color="auto" w:sz="4" w:space="0"/>
            </w:tcBorders>
            <w:vAlign w:val="center"/>
          </w:tcPr>
          <w:p w14:paraId="7008C04B">
            <w:pPr>
              <w:jc w:val="center"/>
              <w:rPr>
                <w:rFonts w:ascii="Times New Roman" w:hAnsi="Times New Roman" w:eastAsia="仿宋" w:cs="Times New Roman"/>
                <w:sz w:val="28"/>
                <w:szCs w:val="28"/>
              </w:rPr>
            </w:pPr>
            <w:r>
              <w:rPr>
                <w:rFonts w:ascii="Times New Roman" w:hAnsi="Times New Roman" w:eastAsia="仿宋" w:cs="Arial"/>
                <w:sz w:val="28"/>
                <w:szCs w:val="28"/>
              </w:rPr>
              <w:t>7959242</w:t>
            </w:r>
          </w:p>
        </w:tc>
        <w:tc>
          <w:tcPr>
            <w:tcW w:w="745" w:type="pct"/>
            <w:tcBorders>
              <w:top w:val="single" w:color="auto" w:sz="4" w:space="0"/>
              <w:left w:val="single" w:color="auto" w:sz="4" w:space="0"/>
              <w:bottom w:val="single" w:color="auto" w:sz="4" w:space="0"/>
              <w:right w:val="single" w:color="auto" w:sz="4" w:space="0"/>
            </w:tcBorders>
            <w:vAlign w:val="center"/>
          </w:tcPr>
          <w:p w14:paraId="670A5FDD">
            <w:pPr>
              <w:jc w:val="center"/>
              <w:rPr>
                <w:rFonts w:ascii="Times New Roman" w:hAnsi="Times New Roman" w:eastAsia="仿宋" w:cs="Times New Roman"/>
                <w:sz w:val="28"/>
                <w:szCs w:val="28"/>
              </w:rPr>
            </w:pPr>
          </w:p>
        </w:tc>
        <w:tc>
          <w:tcPr>
            <w:tcW w:w="1148" w:type="pct"/>
            <w:tcBorders>
              <w:top w:val="single" w:color="auto" w:sz="4" w:space="0"/>
              <w:left w:val="single" w:color="auto" w:sz="4" w:space="0"/>
              <w:bottom w:val="single" w:color="auto" w:sz="4" w:space="0"/>
              <w:right w:val="single" w:color="auto" w:sz="4" w:space="0"/>
            </w:tcBorders>
            <w:vAlign w:val="center"/>
          </w:tcPr>
          <w:p w14:paraId="32B1F9BD">
            <w:pPr>
              <w:jc w:val="center"/>
              <w:rPr>
                <w:rFonts w:ascii="Times New Roman" w:hAnsi="Times New Roman" w:eastAsia="仿宋" w:cs="Times New Roman"/>
                <w:sz w:val="28"/>
                <w:szCs w:val="28"/>
              </w:rPr>
            </w:pPr>
          </w:p>
        </w:tc>
      </w:tr>
      <w:tr w14:paraId="2BA2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left w:val="single" w:color="auto" w:sz="4" w:space="0"/>
              <w:right w:val="single" w:color="auto" w:sz="4" w:space="0"/>
            </w:tcBorders>
            <w:vAlign w:val="center"/>
          </w:tcPr>
          <w:p w14:paraId="531B5A8C">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1FB2D034">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区农业农村局</w:t>
            </w:r>
          </w:p>
        </w:tc>
        <w:tc>
          <w:tcPr>
            <w:tcW w:w="970" w:type="pct"/>
            <w:tcBorders>
              <w:top w:val="single" w:color="auto" w:sz="4" w:space="0"/>
              <w:left w:val="single" w:color="auto" w:sz="4" w:space="0"/>
              <w:bottom w:val="single" w:color="auto" w:sz="4" w:space="0"/>
              <w:right w:val="single" w:color="auto" w:sz="4" w:space="0"/>
            </w:tcBorders>
            <w:vAlign w:val="center"/>
          </w:tcPr>
          <w:p w14:paraId="203848C5">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4041551</w:t>
            </w:r>
          </w:p>
        </w:tc>
        <w:tc>
          <w:tcPr>
            <w:tcW w:w="745" w:type="pct"/>
            <w:tcBorders>
              <w:top w:val="single" w:color="auto" w:sz="4" w:space="0"/>
              <w:left w:val="single" w:color="auto" w:sz="4" w:space="0"/>
              <w:bottom w:val="single" w:color="auto" w:sz="4" w:space="0"/>
              <w:right w:val="single" w:color="auto" w:sz="4" w:space="0"/>
            </w:tcBorders>
            <w:vAlign w:val="center"/>
          </w:tcPr>
          <w:p w14:paraId="486193A5">
            <w:pPr>
              <w:jc w:val="center"/>
              <w:rPr>
                <w:rFonts w:ascii="Times New Roman" w:hAnsi="Times New Roman" w:eastAsia="仿宋" w:cs="Times New Roman"/>
                <w:sz w:val="28"/>
                <w:szCs w:val="28"/>
              </w:rPr>
            </w:pPr>
          </w:p>
        </w:tc>
        <w:tc>
          <w:tcPr>
            <w:tcW w:w="1148" w:type="pct"/>
            <w:tcBorders>
              <w:top w:val="single" w:color="auto" w:sz="4" w:space="0"/>
              <w:left w:val="single" w:color="auto" w:sz="4" w:space="0"/>
              <w:bottom w:val="single" w:color="auto" w:sz="4" w:space="0"/>
              <w:right w:val="single" w:color="auto" w:sz="4" w:space="0"/>
            </w:tcBorders>
            <w:vAlign w:val="center"/>
          </w:tcPr>
          <w:p w14:paraId="3E5169B0">
            <w:pPr>
              <w:jc w:val="center"/>
              <w:rPr>
                <w:rFonts w:ascii="Times New Roman" w:hAnsi="Times New Roman" w:eastAsia="仿宋" w:cs="Times New Roman"/>
                <w:sz w:val="28"/>
                <w:szCs w:val="28"/>
              </w:rPr>
            </w:pPr>
          </w:p>
        </w:tc>
      </w:tr>
      <w:tr w14:paraId="5669D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left w:val="single" w:color="auto" w:sz="4" w:space="0"/>
              <w:right w:val="single" w:color="auto" w:sz="4" w:space="0"/>
            </w:tcBorders>
            <w:vAlign w:val="center"/>
          </w:tcPr>
          <w:p w14:paraId="0E6F7D99">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771A8418">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区自然资源局</w:t>
            </w:r>
          </w:p>
        </w:tc>
        <w:tc>
          <w:tcPr>
            <w:tcW w:w="970" w:type="pct"/>
            <w:tcBorders>
              <w:top w:val="single" w:color="auto" w:sz="4" w:space="0"/>
              <w:left w:val="single" w:color="auto" w:sz="4" w:space="0"/>
              <w:bottom w:val="single" w:color="auto" w:sz="4" w:space="0"/>
              <w:right w:val="single" w:color="auto" w:sz="4" w:space="0"/>
            </w:tcBorders>
            <w:vAlign w:val="center"/>
          </w:tcPr>
          <w:p w14:paraId="2D4E262A">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4508099 </w:t>
            </w:r>
          </w:p>
        </w:tc>
        <w:tc>
          <w:tcPr>
            <w:tcW w:w="745" w:type="pct"/>
            <w:tcBorders>
              <w:top w:val="single" w:color="auto" w:sz="4" w:space="0"/>
              <w:left w:val="single" w:color="auto" w:sz="4" w:space="0"/>
              <w:bottom w:val="single" w:color="auto" w:sz="4" w:space="0"/>
              <w:right w:val="single" w:color="auto" w:sz="4" w:space="0"/>
            </w:tcBorders>
            <w:vAlign w:val="center"/>
          </w:tcPr>
          <w:p w14:paraId="3784CDB9">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杨卓越</w:t>
            </w:r>
          </w:p>
        </w:tc>
        <w:tc>
          <w:tcPr>
            <w:tcW w:w="1148" w:type="pct"/>
            <w:tcBorders>
              <w:top w:val="single" w:color="auto" w:sz="4" w:space="0"/>
              <w:left w:val="single" w:color="auto" w:sz="4" w:space="0"/>
              <w:bottom w:val="single" w:color="auto" w:sz="4" w:space="0"/>
              <w:right w:val="single" w:color="auto" w:sz="4" w:space="0"/>
            </w:tcBorders>
            <w:vAlign w:val="center"/>
          </w:tcPr>
          <w:p w14:paraId="0ECFDE2A">
            <w:pPr>
              <w:jc w:val="center"/>
              <w:rPr>
                <w:rFonts w:ascii="Times New Roman" w:hAnsi="Times New Roman" w:eastAsia="仿宋" w:cs="Times New Roman"/>
                <w:sz w:val="28"/>
                <w:szCs w:val="28"/>
              </w:rPr>
            </w:pPr>
            <w:r>
              <w:rPr>
                <w:rFonts w:ascii="Times New Roman" w:hAnsi="Times New Roman" w:eastAsia="仿宋" w:cs="Times New Roman"/>
                <w:sz w:val="28"/>
                <w:szCs w:val="28"/>
              </w:rPr>
              <w:t>13994306529</w:t>
            </w:r>
          </w:p>
        </w:tc>
      </w:tr>
      <w:tr w14:paraId="5BEE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left w:val="single" w:color="auto" w:sz="4" w:space="0"/>
              <w:right w:val="single" w:color="auto" w:sz="4" w:space="0"/>
            </w:tcBorders>
            <w:vAlign w:val="center"/>
          </w:tcPr>
          <w:p w14:paraId="159D2407">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06EA92F4">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区住建局</w:t>
            </w:r>
          </w:p>
        </w:tc>
        <w:tc>
          <w:tcPr>
            <w:tcW w:w="970" w:type="pct"/>
            <w:tcBorders>
              <w:top w:val="single" w:color="auto" w:sz="4" w:space="0"/>
              <w:left w:val="single" w:color="auto" w:sz="4" w:space="0"/>
              <w:bottom w:val="single" w:color="auto" w:sz="4" w:space="0"/>
              <w:right w:val="single" w:color="auto" w:sz="4" w:space="0"/>
            </w:tcBorders>
            <w:vAlign w:val="center"/>
          </w:tcPr>
          <w:p w14:paraId="25B39F12">
            <w:pPr>
              <w:jc w:val="center"/>
              <w:rPr>
                <w:rFonts w:ascii="Times New Roman" w:hAnsi="Times New Roman" w:eastAsia="仿宋" w:cs="Times New Roman"/>
                <w:sz w:val="28"/>
                <w:szCs w:val="28"/>
              </w:rPr>
            </w:pPr>
            <w:r>
              <w:rPr>
                <w:rFonts w:ascii="Times New Roman" w:hAnsi="Times New Roman" w:eastAsia="仿宋" w:cs="Times New Roman"/>
                <w:sz w:val="28"/>
                <w:szCs w:val="28"/>
              </w:rPr>
              <w:t>7608566</w:t>
            </w:r>
          </w:p>
        </w:tc>
        <w:tc>
          <w:tcPr>
            <w:tcW w:w="745" w:type="pct"/>
            <w:tcBorders>
              <w:top w:val="single" w:color="auto" w:sz="4" w:space="0"/>
              <w:left w:val="single" w:color="auto" w:sz="4" w:space="0"/>
              <w:bottom w:val="single" w:color="auto" w:sz="4" w:space="0"/>
              <w:right w:val="single" w:color="auto" w:sz="4" w:space="0"/>
            </w:tcBorders>
            <w:vAlign w:val="center"/>
          </w:tcPr>
          <w:p w14:paraId="76DC0D34">
            <w:pPr>
              <w:jc w:val="center"/>
              <w:rPr>
                <w:rFonts w:ascii="Times New Roman" w:hAnsi="Times New Roman" w:eastAsia="仿宋" w:cs="Times New Roman"/>
                <w:sz w:val="28"/>
                <w:szCs w:val="28"/>
              </w:rPr>
            </w:pPr>
          </w:p>
        </w:tc>
        <w:tc>
          <w:tcPr>
            <w:tcW w:w="1148" w:type="pct"/>
            <w:tcBorders>
              <w:top w:val="single" w:color="auto" w:sz="4" w:space="0"/>
              <w:left w:val="single" w:color="auto" w:sz="4" w:space="0"/>
              <w:bottom w:val="single" w:color="auto" w:sz="4" w:space="0"/>
              <w:right w:val="single" w:color="auto" w:sz="4" w:space="0"/>
            </w:tcBorders>
            <w:vAlign w:val="center"/>
          </w:tcPr>
          <w:p w14:paraId="5A785013">
            <w:pPr>
              <w:jc w:val="center"/>
              <w:rPr>
                <w:rFonts w:ascii="Times New Roman" w:hAnsi="Times New Roman" w:eastAsia="仿宋" w:cs="Times New Roman"/>
                <w:sz w:val="28"/>
                <w:szCs w:val="28"/>
              </w:rPr>
            </w:pPr>
          </w:p>
        </w:tc>
      </w:tr>
      <w:tr w14:paraId="4B95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left w:val="single" w:color="auto" w:sz="4" w:space="0"/>
              <w:right w:val="single" w:color="auto" w:sz="4" w:space="0"/>
            </w:tcBorders>
            <w:vAlign w:val="center"/>
          </w:tcPr>
          <w:p w14:paraId="60937E6E">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235CDF56">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区交通局</w:t>
            </w:r>
          </w:p>
        </w:tc>
        <w:tc>
          <w:tcPr>
            <w:tcW w:w="970" w:type="pct"/>
            <w:tcBorders>
              <w:top w:val="single" w:color="auto" w:sz="4" w:space="0"/>
              <w:left w:val="single" w:color="auto" w:sz="4" w:space="0"/>
              <w:bottom w:val="single" w:color="auto" w:sz="4" w:space="0"/>
              <w:right w:val="single" w:color="auto" w:sz="4" w:space="0"/>
            </w:tcBorders>
            <w:vAlign w:val="center"/>
          </w:tcPr>
          <w:p w14:paraId="32E5B051">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4506782 </w:t>
            </w:r>
          </w:p>
        </w:tc>
        <w:tc>
          <w:tcPr>
            <w:tcW w:w="745" w:type="pct"/>
            <w:tcBorders>
              <w:top w:val="single" w:color="auto" w:sz="4" w:space="0"/>
              <w:left w:val="single" w:color="auto" w:sz="4" w:space="0"/>
              <w:bottom w:val="single" w:color="auto" w:sz="4" w:space="0"/>
              <w:right w:val="single" w:color="auto" w:sz="4" w:space="0"/>
            </w:tcBorders>
            <w:vAlign w:val="center"/>
          </w:tcPr>
          <w:p w14:paraId="101CE2D6">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靳权</w:t>
            </w:r>
          </w:p>
        </w:tc>
        <w:tc>
          <w:tcPr>
            <w:tcW w:w="1148" w:type="pct"/>
            <w:tcBorders>
              <w:top w:val="single" w:color="auto" w:sz="4" w:space="0"/>
              <w:left w:val="single" w:color="auto" w:sz="4" w:space="0"/>
              <w:bottom w:val="single" w:color="auto" w:sz="4" w:space="0"/>
              <w:right w:val="single" w:color="auto" w:sz="4" w:space="0"/>
            </w:tcBorders>
            <w:vAlign w:val="center"/>
          </w:tcPr>
          <w:p w14:paraId="42EC457E">
            <w:pPr>
              <w:jc w:val="center"/>
              <w:rPr>
                <w:rFonts w:ascii="Times New Roman" w:hAnsi="Times New Roman" w:eastAsia="仿宋" w:cs="Times New Roman"/>
                <w:sz w:val="28"/>
                <w:szCs w:val="28"/>
              </w:rPr>
            </w:pPr>
            <w:r>
              <w:rPr>
                <w:rFonts w:ascii="Times New Roman" w:hAnsi="Times New Roman" w:eastAsia="仿宋" w:cs="Times New Roman"/>
                <w:sz w:val="28"/>
                <w:szCs w:val="28"/>
              </w:rPr>
              <w:t>18647448202</w:t>
            </w:r>
          </w:p>
        </w:tc>
      </w:tr>
      <w:tr w14:paraId="0EA8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left w:val="single" w:color="auto" w:sz="4" w:space="0"/>
              <w:right w:val="single" w:color="auto" w:sz="4" w:space="0"/>
            </w:tcBorders>
            <w:vAlign w:val="center"/>
          </w:tcPr>
          <w:p w14:paraId="59B294F4">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4371BDE3">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区卫体局</w:t>
            </w:r>
          </w:p>
        </w:tc>
        <w:tc>
          <w:tcPr>
            <w:tcW w:w="970" w:type="pct"/>
            <w:tcBorders>
              <w:top w:val="single" w:color="auto" w:sz="4" w:space="0"/>
              <w:left w:val="single" w:color="auto" w:sz="4" w:space="0"/>
              <w:bottom w:val="single" w:color="auto" w:sz="4" w:space="0"/>
              <w:right w:val="single" w:color="auto" w:sz="4" w:space="0"/>
            </w:tcBorders>
            <w:vAlign w:val="center"/>
          </w:tcPr>
          <w:p w14:paraId="530999CB">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4022265</w:t>
            </w:r>
          </w:p>
        </w:tc>
        <w:tc>
          <w:tcPr>
            <w:tcW w:w="745" w:type="pct"/>
            <w:tcBorders>
              <w:top w:val="single" w:color="auto" w:sz="4" w:space="0"/>
              <w:left w:val="single" w:color="auto" w:sz="4" w:space="0"/>
              <w:bottom w:val="single" w:color="auto" w:sz="4" w:space="0"/>
              <w:right w:val="single" w:color="auto" w:sz="4" w:space="0"/>
            </w:tcBorders>
            <w:vAlign w:val="center"/>
          </w:tcPr>
          <w:p w14:paraId="10623429">
            <w:pPr>
              <w:jc w:val="center"/>
              <w:rPr>
                <w:rFonts w:ascii="Times New Roman" w:hAnsi="Times New Roman" w:eastAsia="仿宋" w:cs="Times New Roman"/>
                <w:sz w:val="28"/>
                <w:szCs w:val="28"/>
              </w:rPr>
            </w:pPr>
          </w:p>
        </w:tc>
        <w:tc>
          <w:tcPr>
            <w:tcW w:w="1148" w:type="pct"/>
            <w:tcBorders>
              <w:top w:val="single" w:color="auto" w:sz="4" w:space="0"/>
              <w:left w:val="single" w:color="auto" w:sz="4" w:space="0"/>
              <w:bottom w:val="single" w:color="auto" w:sz="4" w:space="0"/>
              <w:right w:val="single" w:color="auto" w:sz="4" w:space="0"/>
            </w:tcBorders>
            <w:vAlign w:val="center"/>
          </w:tcPr>
          <w:p w14:paraId="0B04BE5B">
            <w:pPr>
              <w:jc w:val="center"/>
              <w:rPr>
                <w:rFonts w:ascii="Times New Roman" w:hAnsi="Times New Roman" w:eastAsia="仿宋" w:cs="Times New Roman"/>
                <w:sz w:val="28"/>
                <w:szCs w:val="28"/>
              </w:rPr>
            </w:pPr>
          </w:p>
        </w:tc>
      </w:tr>
      <w:tr w14:paraId="0B44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left w:val="single" w:color="auto" w:sz="4" w:space="0"/>
              <w:right w:val="single" w:color="auto" w:sz="4" w:space="0"/>
            </w:tcBorders>
            <w:vAlign w:val="center"/>
          </w:tcPr>
          <w:p w14:paraId="69D69AC3">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56FD04A9">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区能源局</w:t>
            </w:r>
          </w:p>
        </w:tc>
        <w:tc>
          <w:tcPr>
            <w:tcW w:w="970" w:type="pct"/>
            <w:tcBorders>
              <w:top w:val="single" w:color="auto" w:sz="4" w:space="0"/>
              <w:left w:val="single" w:color="auto" w:sz="4" w:space="0"/>
              <w:bottom w:val="single" w:color="auto" w:sz="4" w:space="0"/>
              <w:right w:val="single" w:color="auto" w:sz="4" w:space="0"/>
            </w:tcBorders>
            <w:vAlign w:val="center"/>
          </w:tcPr>
          <w:p w14:paraId="41EE011C">
            <w:pPr>
              <w:jc w:val="center"/>
              <w:rPr>
                <w:rFonts w:ascii="Times New Roman" w:hAnsi="Times New Roman" w:eastAsia="仿宋" w:cs="Times New Roman"/>
                <w:sz w:val="28"/>
                <w:szCs w:val="28"/>
              </w:rPr>
            </w:pPr>
            <w:r>
              <w:rPr>
                <w:rFonts w:ascii="Times New Roman" w:hAnsi="Times New Roman" w:eastAsia="仿宋" w:cs="微软雅黑"/>
                <w:sz w:val="28"/>
                <w:szCs w:val="28"/>
              </w:rPr>
              <w:t>4051660</w:t>
            </w:r>
          </w:p>
        </w:tc>
        <w:tc>
          <w:tcPr>
            <w:tcW w:w="745" w:type="pct"/>
            <w:tcBorders>
              <w:top w:val="single" w:color="auto" w:sz="4" w:space="0"/>
              <w:left w:val="single" w:color="auto" w:sz="4" w:space="0"/>
              <w:bottom w:val="single" w:color="auto" w:sz="4" w:space="0"/>
              <w:right w:val="single" w:color="auto" w:sz="4" w:space="0"/>
            </w:tcBorders>
            <w:vAlign w:val="center"/>
          </w:tcPr>
          <w:p w14:paraId="378006C7">
            <w:pPr>
              <w:jc w:val="center"/>
              <w:rPr>
                <w:rFonts w:ascii="Times New Roman" w:hAnsi="Times New Roman" w:eastAsia="仿宋" w:cs="Times New Roman"/>
                <w:sz w:val="28"/>
                <w:szCs w:val="28"/>
              </w:rPr>
            </w:pPr>
            <w:r>
              <w:rPr>
                <w:rFonts w:ascii="Times New Roman" w:hAnsi="Times New Roman" w:eastAsia="仿宋" w:cs="微软雅黑"/>
                <w:sz w:val="28"/>
                <w:szCs w:val="28"/>
              </w:rPr>
              <w:t xml:space="preserve"> 刘洋 </w:t>
            </w:r>
          </w:p>
        </w:tc>
        <w:tc>
          <w:tcPr>
            <w:tcW w:w="1148" w:type="pct"/>
            <w:tcBorders>
              <w:top w:val="single" w:color="auto" w:sz="4" w:space="0"/>
              <w:left w:val="single" w:color="auto" w:sz="4" w:space="0"/>
              <w:bottom w:val="single" w:color="auto" w:sz="4" w:space="0"/>
              <w:right w:val="single" w:color="auto" w:sz="4" w:space="0"/>
            </w:tcBorders>
            <w:vAlign w:val="center"/>
          </w:tcPr>
          <w:p w14:paraId="6CECEDE5">
            <w:pPr>
              <w:jc w:val="center"/>
              <w:rPr>
                <w:rFonts w:ascii="Times New Roman" w:hAnsi="Times New Roman" w:eastAsia="仿宋" w:cs="Times New Roman"/>
                <w:sz w:val="28"/>
                <w:szCs w:val="28"/>
              </w:rPr>
            </w:pPr>
            <w:r>
              <w:rPr>
                <w:rFonts w:ascii="Times New Roman" w:hAnsi="Times New Roman" w:eastAsia="仿宋" w:cs="微软雅黑"/>
                <w:sz w:val="28"/>
                <w:szCs w:val="28"/>
              </w:rPr>
              <w:t>18222936510</w:t>
            </w:r>
          </w:p>
        </w:tc>
      </w:tr>
      <w:tr w14:paraId="022C1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left w:val="single" w:color="auto" w:sz="4" w:space="0"/>
              <w:right w:val="single" w:color="auto" w:sz="4" w:space="0"/>
            </w:tcBorders>
            <w:vAlign w:val="center"/>
          </w:tcPr>
          <w:p w14:paraId="41FAA66F">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759FCA44">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区教育局</w:t>
            </w:r>
          </w:p>
        </w:tc>
        <w:tc>
          <w:tcPr>
            <w:tcW w:w="970" w:type="pct"/>
            <w:tcBorders>
              <w:top w:val="single" w:color="auto" w:sz="4" w:space="0"/>
              <w:left w:val="single" w:color="auto" w:sz="4" w:space="0"/>
              <w:bottom w:val="single" w:color="auto" w:sz="4" w:space="0"/>
              <w:right w:val="single" w:color="auto" w:sz="4" w:space="0"/>
            </w:tcBorders>
            <w:vAlign w:val="center"/>
          </w:tcPr>
          <w:p w14:paraId="105F2815">
            <w:pPr>
              <w:jc w:val="center"/>
              <w:rPr>
                <w:rFonts w:ascii="Times New Roman" w:hAnsi="Times New Roman" w:eastAsia="仿宋" w:cs="Times New Roman"/>
                <w:sz w:val="28"/>
                <w:szCs w:val="28"/>
              </w:rPr>
            </w:pPr>
            <w:r>
              <w:rPr>
                <w:rFonts w:ascii="Times New Roman" w:hAnsi="Times New Roman" w:eastAsia="仿宋" w:cs="微软雅黑"/>
                <w:sz w:val="28"/>
                <w:szCs w:val="28"/>
              </w:rPr>
              <w:t xml:space="preserve">4040356 </w:t>
            </w:r>
          </w:p>
        </w:tc>
        <w:tc>
          <w:tcPr>
            <w:tcW w:w="745" w:type="pct"/>
            <w:tcBorders>
              <w:top w:val="single" w:color="auto" w:sz="4" w:space="0"/>
              <w:left w:val="single" w:color="auto" w:sz="4" w:space="0"/>
              <w:bottom w:val="single" w:color="auto" w:sz="4" w:space="0"/>
              <w:right w:val="single" w:color="auto" w:sz="4" w:space="0"/>
            </w:tcBorders>
            <w:vAlign w:val="center"/>
          </w:tcPr>
          <w:p w14:paraId="5A0AEE5E">
            <w:pPr>
              <w:jc w:val="center"/>
              <w:rPr>
                <w:rFonts w:ascii="Times New Roman" w:hAnsi="Times New Roman" w:eastAsia="仿宋" w:cs="Times New Roman"/>
                <w:sz w:val="28"/>
                <w:szCs w:val="28"/>
              </w:rPr>
            </w:pPr>
            <w:r>
              <w:rPr>
                <w:rFonts w:ascii="Times New Roman" w:hAnsi="Times New Roman" w:eastAsia="仿宋" w:cs="微软雅黑"/>
                <w:sz w:val="28"/>
                <w:szCs w:val="28"/>
              </w:rPr>
              <w:t xml:space="preserve">黄继红 </w:t>
            </w:r>
          </w:p>
        </w:tc>
        <w:tc>
          <w:tcPr>
            <w:tcW w:w="1148" w:type="pct"/>
            <w:tcBorders>
              <w:top w:val="single" w:color="auto" w:sz="4" w:space="0"/>
              <w:left w:val="single" w:color="auto" w:sz="4" w:space="0"/>
              <w:bottom w:val="single" w:color="auto" w:sz="4" w:space="0"/>
              <w:right w:val="single" w:color="auto" w:sz="4" w:space="0"/>
            </w:tcBorders>
            <w:vAlign w:val="center"/>
          </w:tcPr>
          <w:p w14:paraId="1A207D47">
            <w:pPr>
              <w:jc w:val="center"/>
              <w:rPr>
                <w:rFonts w:ascii="Times New Roman" w:hAnsi="Times New Roman" w:eastAsia="仿宋" w:cs="Times New Roman"/>
                <w:sz w:val="28"/>
                <w:szCs w:val="28"/>
              </w:rPr>
            </w:pPr>
            <w:r>
              <w:rPr>
                <w:rFonts w:ascii="Times New Roman" w:hAnsi="Times New Roman" w:eastAsia="仿宋" w:cs="微软雅黑"/>
                <w:sz w:val="28"/>
                <w:szCs w:val="28"/>
              </w:rPr>
              <w:t>18832505445</w:t>
            </w:r>
          </w:p>
        </w:tc>
      </w:tr>
      <w:tr w14:paraId="2C30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left w:val="single" w:color="auto" w:sz="4" w:space="0"/>
              <w:right w:val="single" w:color="auto" w:sz="4" w:space="0"/>
            </w:tcBorders>
            <w:vAlign w:val="center"/>
          </w:tcPr>
          <w:p w14:paraId="2B4DD550">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5565E8C3">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区市场监督管理局</w:t>
            </w:r>
          </w:p>
        </w:tc>
        <w:tc>
          <w:tcPr>
            <w:tcW w:w="970" w:type="pct"/>
            <w:tcBorders>
              <w:top w:val="single" w:color="auto" w:sz="4" w:space="0"/>
              <w:left w:val="single" w:color="auto" w:sz="4" w:space="0"/>
              <w:bottom w:val="single" w:color="auto" w:sz="4" w:space="0"/>
              <w:right w:val="single" w:color="auto" w:sz="4" w:space="0"/>
            </w:tcBorders>
            <w:vAlign w:val="center"/>
          </w:tcPr>
          <w:p w14:paraId="5B8DF01E">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5331903 </w:t>
            </w:r>
          </w:p>
        </w:tc>
        <w:tc>
          <w:tcPr>
            <w:tcW w:w="745" w:type="pct"/>
            <w:tcBorders>
              <w:top w:val="single" w:color="auto" w:sz="4" w:space="0"/>
              <w:left w:val="single" w:color="auto" w:sz="4" w:space="0"/>
              <w:bottom w:val="single" w:color="auto" w:sz="4" w:space="0"/>
              <w:right w:val="single" w:color="auto" w:sz="4" w:space="0"/>
            </w:tcBorders>
            <w:vAlign w:val="center"/>
          </w:tcPr>
          <w:p w14:paraId="73FA816E">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朱东虎</w:t>
            </w:r>
          </w:p>
        </w:tc>
        <w:tc>
          <w:tcPr>
            <w:tcW w:w="1148" w:type="pct"/>
            <w:tcBorders>
              <w:top w:val="single" w:color="auto" w:sz="4" w:space="0"/>
              <w:left w:val="single" w:color="auto" w:sz="4" w:space="0"/>
              <w:bottom w:val="single" w:color="auto" w:sz="4" w:space="0"/>
              <w:right w:val="single" w:color="auto" w:sz="4" w:space="0"/>
            </w:tcBorders>
            <w:vAlign w:val="center"/>
          </w:tcPr>
          <w:p w14:paraId="78FD4F09">
            <w:pPr>
              <w:jc w:val="center"/>
              <w:rPr>
                <w:rFonts w:ascii="Times New Roman" w:hAnsi="Times New Roman" w:eastAsia="仿宋" w:cs="Times New Roman"/>
                <w:sz w:val="28"/>
                <w:szCs w:val="28"/>
              </w:rPr>
            </w:pPr>
            <w:r>
              <w:rPr>
                <w:rFonts w:ascii="Times New Roman" w:hAnsi="Times New Roman" w:eastAsia="仿宋" w:cs="Times New Roman"/>
                <w:sz w:val="28"/>
                <w:szCs w:val="28"/>
              </w:rPr>
              <w:t>15503522878</w:t>
            </w:r>
          </w:p>
        </w:tc>
      </w:tr>
      <w:tr w14:paraId="3F14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left w:val="single" w:color="auto" w:sz="4" w:space="0"/>
              <w:right w:val="single" w:color="auto" w:sz="4" w:space="0"/>
            </w:tcBorders>
            <w:vAlign w:val="center"/>
          </w:tcPr>
          <w:p w14:paraId="1F446384">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5FB375D6">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区消防大队</w:t>
            </w:r>
          </w:p>
        </w:tc>
        <w:tc>
          <w:tcPr>
            <w:tcW w:w="970" w:type="pct"/>
            <w:tcBorders>
              <w:top w:val="single" w:color="auto" w:sz="4" w:space="0"/>
              <w:left w:val="single" w:color="auto" w:sz="4" w:space="0"/>
              <w:bottom w:val="single" w:color="auto" w:sz="4" w:space="0"/>
              <w:right w:val="single" w:color="auto" w:sz="4" w:space="0"/>
            </w:tcBorders>
            <w:vAlign w:val="center"/>
          </w:tcPr>
          <w:p w14:paraId="0AF09CD8">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5337119 </w:t>
            </w:r>
          </w:p>
        </w:tc>
        <w:tc>
          <w:tcPr>
            <w:tcW w:w="745" w:type="pct"/>
            <w:tcBorders>
              <w:top w:val="single" w:color="auto" w:sz="4" w:space="0"/>
              <w:left w:val="single" w:color="auto" w:sz="4" w:space="0"/>
              <w:bottom w:val="single" w:color="auto" w:sz="4" w:space="0"/>
              <w:right w:val="single" w:color="auto" w:sz="4" w:space="0"/>
            </w:tcBorders>
            <w:vAlign w:val="center"/>
          </w:tcPr>
          <w:p w14:paraId="3C63B1EE">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杜磊磊</w:t>
            </w:r>
          </w:p>
        </w:tc>
        <w:tc>
          <w:tcPr>
            <w:tcW w:w="1148" w:type="pct"/>
            <w:tcBorders>
              <w:top w:val="single" w:color="auto" w:sz="4" w:space="0"/>
              <w:left w:val="single" w:color="auto" w:sz="4" w:space="0"/>
              <w:bottom w:val="single" w:color="auto" w:sz="4" w:space="0"/>
              <w:right w:val="single" w:color="auto" w:sz="4" w:space="0"/>
            </w:tcBorders>
            <w:vAlign w:val="center"/>
          </w:tcPr>
          <w:p w14:paraId="7B7796D1">
            <w:pPr>
              <w:jc w:val="center"/>
              <w:rPr>
                <w:rFonts w:ascii="Times New Roman" w:hAnsi="Times New Roman" w:eastAsia="仿宋" w:cs="Times New Roman"/>
                <w:sz w:val="28"/>
                <w:szCs w:val="28"/>
              </w:rPr>
            </w:pPr>
            <w:r>
              <w:rPr>
                <w:rFonts w:ascii="Times New Roman" w:hAnsi="Times New Roman" w:eastAsia="仿宋" w:cs="Times New Roman"/>
                <w:sz w:val="28"/>
                <w:szCs w:val="28"/>
              </w:rPr>
              <w:t>13903428567</w:t>
            </w:r>
          </w:p>
        </w:tc>
      </w:tr>
      <w:tr w14:paraId="2258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pct"/>
            <w:vMerge w:val="continue"/>
            <w:tcBorders>
              <w:left w:val="single" w:color="auto" w:sz="4" w:space="0"/>
              <w:right w:val="single" w:color="auto" w:sz="4" w:space="0"/>
            </w:tcBorders>
            <w:vAlign w:val="center"/>
          </w:tcPr>
          <w:p w14:paraId="424FDDC5">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5441A614">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区交警五大队</w:t>
            </w:r>
          </w:p>
        </w:tc>
        <w:tc>
          <w:tcPr>
            <w:tcW w:w="970" w:type="pct"/>
            <w:tcBorders>
              <w:top w:val="single" w:color="auto" w:sz="4" w:space="0"/>
              <w:left w:val="single" w:color="auto" w:sz="4" w:space="0"/>
              <w:bottom w:val="single" w:color="auto" w:sz="4" w:space="0"/>
              <w:right w:val="single" w:color="auto" w:sz="4" w:space="0"/>
            </w:tcBorders>
            <w:vAlign w:val="center"/>
          </w:tcPr>
          <w:p w14:paraId="769272DB">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2109122</w:t>
            </w:r>
          </w:p>
        </w:tc>
        <w:tc>
          <w:tcPr>
            <w:tcW w:w="745" w:type="pct"/>
            <w:tcBorders>
              <w:top w:val="single" w:color="auto" w:sz="4" w:space="0"/>
              <w:left w:val="single" w:color="auto" w:sz="4" w:space="0"/>
              <w:bottom w:val="single" w:color="auto" w:sz="4" w:space="0"/>
              <w:right w:val="single" w:color="auto" w:sz="4" w:space="0"/>
            </w:tcBorders>
            <w:vAlign w:val="center"/>
          </w:tcPr>
          <w:p w14:paraId="336C1AEB">
            <w:pPr>
              <w:jc w:val="center"/>
              <w:rPr>
                <w:rFonts w:ascii="Times New Roman" w:hAnsi="Times New Roman" w:eastAsia="仿宋" w:cs="Times New Roman"/>
                <w:sz w:val="28"/>
                <w:szCs w:val="28"/>
              </w:rPr>
            </w:pPr>
          </w:p>
        </w:tc>
        <w:tc>
          <w:tcPr>
            <w:tcW w:w="1148" w:type="pct"/>
            <w:tcBorders>
              <w:top w:val="single" w:color="auto" w:sz="4" w:space="0"/>
              <w:left w:val="single" w:color="auto" w:sz="4" w:space="0"/>
              <w:bottom w:val="single" w:color="auto" w:sz="4" w:space="0"/>
              <w:right w:val="single" w:color="auto" w:sz="4" w:space="0"/>
            </w:tcBorders>
            <w:vAlign w:val="center"/>
          </w:tcPr>
          <w:p w14:paraId="4656E0F4">
            <w:pPr>
              <w:jc w:val="center"/>
              <w:rPr>
                <w:rFonts w:ascii="Times New Roman" w:hAnsi="Times New Roman" w:eastAsia="仿宋" w:cs="Times New Roman"/>
                <w:sz w:val="28"/>
                <w:szCs w:val="28"/>
              </w:rPr>
            </w:pPr>
          </w:p>
        </w:tc>
      </w:tr>
      <w:tr w14:paraId="78E8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951" w:type="pct"/>
            <w:vMerge w:val="continue"/>
            <w:tcBorders>
              <w:left w:val="single" w:color="auto" w:sz="4" w:space="0"/>
              <w:right w:val="single" w:color="auto" w:sz="4" w:space="0"/>
            </w:tcBorders>
            <w:vAlign w:val="center"/>
          </w:tcPr>
          <w:p w14:paraId="72F1B7B0">
            <w:pPr>
              <w:widowControl/>
              <w:jc w:val="left"/>
              <w:rPr>
                <w:rFonts w:ascii="Times New Roman" w:hAnsi="Times New Roman" w:eastAsia="仿宋" w:cs="Times New Roman"/>
                <w:sz w:val="28"/>
                <w:szCs w:val="28"/>
              </w:rPr>
            </w:pPr>
          </w:p>
        </w:tc>
        <w:tc>
          <w:tcPr>
            <w:tcW w:w="1186" w:type="pct"/>
            <w:tcBorders>
              <w:top w:val="single" w:color="auto" w:sz="4" w:space="0"/>
              <w:left w:val="single" w:color="auto" w:sz="4" w:space="0"/>
              <w:bottom w:val="single" w:color="auto" w:sz="4" w:space="0"/>
              <w:right w:val="single" w:color="auto" w:sz="4" w:space="0"/>
            </w:tcBorders>
            <w:vAlign w:val="center"/>
          </w:tcPr>
          <w:p w14:paraId="6E01AE73">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口泉乡人民政府</w:t>
            </w:r>
          </w:p>
        </w:tc>
        <w:tc>
          <w:tcPr>
            <w:tcW w:w="970" w:type="pct"/>
            <w:tcBorders>
              <w:top w:val="single" w:color="auto" w:sz="4" w:space="0"/>
              <w:left w:val="single" w:color="auto" w:sz="4" w:space="0"/>
              <w:bottom w:val="single" w:color="auto" w:sz="4" w:space="0"/>
              <w:right w:val="single" w:color="auto" w:sz="4" w:space="0"/>
            </w:tcBorders>
            <w:vAlign w:val="center"/>
          </w:tcPr>
          <w:p w14:paraId="0716F905">
            <w:pPr>
              <w:jc w:val="center"/>
              <w:rPr>
                <w:rFonts w:ascii="Times New Roman" w:hAnsi="Times New Roman" w:eastAsia="仿宋" w:cs="Times New Roman"/>
                <w:sz w:val="28"/>
                <w:szCs w:val="28"/>
              </w:rPr>
            </w:pPr>
            <w:r>
              <w:rPr>
                <w:rFonts w:ascii="Times New Roman" w:hAnsi="Times New Roman" w:eastAsia="仿宋" w:cs="Times New Roman"/>
                <w:sz w:val="28"/>
                <w:szCs w:val="28"/>
              </w:rPr>
              <w:t>4052200</w:t>
            </w:r>
          </w:p>
        </w:tc>
        <w:tc>
          <w:tcPr>
            <w:tcW w:w="745" w:type="pct"/>
            <w:tcBorders>
              <w:top w:val="single" w:color="auto" w:sz="4" w:space="0"/>
              <w:left w:val="single" w:color="auto" w:sz="4" w:space="0"/>
              <w:bottom w:val="single" w:color="auto" w:sz="4" w:space="0"/>
              <w:right w:val="single" w:color="auto" w:sz="4" w:space="0"/>
            </w:tcBorders>
            <w:vAlign w:val="center"/>
          </w:tcPr>
          <w:p w14:paraId="214D1CF1">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李建军</w:t>
            </w:r>
          </w:p>
        </w:tc>
        <w:tc>
          <w:tcPr>
            <w:tcW w:w="1148" w:type="pct"/>
            <w:tcBorders>
              <w:top w:val="single" w:color="auto" w:sz="4" w:space="0"/>
              <w:left w:val="single" w:color="auto" w:sz="4" w:space="0"/>
              <w:bottom w:val="single" w:color="auto" w:sz="4" w:space="0"/>
              <w:right w:val="single" w:color="auto" w:sz="4" w:space="0"/>
            </w:tcBorders>
            <w:vAlign w:val="center"/>
          </w:tcPr>
          <w:p w14:paraId="76A078EE">
            <w:pPr>
              <w:jc w:val="center"/>
              <w:rPr>
                <w:rFonts w:ascii="Times New Roman" w:hAnsi="Times New Roman" w:eastAsia="仿宋" w:cs="Times New Roman"/>
                <w:sz w:val="28"/>
                <w:szCs w:val="28"/>
              </w:rPr>
            </w:pPr>
            <w:r>
              <w:rPr>
                <w:rFonts w:ascii="Times New Roman" w:hAnsi="Times New Roman" w:eastAsia="仿宋" w:cs="Times New Roman"/>
                <w:sz w:val="28"/>
                <w:szCs w:val="28"/>
              </w:rPr>
              <w:t>13753283888</w:t>
            </w:r>
          </w:p>
        </w:tc>
      </w:tr>
      <w:bookmarkEnd w:id="109"/>
      <w:bookmarkEnd w:id="110"/>
    </w:tbl>
    <w:p w14:paraId="5A0CED58">
      <w:pPr>
        <w:pStyle w:val="21"/>
        <w:spacing w:line="240" w:lineRule="auto"/>
        <w:ind w:firstLine="0"/>
        <w:rPr>
          <w:rFonts w:ascii="Times New Roman" w:hAnsi="Times New Roman"/>
          <w:color w:val="auto"/>
        </w:rPr>
        <w:sectPr>
          <w:pgSz w:w="16838" w:h="11906" w:orient="landscape"/>
          <w:pgMar w:top="1701" w:right="1440" w:bottom="1701" w:left="1440" w:header="851" w:footer="992" w:gutter="0"/>
          <w:cols w:space="425" w:num="1"/>
          <w:docGrid w:type="lines" w:linePitch="312" w:charSpace="0"/>
        </w:sectPr>
      </w:pPr>
    </w:p>
    <w:p w14:paraId="7332EE98">
      <w:pPr>
        <w:pStyle w:val="23"/>
        <w:rPr>
          <w:rFonts w:ascii="Times New Roman" w:hAnsi="Times New Roman"/>
        </w:rPr>
      </w:pPr>
      <w:bookmarkStart w:id="111" w:name="_Toc213690752"/>
      <w:r>
        <w:rPr>
          <w:rFonts w:hint="eastAsia" w:ascii="Times New Roman" w:hAnsi="Times New Roman"/>
        </w:rPr>
        <w:t>附图1</w:t>
      </w:r>
      <w:r>
        <w:rPr>
          <w:rFonts w:ascii="Times New Roman" w:hAnsi="Times New Roman"/>
        </w:rPr>
        <w:t xml:space="preserve"> </w:t>
      </w:r>
      <w:r>
        <w:rPr>
          <w:rFonts w:hint="eastAsia" w:ascii="Times New Roman" w:hAnsi="Times New Roman"/>
        </w:rPr>
        <w:t>墙框堡水库水源地保护区划分结果图</w:t>
      </w:r>
      <w:bookmarkEnd w:id="111"/>
    </w:p>
    <w:p w14:paraId="440B6274">
      <w:pPr>
        <w:pStyle w:val="21"/>
        <w:spacing w:line="240" w:lineRule="auto"/>
        <w:ind w:firstLine="0"/>
        <w:rPr>
          <w:rFonts w:ascii="Times New Roman" w:hAnsi="Times New Roman"/>
          <w:color w:val="auto"/>
        </w:rPr>
      </w:pPr>
      <w:r>
        <w:rPr>
          <w:rFonts w:ascii="Times New Roman" w:hAnsi="Times New Roman"/>
          <w:color w:val="auto"/>
        </w:rPr>
        <w:drawing>
          <wp:inline distT="0" distB="0" distL="0" distR="0">
            <wp:extent cx="5313680" cy="7536815"/>
            <wp:effectExtent l="0" t="0" r="127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18946" cy="7544184"/>
                    </a:xfrm>
                    <a:prstGeom prst="rect">
                      <a:avLst/>
                    </a:prstGeom>
                    <a:noFill/>
                  </pic:spPr>
                </pic:pic>
              </a:graphicData>
            </a:graphic>
          </wp:inline>
        </w:drawing>
      </w:r>
    </w:p>
    <w:p w14:paraId="39708F99">
      <w:pPr>
        <w:pStyle w:val="21"/>
        <w:ind w:firstLine="0"/>
        <w:rPr>
          <w:rFonts w:ascii="Times New Roman" w:hAnsi="Times New Roman"/>
          <w:color w:val="auto"/>
        </w:rPr>
      </w:pPr>
    </w:p>
    <w:p w14:paraId="2D6117B7">
      <w:pPr>
        <w:pStyle w:val="23"/>
        <w:rPr>
          <w:rFonts w:ascii="Times New Roman" w:hAnsi="Times New Roman"/>
        </w:rPr>
      </w:pPr>
      <w:bookmarkStart w:id="112" w:name="_Toc205817946"/>
      <w:bookmarkStart w:id="113" w:name="_Toc213690753"/>
      <w:r>
        <w:rPr>
          <w:rFonts w:hint="eastAsia" w:ascii="Times New Roman" w:hAnsi="Times New Roman"/>
        </w:rPr>
        <w:t>附图2</w:t>
      </w:r>
      <w:r>
        <w:rPr>
          <w:rFonts w:ascii="Times New Roman" w:hAnsi="Times New Roman"/>
        </w:rPr>
        <w:t xml:space="preserve"> </w:t>
      </w:r>
      <w:r>
        <w:rPr>
          <w:rFonts w:hint="eastAsia" w:ascii="Times New Roman" w:hAnsi="Times New Roman"/>
        </w:rPr>
        <w:t>应急预案适用范围图</w:t>
      </w:r>
      <w:bookmarkEnd w:id="112"/>
      <w:bookmarkEnd w:id="113"/>
    </w:p>
    <w:p w14:paraId="17007007">
      <w:pPr>
        <w:pStyle w:val="21"/>
        <w:spacing w:line="240" w:lineRule="auto"/>
        <w:ind w:firstLine="0"/>
        <w:rPr>
          <w:rFonts w:ascii="Times New Roman" w:hAnsi="Times New Roman"/>
          <w:color w:val="auto"/>
        </w:rPr>
      </w:pPr>
      <w:r>
        <w:rPr>
          <w:rFonts w:ascii="Times New Roman" w:hAnsi="Times New Roman"/>
          <w:color w:val="auto"/>
        </w:rPr>
        <w:drawing>
          <wp:inline distT="0" distB="0" distL="0" distR="0">
            <wp:extent cx="5365115" cy="7106920"/>
            <wp:effectExtent l="0" t="0" r="6985" b="0"/>
            <wp:docPr id="2" name="图片 2" descr="F:\应急预案\应急预案\报告\报批本\地表水应急预案\附图2 范围图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应急预案\应急预案\报告\报批本\地表水应急预案\附图2 范围图 拷贝.jpg"/>
                    <pic:cNvPicPr>
                      <a:picLocks noChangeAspect="1" noChangeArrowheads="1"/>
                    </pic:cNvPicPr>
                  </pic:nvPicPr>
                  <pic:blipFill>
                    <a:blip r:embed="rId12" cstate="print">
                      <a:extLst>
                        <a:ext uri="{28A0092B-C50C-407E-A947-70E740481C1C}">
                          <a14:useLocalDpi xmlns:a14="http://schemas.microsoft.com/office/drawing/2010/main" val="0"/>
                        </a:ext>
                      </a:extLst>
                    </a:blip>
                    <a:srcRect l="3718" t="5925" r="3783" b="7518"/>
                    <a:stretch>
                      <a:fillRect/>
                    </a:stretch>
                  </pic:blipFill>
                  <pic:spPr>
                    <a:xfrm>
                      <a:off x="0" y="0"/>
                      <a:ext cx="5371893" cy="7115756"/>
                    </a:xfrm>
                    <a:prstGeom prst="rect">
                      <a:avLst/>
                    </a:prstGeom>
                    <a:noFill/>
                    <a:ln>
                      <a:noFill/>
                    </a:ln>
                  </pic:spPr>
                </pic:pic>
              </a:graphicData>
            </a:graphic>
          </wp:inline>
        </w:drawing>
      </w:r>
    </w:p>
    <w:p w14:paraId="7D76FDC2">
      <w:pPr>
        <w:pStyle w:val="21"/>
        <w:spacing w:line="240" w:lineRule="auto"/>
        <w:ind w:firstLine="0"/>
        <w:rPr>
          <w:rFonts w:ascii="Times New Roman" w:hAnsi="Times New Roman"/>
          <w:color w:val="auto"/>
        </w:rPr>
      </w:pPr>
    </w:p>
    <w:p w14:paraId="3C00623E">
      <w:pPr>
        <w:pStyle w:val="21"/>
        <w:spacing w:line="240" w:lineRule="auto"/>
        <w:ind w:firstLine="0"/>
        <w:rPr>
          <w:rFonts w:ascii="Times New Roman" w:hAnsi="Times New Roman"/>
          <w:color w:val="auto"/>
        </w:rPr>
      </w:pPr>
    </w:p>
    <w:p w14:paraId="1BE50BB9">
      <w:pPr>
        <w:pStyle w:val="21"/>
        <w:spacing w:line="240" w:lineRule="auto"/>
        <w:ind w:firstLine="0"/>
        <w:rPr>
          <w:rFonts w:ascii="Times New Roman" w:hAnsi="Times New Roman"/>
          <w:color w:val="auto"/>
        </w:rPr>
      </w:pPr>
    </w:p>
    <w:p w14:paraId="5BC0A8A2">
      <w:pPr>
        <w:pStyle w:val="21"/>
        <w:spacing w:line="240" w:lineRule="auto"/>
        <w:ind w:firstLine="0"/>
        <w:rPr>
          <w:rFonts w:ascii="Times New Roman" w:hAnsi="Times New Roman"/>
          <w:color w:val="auto"/>
        </w:rPr>
      </w:pPr>
      <w:r>
        <w:rPr>
          <w:rFonts w:hint="eastAsia" w:ascii="Times New Roman" w:hAnsi="Times New Roman"/>
          <w:color w:val="auto"/>
        </w:rPr>
        <w:drawing>
          <wp:inline distT="0" distB="0" distL="0" distR="0">
            <wp:extent cx="7637145" cy="5400040"/>
            <wp:effectExtent l="0" t="5397"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7637145" cy="5400040"/>
                    </a:xfrm>
                    <a:prstGeom prst="rect">
                      <a:avLst/>
                    </a:prstGeom>
                  </pic:spPr>
                </pic:pic>
              </a:graphicData>
            </a:graphic>
          </wp:inline>
        </w:drawing>
      </w:r>
      <w:r>
        <w:rPr>
          <w:rFonts w:hint="eastAsia" w:ascii="Times New Roman" w:hAnsi="Times New Roman"/>
          <w:color w:val="auto"/>
        </w:rPr>
        <w:drawing>
          <wp:inline distT="0" distB="0" distL="0" distR="0">
            <wp:extent cx="7637145" cy="5400040"/>
            <wp:effectExtent l="0" t="5397"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7637145" cy="5400040"/>
                    </a:xfrm>
                    <a:prstGeom prst="rect">
                      <a:avLst/>
                    </a:prstGeom>
                  </pic:spPr>
                </pic:pic>
              </a:graphicData>
            </a:graphic>
          </wp:inline>
        </w:drawing>
      </w:r>
    </w:p>
    <w:sectPr>
      <w:pgSz w:w="11906" w:h="16838"/>
      <w:pgMar w:top="1440" w:right="1701"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00000000" w:usb1="00000000" w:usb2="0000007F" w:usb3="00000000" w:csb0="003F01FF" w:csb1="00000000"/>
  </w:font>
  <w:font w:name="方正小标宋简体">
    <w:altName w:val="黑体"/>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PMingLiU">
    <w:altName w:val="Microsoft JhengHei UI"/>
    <w:panose1 w:val="02010601000101010101"/>
    <w:charset w:val="88"/>
    <w:family w:val="roman"/>
    <w:pitch w:val="default"/>
    <w:sig w:usb0="00000000" w:usb1="00000000" w:usb2="00000016" w:usb3="00000000" w:csb0="00100001"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KSOF439EEF50">
    <w:panose1 w:val="02000000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66B32">
    <w:pPr>
      <w:pStyle w:val="8"/>
      <w:jc w:val="center"/>
    </w:pPr>
  </w:p>
  <w:p w14:paraId="303E1743">
    <w:pPr>
      <w:pStyle w:val="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8022482"/>
    </w:sdtPr>
    <w:sdtContent>
      <w:p w14:paraId="01E3425D">
        <w:pPr>
          <w:pStyle w:val="8"/>
          <w:jc w:val="center"/>
        </w:pPr>
        <w:r>
          <w:fldChar w:fldCharType="begin"/>
        </w:r>
        <w:r>
          <w:instrText xml:space="preserve">PAGE   \* MERGEFORMAT</w:instrText>
        </w:r>
        <w:r>
          <w:fldChar w:fldCharType="separate"/>
        </w:r>
        <w:r>
          <w:rPr>
            <w:lang w:val="zh-CN"/>
          </w:rPr>
          <w:t>4</w:t>
        </w:r>
        <w:r>
          <w:fldChar w:fldCharType="end"/>
        </w:r>
      </w:p>
    </w:sdtContent>
  </w:sdt>
  <w:p w14:paraId="1EF919ED">
    <w:pPr>
      <w:pStyle w:val="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6689293"/>
      <w:showingPlcHdr/>
    </w:sdtPr>
    <w:sdtContent>
      <w:p w14:paraId="0479CDAE">
        <w:pPr>
          <w:pStyle w:val="8"/>
          <w:jc w:val="center"/>
        </w:pPr>
        <w:r>
          <w:t xml:space="preserve">     </w:t>
        </w:r>
      </w:p>
    </w:sdtContent>
  </w:sdt>
  <w:p w14:paraId="10F745C4">
    <w:pPr>
      <w:pStyle w:val="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7398816"/>
    </w:sdtPr>
    <w:sdtContent>
      <w:p w14:paraId="4A5F002B">
        <w:pPr>
          <w:pStyle w:val="8"/>
          <w:jc w:val="center"/>
        </w:pPr>
        <w:r>
          <w:fldChar w:fldCharType="begin"/>
        </w:r>
        <w:r>
          <w:instrText xml:space="preserve">PAGE   \* MERGEFORMAT</w:instrText>
        </w:r>
        <w:r>
          <w:fldChar w:fldCharType="separate"/>
        </w:r>
        <w:r>
          <w:rPr>
            <w:lang w:val="zh-CN"/>
          </w:rPr>
          <w:t>3</w:t>
        </w:r>
        <w:r>
          <w:fldChar w:fldCharType="end"/>
        </w:r>
      </w:p>
    </w:sdtContent>
  </w:sdt>
  <w:p w14:paraId="3DCB155B">
    <w:pPr>
      <w:pStyle w:val="8"/>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CDF"/>
    <w:rsid w:val="00000423"/>
    <w:rsid w:val="00005A65"/>
    <w:rsid w:val="0001063F"/>
    <w:rsid w:val="00012110"/>
    <w:rsid w:val="00016EC7"/>
    <w:rsid w:val="000208F6"/>
    <w:rsid w:val="00022847"/>
    <w:rsid w:val="00022B83"/>
    <w:rsid w:val="00022EAB"/>
    <w:rsid w:val="000233C2"/>
    <w:rsid w:val="00023CD7"/>
    <w:rsid w:val="0002637C"/>
    <w:rsid w:val="0002657E"/>
    <w:rsid w:val="00026C9A"/>
    <w:rsid w:val="00026FDB"/>
    <w:rsid w:val="0002780D"/>
    <w:rsid w:val="000310AF"/>
    <w:rsid w:val="00031EC6"/>
    <w:rsid w:val="00033E18"/>
    <w:rsid w:val="00034988"/>
    <w:rsid w:val="00034CB3"/>
    <w:rsid w:val="000414CD"/>
    <w:rsid w:val="000438A0"/>
    <w:rsid w:val="000473FC"/>
    <w:rsid w:val="00053DCC"/>
    <w:rsid w:val="0005581B"/>
    <w:rsid w:val="000603C2"/>
    <w:rsid w:val="0006425D"/>
    <w:rsid w:val="0006449D"/>
    <w:rsid w:val="00065531"/>
    <w:rsid w:val="00065590"/>
    <w:rsid w:val="00065B33"/>
    <w:rsid w:val="000660AE"/>
    <w:rsid w:val="000679C1"/>
    <w:rsid w:val="00071767"/>
    <w:rsid w:val="00071FD1"/>
    <w:rsid w:val="00073F08"/>
    <w:rsid w:val="00074301"/>
    <w:rsid w:val="00075B38"/>
    <w:rsid w:val="00075CDC"/>
    <w:rsid w:val="000770AB"/>
    <w:rsid w:val="00077125"/>
    <w:rsid w:val="00077478"/>
    <w:rsid w:val="0008063F"/>
    <w:rsid w:val="00080D15"/>
    <w:rsid w:val="00081747"/>
    <w:rsid w:val="00081AFA"/>
    <w:rsid w:val="00081C3E"/>
    <w:rsid w:val="000831FA"/>
    <w:rsid w:val="0008768A"/>
    <w:rsid w:val="00090250"/>
    <w:rsid w:val="00091521"/>
    <w:rsid w:val="00092AFE"/>
    <w:rsid w:val="00092DF4"/>
    <w:rsid w:val="0009342A"/>
    <w:rsid w:val="00096018"/>
    <w:rsid w:val="000A1C5A"/>
    <w:rsid w:val="000A2767"/>
    <w:rsid w:val="000A5204"/>
    <w:rsid w:val="000B2C1A"/>
    <w:rsid w:val="000B37C1"/>
    <w:rsid w:val="000B42D2"/>
    <w:rsid w:val="000B4B62"/>
    <w:rsid w:val="000B53DB"/>
    <w:rsid w:val="000B768C"/>
    <w:rsid w:val="000C043D"/>
    <w:rsid w:val="000C2314"/>
    <w:rsid w:val="000C2BCF"/>
    <w:rsid w:val="000C36B1"/>
    <w:rsid w:val="000C481D"/>
    <w:rsid w:val="000C5EDB"/>
    <w:rsid w:val="000C7711"/>
    <w:rsid w:val="000D259A"/>
    <w:rsid w:val="000D26D2"/>
    <w:rsid w:val="000D2980"/>
    <w:rsid w:val="000D34E5"/>
    <w:rsid w:val="000D5687"/>
    <w:rsid w:val="000D654D"/>
    <w:rsid w:val="000D66BC"/>
    <w:rsid w:val="000D6CC2"/>
    <w:rsid w:val="000E13C1"/>
    <w:rsid w:val="000E44F2"/>
    <w:rsid w:val="000E50F2"/>
    <w:rsid w:val="000E54EE"/>
    <w:rsid w:val="000E5C48"/>
    <w:rsid w:val="000E6DED"/>
    <w:rsid w:val="001014CD"/>
    <w:rsid w:val="00104412"/>
    <w:rsid w:val="00104481"/>
    <w:rsid w:val="001107B6"/>
    <w:rsid w:val="00113C01"/>
    <w:rsid w:val="001167CE"/>
    <w:rsid w:val="00122B2B"/>
    <w:rsid w:val="001258A6"/>
    <w:rsid w:val="00125F4A"/>
    <w:rsid w:val="001268E2"/>
    <w:rsid w:val="00126E4C"/>
    <w:rsid w:val="0013184E"/>
    <w:rsid w:val="001322AC"/>
    <w:rsid w:val="001335BA"/>
    <w:rsid w:val="00133F8F"/>
    <w:rsid w:val="00134401"/>
    <w:rsid w:val="001363C2"/>
    <w:rsid w:val="00137312"/>
    <w:rsid w:val="00137D9B"/>
    <w:rsid w:val="00140F7F"/>
    <w:rsid w:val="00142042"/>
    <w:rsid w:val="001437AD"/>
    <w:rsid w:val="00147F11"/>
    <w:rsid w:val="00150BC2"/>
    <w:rsid w:val="00155A1C"/>
    <w:rsid w:val="00157B4E"/>
    <w:rsid w:val="00157B77"/>
    <w:rsid w:val="001601B0"/>
    <w:rsid w:val="00160392"/>
    <w:rsid w:val="00164509"/>
    <w:rsid w:val="00165F4E"/>
    <w:rsid w:val="001731FE"/>
    <w:rsid w:val="001773DB"/>
    <w:rsid w:val="00181B29"/>
    <w:rsid w:val="00196D1E"/>
    <w:rsid w:val="001A3205"/>
    <w:rsid w:val="001A455A"/>
    <w:rsid w:val="001B02B3"/>
    <w:rsid w:val="001B0782"/>
    <w:rsid w:val="001B24E3"/>
    <w:rsid w:val="001B2803"/>
    <w:rsid w:val="001B38DE"/>
    <w:rsid w:val="001B481E"/>
    <w:rsid w:val="001B56FD"/>
    <w:rsid w:val="001B7133"/>
    <w:rsid w:val="001C5EEC"/>
    <w:rsid w:val="001C601E"/>
    <w:rsid w:val="001C789F"/>
    <w:rsid w:val="001D01C2"/>
    <w:rsid w:val="001D0DEA"/>
    <w:rsid w:val="001D38C0"/>
    <w:rsid w:val="001D3DD6"/>
    <w:rsid w:val="001D471F"/>
    <w:rsid w:val="001D686B"/>
    <w:rsid w:val="001D7445"/>
    <w:rsid w:val="001E1C98"/>
    <w:rsid w:val="001E3BAE"/>
    <w:rsid w:val="001E6E79"/>
    <w:rsid w:val="001F29CD"/>
    <w:rsid w:val="001F2CCA"/>
    <w:rsid w:val="001F3E48"/>
    <w:rsid w:val="001F50C8"/>
    <w:rsid w:val="001F5F6D"/>
    <w:rsid w:val="0020124B"/>
    <w:rsid w:val="00207C4D"/>
    <w:rsid w:val="002110A8"/>
    <w:rsid w:val="00211B47"/>
    <w:rsid w:val="00212F1D"/>
    <w:rsid w:val="00213E5E"/>
    <w:rsid w:val="002148AB"/>
    <w:rsid w:val="00215CCD"/>
    <w:rsid w:val="00216F24"/>
    <w:rsid w:val="0021751F"/>
    <w:rsid w:val="00222EE5"/>
    <w:rsid w:val="0022403A"/>
    <w:rsid w:val="002247E7"/>
    <w:rsid w:val="0022676E"/>
    <w:rsid w:val="00227537"/>
    <w:rsid w:val="00230E20"/>
    <w:rsid w:val="00232854"/>
    <w:rsid w:val="002331E0"/>
    <w:rsid w:val="002343CE"/>
    <w:rsid w:val="00236574"/>
    <w:rsid w:val="00237902"/>
    <w:rsid w:val="00237B61"/>
    <w:rsid w:val="00237F58"/>
    <w:rsid w:val="00241CA7"/>
    <w:rsid w:val="00242976"/>
    <w:rsid w:val="00243692"/>
    <w:rsid w:val="0024551F"/>
    <w:rsid w:val="00246AB6"/>
    <w:rsid w:val="00247456"/>
    <w:rsid w:val="00250D2A"/>
    <w:rsid w:val="002538F8"/>
    <w:rsid w:val="0025539A"/>
    <w:rsid w:val="00257064"/>
    <w:rsid w:val="00260337"/>
    <w:rsid w:val="00261709"/>
    <w:rsid w:val="0026209B"/>
    <w:rsid w:val="00262630"/>
    <w:rsid w:val="0026537F"/>
    <w:rsid w:val="00265639"/>
    <w:rsid w:val="00266E83"/>
    <w:rsid w:val="00270384"/>
    <w:rsid w:val="00274FAA"/>
    <w:rsid w:val="00275E23"/>
    <w:rsid w:val="002760AB"/>
    <w:rsid w:val="00276AEF"/>
    <w:rsid w:val="00282374"/>
    <w:rsid w:val="0028326C"/>
    <w:rsid w:val="00284D84"/>
    <w:rsid w:val="00287B0E"/>
    <w:rsid w:val="00293296"/>
    <w:rsid w:val="0029627D"/>
    <w:rsid w:val="002A20C0"/>
    <w:rsid w:val="002A357D"/>
    <w:rsid w:val="002A3ABA"/>
    <w:rsid w:val="002A3FD7"/>
    <w:rsid w:val="002A591C"/>
    <w:rsid w:val="002B0EB5"/>
    <w:rsid w:val="002B23C2"/>
    <w:rsid w:val="002B2DA9"/>
    <w:rsid w:val="002B34C6"/>
    <w:rsid w:val="002B3BDA"/>
    <w:rsid w:val="002B50E1"/>
    <w:rsid w:val="002C300D"/>
    <w:rsid w:val="002C4F5E"/>
    <w:rsid w:val="002C5832"/>
    <w:rsid w:val="002C7E53"/>
    <w:rsid w:val="002D3AF9"/>
    <w:rsid w:val="002D42A1"/>
    <w:rsid w:val="002D4EC3"/>
    <w:rsid w:val="002D6F9B"/>
    <w:rsid w:val="002D7DA0"/>
    <w:rsid w:val="002E0531"/>
    <w:rsid w:val="002E494B"/>
    <w:rsid w:val="002E7090"/>
    <w:rsid w:val="002F00CE"/>
    <w:rsid w:val="002F081B"/>
    <w:rsid w:val="002F33FA"/>
    <w:rsid w:val="002F3F8F"/>
    <w:rsid w:val="002F7770"/>
    <w:rsid w:val="00305021"/>
    <w:rsid w:val="003065C6"/>
    <w:rsid w:val="00307316"/>
    <w:rsid w:val="00307BBA"/>
    <w:rsid w:val="00310EF2"/>
    <w:rsid w:val="00311D2A"/>
    <w:rsid w:val="00312D4B"/>
    <w:rsid w:val="00316217"/>
    <w:rsid w:val="00322DBE"/>
    <w:rsid w:val="003234F9"/>
    <w:rsid w:val="00324B22"/>
    <w:rsid w:val="00325DA2"/>
    <w:rsid w:val="003305DB"/>
    <w:rsid w:val="00330866"/>
    <w:rsid w:val="003308E0"/>
    <w:rsid w:val="00330DCE"/>
    <w:rsid w:val="003332B9"/>
    <w:rsid w:val="003341C9"/>
    <w:rsid w:val="003352DF"/>
    <w:rsid w:val="0033622A"/>
    <w:rsid w:val="00336766"/>
    <w:rsid w:val="00341591"/>
    <w:rsid w:val="0034703C"/>
    <w:rsid w:val="00350CC7"/>
    <w:rsid w:val="003529AA"/>
    <w:rsid w:val="00352E5E"/>
    <w:rsid w:val="003551BF"/>
    <w:rsid w:val="003551F5"/>
    <w:rsid w:val="003674E4"/>
    <w:rsid w:val="00367FC1"/>
    <w:rsid w:val="003732F5"/>
    <w:rsid w:val="00381E48"/>
    <w:rsid w:val="0038235E"/>
    <w:rsid w:val="00382923"/>
    <w:rsid w:val="00385758"/>
    <w:rsid w:val="00391062"/>
    <w:rsid w:val="00393516"/>
    <w:rsid w:val="003973E9"/>
    <w:rsid w:val="003A1E5C"/>
    <w:rsid w:val="003A26A7"/>
    <w:rsid w:val="003A2D45"/>
    <w:rsid w:val="003A52FF"/>
    <w:rsid w:val="003A5F15"/>
    <w:rsid w:val="003A675E"/>
    <w:rsid w:val="003A6F0D"/>
    <w:rsid w:val="003B0252"/>
    <w:rsid w:val="003B0AF0"/>
    <w:rsid w:val="003B0CC4"/>
    <w:rsid w:val="003B157C"/>
    <w:rsid w:val="003B16BA"/>
    <w:rsid w:val="003B60B7"/>
    <w:rsid w:val="003C111D"/>
    <w:rsid w:val="003C1BD8"/>
    <w:rsid w:val="003C1F05"/>
    <w:rsid w:val="003C2BB2"/>
    <w:rsid w:val="003C6F6B"/>
    <w:rsid w:val="003D316A"/>
    <w:rsid w:val="003D5F80"/>
    <w:rsid w:val="003D6794"/>
    <w:rsid w:val="003E45CD"/>
    <w:rsid w:val="003E5606"/>
    <w:rsid w:val="003E6389"/>
    <w:rsid w:val="003F43B9"/>
    <w:rsid w:val="004012D0"/>
    <w:rsid w:val="0040452E"/>
    <w:rsid w:val="00405DF1"/>
    <w:rsid w:val="004070AC"/>
    <w:rsid w:val="00411DED"/>
    <w:rsid w:val="0041313B"/>
    <w:rsid w:val="00413C8A"/>
    <w:rsid w:val="004148BF"/>
    <w:rsid w:val="00414E57"/>
    <w:rsid w:val="00423DDB"/>
    <w:rsid w:val="00430B03"/>
    <w:rsid w:val="00430B2E"/>
    <w:rsid w:val="00432107"/>
    <w:rsid w:val="004332D1"/>
    <w:rsid w:val="00433A0E"/>
    <w:rsid w:val="00434AE4"/>
    <w:rsid w:val="00435738"/>
    <w:rsid w:val="00437221"/>
    <w:rsid w:val="0044173B"/>
    <w:rsid w:val="00446989"/>
    <w:rsid w:val="004513C4"/>
    <w:rsid w:val="00454204"/>
    <w:rsid w:val="00457372"/>
    <w:rsid w:val="004627D2"/>
    <w:rsid w:val="00462F31"/>
    <w:rsid w:val="00471227"/>
    <w:rsid w:val="004733A6"/>
    <w:rsid w:val="004752A4"/>
    <w:rsid w:val="00476EB4"/>
    <w:rsid w:val="00481C38"/>
    <w:rsid w:val="004831D2"/>
    <w:rsid w:val="00483B15"/>
    <w:rsid w:val="00483FB5"/>
    <w:rsid w:val="004869E0"/>
    <w:rsid w:val="00486A87"/>
    <w:rsid w:val="004875DE"/>
    <w:rsid w:val="00487B27"/>
    <w:rsid w:val="0049202D"/>
    <w:rsid w:val="00492215"/>
    <w:rsid w:val="00495142"/>
    <w:rsid w:val="004951FF"/>
    <w:rsid w:val="00496184"/>
    <w:rsid w:val="00497AED"/>
    <w:rsid w:val="004A0831"/>
    <w:rsid w:val="004A24A0"/>
    <w:rsid w:val="004A349D"/>
    <w:rsid w:val="004A4CE9"/>
    <w:rsid w:val="004A5354"/>
    <w:rsid w:val="004A7597"/>
    <w:rsid w:val="004B13E4"/>
    <w:rsid w:val="004B3F0F"/>
    <w:rsid w:val="004B504E"/>
    <w:rsid w:val="004B7DAF"/>
    <w:rsid w:val="004C007B"/>
    <w:rsid w:val="004C3833"/>
    <w:rsid w:val="004C465C"/>
    <w:rsid w:val="004D3E43"/>
    <w:rsid w:val="004E0108"/>
    <w:rsid w:val="004E0F5A"/>
    <w:rsid w:val="004E37D2"/>
    <w:rsid w:val="004E570B"/>
    <w:rsid w:val="004E5F5F"/>
    <w:rsid w:val="004E7061"/>
    <w:rsid w:val="004E7BE2"/>
    <w:rsid w:val="004F2CC4"/>
    <w:rsid w:val="004F3309"/>
    <w:rsid w:val="004F7D98"/>
    <w:rsid w:val="00502D32"/>
    <w:rsid w:val="00505B1C"/>
    <w:rsid w:val="005062DB"/>
    <w:rsid w:val="00506459"/>
    <w:rsid w:val="005064B3"/>
    <w:rsid w:val="00507AEF"/>
    <w:rsid w:val="005100AF"/>
    <w:rsid w:val="00510DF2"/>
    <w:rsid w:val="0051113B"/>
    <w:rsid w:val="00512C89"/>
    <w:rsid w:val="005131DC"/>
    <w:rsid w:val="005131EE"/>
    <w:rsid w:val="005156D8"/>
    <w:rsid w:val="00516548"/>
    <w:rsid w:val="00517DEF"/>
    <w:rsid w:val="0052213C"/>
    <w:rsid w:val="00523378"/>
    <w:rsid w:val="00532121"/>
    <w:rsid w:val="00534193"/>
    <w:rsid w:val="0053767B"/>
    <w:rsid w:val="00540533"/>
    <w:rsid w:val="00541691"/>
    <w:rsid w:val="005432EA"/>
    <w:rsid w:val="00543EB7"/>
    <w:rsid w:val="00544529"/>
    <w:rsid w:val="005474A3"/>
    <w:rsid w:val="00554A81"/>
    <w:rsid w:val="00554F2B"/>
    <w:rsid w:val="0055568F"/>
    <w:rsid w:val="00555FA5"/>
    <w:rsid w:val="0055609D"/>
    <w:rsid w:val="00556DFE"/>
    <w:rsid w:val="0056077D"/>
    <w:rsid w:val="00561794"/>
    <w:rsid w:val="00565087"/>
    <w:rsid w:val="005655F6"/>
    <w:rsid w:val="00565D1B"/>
    <w:rsid w:val="00570C4C"/>
    <w:rsid w:val="005710C9"/>
    <w:rsid w:val="005732A4"/>
    <w:rsid w:val="005759EB"/>
    <w:rsid w:val="00577DFE"/>
    <w:rsid w:val="0058423F"/>
    <w:rsid w:val="00586906"/>
    <w:rsid w:val="005914C6"/>
    <w:rsid w:val="00593DAE"/>
    <w:rsid w:val="005947A7"/>
    <w:rsid w:val="00595CF3"/>
    <w:rsid w:val="00595EF1"/>
    <w:rsid w:val="00597011"/>
    <w:rsid w:val="005A240A"/>
    <w:rsid w:val="005A2678"/>
    <w:rsid w:val="005A4B62"/>
    <w:rsid w:val="005A5F7C"/>
    <w:rsid w:val="005A7B12"/>
    <w:rsid w:val="005B056C"/>
    <w:rsid w:val="005B2C76"/>
    <w:rsid w:val="005B2F21"/>
    <w:rsid w:val="005B7CD9"/>
    <w:rsid w:val="005B7F14"/>
    <w:rsid w:val="005C16F2"/>
    <w:rsid w:val="005C1965"/>
    <w:rsid w:val="005C2C63"/>
    <w:rsid w:val="005C57FA"/>
    <w:rsid w:val="005C7D5A"/>
    <w:rsid w:val="005D4E9C"/>
    <w:rsid w:val="005E1726"/>
    <w:rsid w:val="005E2194"/>
    <w:rsid w:val="005E2A82"/>
    <w:rsid w:val="005E54E8"/>
    <w:rsid w:val="005E5E33"/>
    <w:rsid w:val="005E6282"/>
    <w:rsid w:val="005E7984"/>
    <w:rsid w:val="005E7FC9"/>
    <w:rsid w:val="005F0E8A"/>
    <w:rsid w:val="005F26A9"/>
    <w:rsid w:val="005F7023"/>
    <w:rsid w:val="005F7108"/>
    <w:rsid w:val="0060176A"/>
    <w:rsid w:val="006046A8"/>
    <w:rsid w:val="00607014"/>
    <w:rsid w:val="00607CDB"/>
    <w:rsid w:val="00611100"/>
    <w:rsid w:val="00613258"/>
    <w:rsid w:val="00613791"/>
    <w:rsid w:val="00617284"/>
    <w:rsid w:val="00617EC7"/>
    <w:rsid w:val="00620B6D"/>
    <w:rsid w:val="006222A7"/>
    <w:rsid w:val="00623649"/>
    <w:rsid w:val="00623820"/>
    <w:rsid w:val="006247E3"/>
    <w:rsid w:val="0062484A"/>
    <w:rsid w:val="0062497A"/>
    <w:rsid w:val="00624DDF"/>
    <w:rsid w:val="00626486"/>
    <w:rsid w:val="0062759E"/>
    <w:rsid w:val="00643906"/>
    <w:rsid w:val="00643C1C"/>
    <w:rsid w:val="006447EA"/>
    <w:rsid w:val="006448C8"/>
    <w:rsid w:val="0064521A"/>
    <w:rsid w:val="006508E5"/>
    <w:rsid w:val="006536A9"/>
    <w:rsid w:val="00654511"/>
    <w:rsid w:val="006603EA"/>
    <w:rsid w:val="00660F57"/>
    <w:rsid w:val="00665DDE"/>
    <w:rsid w:val="0067111E"/>
    <w:rsid w:val="00671B98"/>
    <w:rsid w:val="00672070"/>
    <w:rsid w:val="00672942"/>
    <w:rsid w:val="00676753"/>
    <w:rsid w:val="00677B23"/>
    <w:rsid w:val="0068147E"/>
    <w:rsid w:val="00684F7F"/>
    <w:rsid w:val="006867A8"/>
    <w:rsid w:val="006867B0"/>
    <w:rsid w:val="00690A23"/>
    <w:rsid w:val="00692F3F"/>
    <w:rsid w:val="00693EA2"/>
    <w:rsid w:val="00694529"/>
    <w:rsid w:val="0069490B"/>
    <w:rsid w:val="006958D8"/>
    <w:rsid w:val="006970AC"/>
    <w:rsid w:val="00697842"/>
    <w:rsid w:val="00697881"/>
    <w:rsid w:val="006A25F9"/>
    <w:rsid w:val="006A393B"/>
    <w:rsid w:val="006A7437"/>
    <w:rsid w:val="006B30CC"/>
    <w:rsid w:val="006B5027"/>
    <w:rsid w:val="006B5593"/>
    <w:rsid w:val="006B5DB2"/>
    <w:rsid w:val="006B6173"/>
    <w:rsid w:val="006B7A31"/>
    <w:rsid w:val="006B7AA4"/>
    <w:rsid w:val="006C28CC"/>
    <w:rsid w:val="006C2FC5"/>
    <w:rsid w:val="006C316E"/>
    <w:rsid w:val="006C4BC2"/>
    <w:rsid w:val="006C609B"/>
    <w:rsid w:val="006D0642"/>
    <w:rsid w:val="006D1024"/>
    <w:rsid w:val="006D1FFE"/>
    <w:rsid w:val="006D2673"/>
    <w:rsid w:val="006D3711"/>
    <w:rsid w:val="006D3F99"/>
    <w:rsid w:val="006D4B75"/>
    <w:rsid w:val="006E1527"/>
    <w:rsid w:val="006E5618"/>
    <w:rsid w:val="006E59F1"/>
    <w:rsid w:val="006E6CE1"/>
    <w:rsid w:val="006F041E"/>
    <w:rsid w:val="007019DB"/>
    <w:rsid w:val="0070263C"/>
    <w:rsid w:val="00704281"/>
    <w:rsid w:val="007043C1"/>
    <w:rsid w:val="00705433"/>
    <w:rsid w:val="00705C36"/>
    <w:rsid w:val="007062A7"/>
    <w:rsid w:val="007112B6"/>
    <w:rsid w:val="00716F09"/>
    <w:rsid w:val="0072153B"/>
    <w:rsid w:val="00722FCB"/>
    <w:rsid w:val="00724304"/>
    <w:rsid w:val="00725705"/>
    <w:rsid w:val="00725BA6"/>
    <w:rsid w:val="00727D78"/>
    <w:rsid w:val="007320B5"/>
    <w:rsid w:val="00732D0F"/>
    <w:rsid w:val="00733AAE"/>
    <w:rsid w:val="00734410"/>
    <w:rsid w:val="007350DA"/>
    <w:rsid w:val="00735530"/>
    <w:rsid w:val="00736D66"/>
    <w:rsid w:val="00740F95"/>
    <w:rsid w:val="0074559B"/>
    <w:rsid w:val="00745662"/>
    <w:rsid w:val="00753D5E"/>
    <w:rsid w:val="007558B6"/>
    <w:rsid w:val="0075641C"/>
    <w:rsid w:val="00757247"/>
    <w:rsid w:val="00760F49"/>
    <w:rsid w:val="007674B7"/>
    <w:rsid w:val="00772859"/>
    <w:rsid w:val="0077378C"/>
    <w:rsid w:val="007737A0"/>
    <w:rsid w:val="00775617"/>
    <w:rsid w:val="00776ED8"/>
    <w:rsid w:val="007813A6"/>
    <w:rsid w:val="0078157B"/>
    <w:rsid w:val="00785DF4"/>
    <w:rsid w:val="00786A23"/>
    <w:rsid w:val="0079030A"/>
    <w:rsid w:val="007908AC"/>
    <w:rsid w:val="00790C9A"/>
    <w:rsid w:val="007911F1"/>
    <w:rsid w:val="00791482"/>
    <w:rsid w:val="00792030"/>
    <w:rsid w:val="007923AB"/>
    <w:rsid w:val="00792E0D"/>
    <w:rsid w:val="0079429F"/>
    <w:rsid w:val="00795248"/>
    <w:rsid w:val="00795D7B"/>
    <w:rsid w:val="007A0023"/>
    <w:rsid w:val="007A30A2"/>
    <w:rsid w:val="007A30C3"/>
    <w:rsid w:val="007A5B35"/>
    <w:rsid w:val="007A5F55"/>
    <w:rsid w:val="007A69EE"/>
    <w:rsid w:val="007B2FB7"/>
    <w:rsid w:val="007B4E8C"/>
    <w:rsid w:val="007B50DA"/>
    <w:rsid w:val="007C3EB8"/>
    <w:rsid w:val="007C66B1"/>
    <w:rsid w:val="007C7549"/>
    <w:rsid w:val="007D1DF8"/>
    <w:rsid w:val="007D1E06"/>
    <w:rsid w:val="007D6448"/>
    <w:rsid w:val="007D7931"/>
    <w:rsid w:val="007E155C"/>
    <w:rsid w:val="007E4698"/>
    <w:rsid w:val="007E5EAB"/>
    <w:rsid w:val="007E6A3C"/>
    <w:rsid w:val="007E7D05"/>
    <w:rsid w:val="007F149B"/>
    <w:rsid w:val="007F21AC"/>
    <w:rsid w:val="007F27F7"/>
    <w:rsid w:val="007F29DA"/>
    <w:rsid w:val="007F3971"/>
    <w:rsid w:val="007F5EC4"/>
    <w:rsid w:val="007F65FF"/>
    <w:rsid w:val="00801B75"/>
    <w:rsid w:val="00802140"/>
    <w:rsid w:val="0080301B"/>
    <w:rsid w:val="008065AA"/>
    <w:rsid w:val="00811000"/>
    <w:rsid w:val="00812E33"/>
    <w:rsid w:val="008149FF"/>
    <w:rsid w:val="00817B5F"/>
    <w:rsid w:val="00820E3E"/>
    <w:rsid w:val="008220EE"/>
    <w:rsid w:val="00822F7A"/>
    <w:rsid w:val="00823252"/>
    <w:rsid w:val="008242A3"/>
    <w:rsid w:val="0082596C"/>
    <w:rsid w:val="00830768"/>
    <w:rsid w:val="00832A60"/>
    <w:rsid w:val="008345EC"/>
    <w:rsid w:val="008348AB"/>
    <w:rsid w:val="00840168"/>
    <w:rsid w:val="00840634"/>
    <w:rsid w:val="00841851"/>
    <w:rsid w:val="00841B36"/>
    <w:rsid w:val="00845AC6"/>
    <w:rsid w:val="00850521"/>
    <w:rsid w:val="00851761"/>
    <w:rsid w:val="00854E47"/>
    <w:rsid w:val="00856A25"/>
    <w:rsid w:val="00856D8B"/>
    <w:rsid w:val="008654DC"/>
    <w:rsid w:val="00865690"/>
    <w:rsid w:val="00872F34"/>
    <w:rsid w:val="008731D3"/>
    <w:rsid w:val="00875955"/>
    <w:rsid w:val="00883F06"/>
    <w:rsid w:val="0088463F"/>
    <w:rsid w:val="00886EF5"/>
    <w:rsid w:val="00887110"/>
    <w:rsid w:val="00890BC9"/>
    <w:rsid w:val="008923D1"/>
    <w:rsid w:val="008940AE"/>
    <w:rsid w:val="008971A7"/>
    <w:rsid w:val="008A5466"/>
    <w:rsid w:val="008A64B9"/>
    <w:rsid w:val="008A66BC"/>
    <w:rsid w:val="008B4D58"/>
    <w:rsid w:val="008B508F"/>
    <w:rsid w:val="008B6FBA"/>
    <w:rsid w:val="008C2320"/>
    <w:rsid w:val="008C4692"/>
    <w:rsid w:val="008C5B6A"/>
    <w:rsid w:val="008C7985"/>
    <w:rsid w:val="008D74A2"/>
    <w:rsid w:val="008E0F64"/>
    <w:rsid w:val="008E5849"/>
    <w:rsid w:val="008E5E7B"/>
    <w:rsid w:val="008E706A"/>
    <w:rsid w:val="008F0312"/>
    <w:rsid w:val="008F68B4"/>
    <w:rsid w:val="008F6A3B"/>
    <w:rsid w:val="008F7552"/>
    <w:rsid w:val="00901AFB"/>
    <w:rsid w:val="0090216F"/>
    <w:rsid w:val="00903428"/>
    <w:rsid w:val="009113CC"/>
    <w:rsid w:val="00913D58"/>
    <w:rsid w:val="00915C85"/>
    <w:rsid w:val="009175C3"/>
    <w:rsid w:val="00917B7C"/>
    <w:rsid w:val="009201EA"/>
    <w:rsid w:val="009242FB"/>
    <w:rsid w:val="0092629B"/>
    <w:rsid w:val="009315AE"/>
    <w:rsid w:val="00933D9B"/>
    <w:rsid w:val="00934EAE"/>
    <w:rsid w:val="009366D2"/>
    <w:rsid w:val="00937D31"/>
    <w:rsid w:val="00941FB2"/>
    <w:rsid w:val="009433B7"/>
    <w:rsid w:val="00946EF8"/>
    <w:rsid w:val="0095008F"/>
    <w:rsid w:val="009541C9"/>
    <w:rsid w:val="009549ED"/>
    <w:rsid w:val="00954D02"/>
    <w:rsid w:val="009568C1"/>
    <w:rsid w:val="00957F99"/>
    <w:rsid w:val="009609E0"/>
    <w:rsid w:val="00960E08"/>
    <w:rsid w:val="00963043"/>
    <w:rsid w:val="00963A4E"/>
    <w:rsid w:val="00963F0F"/>
    <w:rsid w:val="00966E2B"/>
    <w:rsid w:val="0096719C"/>
    <w:rsid w:val="00967819"/>
    <w:rsid w:val="00970813"/>
    <w:rsid w:val="0097437D"/>
    <w:rsid w:val="00975A50"/>
    <w:rsid w:val="009812F5"/>
    <w:rsid w:val="0098258C"/>
    <w:rsid w:val="00986497"/>
    <w:rsid w:val="0098788F"/>
    <w:rsid w:val="00992296"/>
    <w:rsid w:val="00993F10"/>
    <w:rsid w:val="00994555"/>
    <w:rsid w:val="009948CC"/>
    <w:rsid w:val="0099535C"/>
    <w:rsid w:val="00997848"/>
    <w:rsid w:val="009A01DF"/>
    <w:rsid w:val="009A05B7"/>
    <w:rsid w:val="009A18F2"/>
    <w:rsid w:val="009A577B"/>
    <w:rsid w:val="009B32B9"/>
    <w:rsid w:val="009B3B5B"/>
    <w:rsid w:val="009B4E4A"/>
    <w:rsid w:val="009B58DC"/>
    <w:rsid w:val="009C230A"/>
    <w:rsid w:val="009C3929"/>
    <w:rsid w:val="009C411F"/>
    <w:rsid w:val="009C529F"/>
    <w:rsid w:val="009C558F"/>
    <w:rsid w:val="009C669F"/>
    <w:rsid w:val="009D0910"/>
    <w:rsid w:val="009D18E2"/>
    <w:rsid w:val="009D20F1"/>
    <w:rsid w:val="009D414A"/>
    <w:rsid w:val="009D6A19"/>
    <w:rsid w:val="009E2EC5"/>
    <w:rsid w:val="009F1082"/>
    <w:rsid w:val="009F3178"/>
    <w:rsid w:val="009F3FA8"/>
    <w:rsid w:val="00A0571F"/>
    <w:rsid w:val="00A10BB1"/>
    <w:rsid w:val="00A10D3F"/>
    <w:rsid w:val="00A1228D"/>
    <w:rsid w:val="00A17EDB"/>
    <w:rsid w:val="00A20BC6"/>
    <w:rsid w:val="00A22210"/>
    <w:rsid w:val="00A23321"/>
    <w:rsid w:val="00A25708"/>
    <w:rsid w:val="00A346B2"/>
    <w:rsid w:val="00A35580"/>
    <w:rsid w:val="00A36517"/>
    <w:rsid w:val="00A41630"/>
    <w:rsid w:val="00A4241E"/>
    <w:rsid w:val="00A42EDD"/>
    <w:rsid w:val="00A433F3"/>
    <w:rsid w:val="00A44A86"/>
    <w:rsid w:val="00A45190"/>
    <w:rsid w:val="00A475BC"/>
    <w:rsid w:val="00A476CB"/>
    <w:rsid w:val="00A50012"/>
    <w:rsid w:val="00A56B85"/>
    <w:rsid w:val="00A6185B"/>
    <w:rsid w:val="00A62528"/>
    <w:rsid w:val="00A65B95"/>
    <w:rsid w:val="00A705D0"/>
    <w:rsid w:val="00A70A00"/>
    <w:rsid w:val="00A7102C"/>
    <w:rsid w:val="00A711C1"/>
    <w:rsid w:val="00A7275A"/>
    <w:rsid w:val="00A75107"/>
    <w:rsid w:val="00A77932"/>
    <w:rsid w:val="00A77B50"/>
    <w:rsid w:val="00A815CC"/>
    <w:rsid w:val="00A85A80"/>
    <w:rsid w:val="00A85C50"/>
    <w:rsid w:val="00A8647F"/>
    <w:rsid w:val="00A868B2"/>
    <w:rsid w:val="00A91CD2"/>
    <w:rsid w:val="00A9785B"/>
    <w:rsid w:val="00AA020D"/>
    <w:rsid w:val="00AA10FB"/>
    <w:rsid w:val="00AA135D"/>
    <w:rsid w:val="00AA307E"/>
    <w:rsid w:val="00AA75A5"/>
    <w:rsid w:val="00AA788D"/>
    <w:rsid w:val="00AB4B53"/>
    <w:rsid w:val="00AB6D95"/>
    <w:rsid w:val="00AC078D"/>
    <w:rsid w:val="00AC1F11"/>
    <w:rsid w:val="00AC3EE1"/>
    <w:rsid w:val="00AC4343"/>
    <w:rsid w:val="00AC501D"/>
    <w:rsid w:val="00AC5245"/>
    <w:rsid w:val="00AC5C27"/>
    <w:rsid w:val="00AD075D"/>
    <w:rsid w:val="00AD226C"/>
    <w:rsid w:val="00AD2F0C"/>
    <w:rsid w:val="00AD472C"/>
    <w:rsid w:val="00AE32E0"/>
    <w:rsid w:val="00AE3E66"/>
    <w:rsid w:val="00AE47C1"/>
    <w:rsid w:val="00AE5B0E"/>
    <w:rsid w:val="00AF03A7"/>
    <w:rsid w:val="00AF6C4B"/>
    <w:rsid w:val="00AF71A1"/>
    <w:rsid w:val="00AF74B3"/>
    <w:rsid w:val="00B005F3"/>
    <w:rsid w:val="00B02B18"/>
    <w:rsid w:val="00B0314C"/>
    <w:rsid w:val="00B04FD4"/>
    <w:rsid w:val="00B05454"/>
    <w:rsid w:val="00B1154C"/>
    <w:rsid w:val="00B130BD"/>
    <w:rsid w:val="00B139EA"/>
    <w:rsid w:val="00B14DC4"/>
    <w:rsid w:val="00B14ED1"/>
    <w:rsid w:val="00B15DA3"/>
    <w:rsid w:val="00B15F37"/>
    <w:rsid w:val="00B16DBF"/>
    <w:rsid w:val="00B20AB9"/>
    <w:rsid w:val="00B23BB3"/>
    <w:rsid w:val="00B25613"/>
    <w:rsid w:val="00B261FA"/>
    <w:rsid w:val="00B30C7B"/>
    <w:rsid w:val="00B32475"/>
    <w:rsid w:val="00B33304"/>
    <w:rsid w:val="00B35581"/>
    <w:rsid w:val="00B373E2"/>
    <w:rsid w:val="00B4045F"/>
    <w:rsid w:val="00B41B19"/>
    <w:rsid w:val="00B41B70"/>
    <w:rsid w:val="00B42475"/>
    <w:rsid w:val="00B426F2"/>
    <w:rsid w:val="00B436FD"/>
    <w:rsid w:val="00B515ED"/>
    <w:rsid w:val="00B520B4"/>
    <w:rsid w:val="00B545FE"/>
    <w:rsid w:val="00B549C1"/>
    <w:rsid w:val="00B60384"/>
    <w:rsid w:val="00B616EC"/>
    <w:rsid w:val="00B62210"/>
    <w:rsid w:val="00B63672"/>
    <w:rsid w:val="00B70517"/>
    <w:rsid w:val="00B76F1E"/>
    <w:rsid w:val="00B8127D"/>
    <w:rsid w:val="00B823A1"/>
    <w:rsid w:val="00B8584D"/>
    <w:rsid w:val="00B86A16"/>
    <w:rsid w:val="00B92383"/>
    <w:rsid w:val="00B930C5"/>
    <w:rsid w:val="00B938F3"/>
    <w:rsid w:val="00B96ADF"/>
    <w:rsid w:val="00BA04D3"/>
    <w:rsid w:val="00BA3B6D"/>
    <w:rsid w:val="00BB43D6"/>
    <w:rsid w:val="00BB51E5"/>
    <w:rsid w:val="00BB6DA8"/>
    <w:rsid w:val="00BC05C8"/>
    <w:rsid w:val="00BC1499"/>
    <w:rsid w:val="00BC30C3"/>
    <w:rsid w:val="00BC3444"/>
    <w:rsid w:val="00BC3A49"/>
    <w:rsid w:val="00BD0831"/>
    <w:rsid w:val="00BD1EBE"/>
    <w:rsid w:val="00BD5A48"/>
    <w:rsid w:val="00BE17B5"/>
    <w:rsid w:val="00BE20CF"/>
    <w:rsid w:val="00BE3EF3"/>
    <w:rsid w:val="00BE4347"/>
    <w:rsid w:val="00BE46D8"/>
    <w:rsid w:val="00BE5303"/>
    <w:rsid w:val="00BE66C2"/>
    <w:rsid w:val="00BF04B6"/>
    <w:rsid w:val="00BF13E0"/>
    <w:rsid w:val="00BF2158"/>
    <w:rsid w:val="00BF54D9"/>
    <w:rsid w:val="00BF5DA3"/>
    <w:rsid w:val="00BF67D1"/>
    <w:rsid w:val="00C02577"/>
    <w:rsid w:val="00C03187"/>
    <w:rsid w:val="00C0329F"/>
    <w:rsid w:val="00C03ADC"/>
    <w:rsid w:val="00C04FFC"/>
    <w:rsid w:val="00C052F2"/>
    <w:rsid w:val="00C055B4"/>
    <w:rsid w:val="00C06750"/>
    <w:rsid w:val="00C06CB7"/>
    <w:rsid w:val="00C07867"/>
    <w:rsid w:val="00C07B24"/>
    <w:rsid w:val="00C10FF7"/>
    <w:rsid w:val="00C11645"/>
    <w:rsid w:val="00C123A6"/>
    <w:rsid w:val="00C168F5"/>
    <w:rsid w:val="00C17950"/>
    <w:rsid w:val="00C17B6C"/>
    <w:rsid w:val="00C2162F"/>
    <w:rsid w:val="00C228FA"/>
    <w:rsid w:val="00C27FCB"/>
    <w:rsid w:val="00C316E3"/>
    <w:rsid w:val="00C321DC"/>
    <w:rsid w:val="00C332C2"/>
    <w:rsid w:val="00C33E68"/>
    <w:rsid w:val="00C34E07"/>
    <w:rsid w:val="00C41D31"/>
    <w:rsid w:val="00C45220"/>
    <w:rsid w:val="00C51312"/>
    <w:rsid w:val="00C53D68"/>
    <w:rsid w:val="00C60F81"/>
    <w:rsid w:val="00C630DF"/>
    <w:rsid w:val="00C64A26"/>
    <w:rsid w:val="00C708B9"/>
    <w:rsid w:val="00C718EA"/>
    <w:rsid w:val="00C7261B"/>
    <w:rsid w:val="00C73C8C"/>
    <w:rsid w:val="00C769EE"/>
    <w:rsid w:val="00C76CC7"/>
    <w:rsid w:val="00C7772F"/>
    <w:rsid w:val="00C77B8D"/>
    <w:rsid w:val="00C81B86"/>
    <w:rsid w:val="00C83A16"/>
    <w:rsid w:val="00C846E6"/>
    <w:rsid w:val="00C868F3"/>
    <w:rsid w:val="00C91BC1"/>
    <w:rsid w:val="00C91C2F"/>
    <w:rsid w:val="00C95D6B"/>
    <w:rsid w:val="00CA22DE"/>
    <w:rsid w:val="00CA6B32"/>
    <w:rsid w:val="00CB3D77"/>
    <w:rsid w:val="00CB4BE9"/>
    <w:rsid w:val="00CB5153"/>
    <w:rsid w:val="00CB51ED"/>
    <w:rsid w:val="00CB52AF"/>
    <w:rsid w:val="00CB6B73"/>
    <w:rsid w:val="00CB744F"/>
    <w:rsid w:val="00CC3815"/>
    <w:rsid w:val="00CC4192"/>
    <w:rsid w:val="00CD2D28"/>
    <w:rsid w:val="00CD43BC"/>
    <w:rsid w:val="00CD46C9"/>
    <w:rsid w:val="00CD5488"/>
    <w:rsid w:val="00CD5E31"/>
    <w:rsid w:val="00CD6035"/>
    <w:rsid w:val="00CD6E96"/>
    <w:rsid w:val="00CD77B4"/>
    <w:rsid w:val="00CD7EAB"/>
    <w:rsid w:val="00CE054A"/>
    <w:rsid w:val="00CE110F"/>
    <w:rsid w:val="00CE536F"/>
    <w:rsid w:val="00CE5BF2"/>
    <w:rsid w:val="00CE738F"/>
    <w:rsid w:val="00CF3D2F"/>
    <w:rsid w:val="00CF64A2"/>
    <w:rsid w:val="00CF7365"/>
    <w:rsid w:val="00D0393C"/>
    <w:rsid w:val="00D0597F"/>
    <w:rsid w:val="00D065C1"/>
    <w:rsid w:val="00D07D81"/>
    <w:rsid w:val="00D07FA2"/>
    <w:rsid w:val="00D13A51"/>
    <w:rsid w:val="00D144CA"/>
    <w:rsid w:val="00D14E86"/>
    <w:rsid w:val="00D17095"/>
    <w:rsid w:val="00D208E7"/>
    <w:rsid w:val="00D23093"/>
    <w:rsid w:val="00D2394A"/>
    <w:rsid w:val="00D24434"/>
    <w:rsid w:val="00D259E4"/>
    <w:rsid w:val="00D268A8"/>
    <w:rsid w:val="00D26C20"/>
    <w:rsid w:val="00D30719"/>
    <w:rsid w:val="00D3472B"/>
    <w:rsid w:val="00D3551A"/>
    <w:rsid w:val="00D36655"/>
    <w:rsid w:val="00D37018"/>
    <w:rsid w:val="00D408E1"/>
    <w:rsid w:val="00D42945"/>
    <w:rsid w:val="00D451D8"/>
    <w:rsid w:val="00D45D0A"/>
    <w:rsid w:val="00D520C6"/>
    <w:rsid w:val="00D5303E"/>
    <w:rsid w:val="00D535FA"/>
    <w:rsid w:val="00D54805"/>
    <w:rsid w:val="00D54E42"/>
    <w:rsid w:val="00D561AD"/>
    <w:rsid w:val="00D633A6"/>
    <w:rsid w:val="00D65B95"/>
    <w:rsid w:val="00D65DE4"/>
    <w:rsid w:val="00D6796C"/>
    <w:rsid w:val="00D70C31"/>
    <w:rsid w:val="00D735B5"/>
    <w:rsid w:val="00D74657"/>
    <w:rsid w:val="00D80663"/>
    <w:rsid w:val="00D80ABC"/>
    <w:rsid w:val="00D83B98"/>
    <w:rsid w:val="00D845DD"/>
    <w:rsid w:val="00D85B7E"/>
    <w:rsid w:val="00D904FF"/>
    <w:rsid w:val="00D91917"/>
    <w:rsid w:val="00D94DA3"/>
    <w:rsid w:val="00D95527"/>
    <w:rsid w:val="00D96016"/>
    <w:rsid w:val="00DA0402"/>
    <w:rsid w:val="00DA4CDF"/>
    <w:rsid w:val="00DA60F2"/>
    <w:rsid w:val="00DB32E3"/>
    <w:rsid w:val="00DB3B22"/>
    <w:rsid w:val="00DB5135"/>
    <w:rsid w:val="00DB5E72"/>
    <w:rsid w:val="00DB61B2"/>
    <w:rsid w:val="00DB662B"/>
    <w:rsid w:val="00DB7427"/>
    <w:rsid w:val="00DD3E99"/>
    <w:rsid w:val="00DD604F"/>
    <w:rsid w:val="00DD6748"/>
    <w:rsid w:val="00DD6EDC"/>
    <w:rsid w:val="00DD732F"/>
    <w:rsid w:val="00DE09BD"/>
    <w:rsid w:val="00DE0F9C"/>
    <w:rsid w:val="00DE12C9"/>
    <w:rsid w:val="00DE199B"/>
    <w:rsid w:val="00DE6C30"/>
    <w:rsid w:val="00DF592A"/>
    <w:rsid w:val="00E002C6"/>
    <w:rsid w:val="00E06962"/>
    <w:rsid w:val="00E10583"/>
    <w:rsid w:val="00E125BF"/>
    <w:rsid w:val="00E126FA"/>
    <w:rsid w:val="00E141B2"/>
    <w:rsid w:val="00E1775E"/>
    <w:rsid w:val="00E177EE"/>
    <w:rsid w:val="00E222EC"/>
    <w:rsid w:val="00E2321B"/>
    <w:rsid w:val="00E31B46"/>
    <w:rsid w:val="00E31D92"/>
    <w:rsid w:val="00E32207"/>
    <w:rsid w:val="00E324CF"/>
    <w:rsid w:val="00E32F81"/>
    <w:rsid w:val="00E33BE8"/>
    <w:rsid w:val="00E34427"/>
    <w:rsid w:val="00E37277"/>
    <w:rsid w:val="00E37E8D"/>
    <w:rsid w:val="00E45174"/>
    <w:rsid w:val="00E50C15"/>
    <w:rsid w:val="00E52002"/>
    <w:rsid w:val="00E544EE"/>
    <w:rsid w:val="00E569D6"/>
    <w:rsid w:val="00E601F7"/>
    <w:rsid w:val="00E6236D"/>
    <w:rsid w:val="00E66C73"/>
    <w:rsid w:val="00E7126B"/>
    <w:rsid w:val="00E74864"/>
    <w:rsid w:val="00E773C7"/>
    <w:rsid w:val="00E83711"/>
    <w:rsid w:val="00E84823"/>
    <w:rsid w:val="00E85C1E"/>
    <w:rsid w:val="00E86209"/>
    <w:rsid w:val="00E87695"/>
    <w:rsid w:val="00E912ED"/>
    <w:rsid w:val="00E9579D"/>
    <w:rsid w:val="00E95E76"/>
    <w:rsid w:val="00E96998"/>
    <w:rsid w:val="00E97448"/>
    <w:rsid w:val="00EA043A"/>
    <w:rsid w:val="00EA28FB"/>
    <w:rsid w:val="00EA43C3"/>
    <w:rsid w:val="00EA5EE8"/>
    <w:rsid w:val="00EA67F5"/>
    <w:rsid w:val="00EA6FF7"/>
    <w:rsid w:val="00EA710D"/>
    <w:rsid w:val="00EB0BD3"/>
    <w:rsid w:val="00EB1167"/>
    <w:rsid w:val="00EB2B47"/>
    <w:rsid w:val="00EB3D6D"/>
    <w:rsid w:val="00EB5737"/>
    <w:rsid w:val="00EB743C"/>
    <w:rsid w:val="00EB77A8"/>
    <w:rsid w:val="00EC0C8D"/>
    <w:rsid w:val="00EC15CE"/>
    <w:rsid w:val="00EC1B91"/>
    <w:rsid w:val="00ED293A"/>
    <w:rsid w:val="00ED3428"/>
    <w:rsid w:val="00ED41A2"/>
    <w:rsid w:val="00ED4FF5"/>
    <w:rsid w:val="00ED55BE"/>
    <w:rsid w:val="00ED7CEE"/>
    <w:rsid w:val="00EE2DAC"/>
    <w:rsid w:val="00EE3569"/>
    <w:rsid w:val="00EE4B48"/>
    <w:rsid w:val="00EE6E12"/>
    <w:rsid w:val="00F00BDF"/>
    <w:rsid w:val="00F00F8C"/>
    <w:rsid w:val="00F04F24"/>
    <w:rsid w:val="00F07A3F"/>
    <w:rsid w:val="00F15169"/>
    <w:rsid w:val="00F169FB"/>
    <w:rsid w:val="00F17208"/>
    <w:rsid w:val="00F2079D"/>
    <w:rsid w:val="00F2089D"/>
    <w:rsid w:val="00F214D2"/>
    <w:rsid w:val="00F23D1F"/>
    <w:rsid w:val="00F273E3"/>
    <w:rsid w:val="00F3164B"/>
    <w:rsid w:val="00F31E74"/>
    <w:rsid w:val="00F3454B"/>
    <w:rsid w:val="00F377AA"/>
    <w:rsid w:val="00F37AFA"/>
    <w:rsid w:val="00F409FB"/>
    <w:rsid w:val="00F5429B"/>
    <w:rsid w:val="00F56AF8"/>
    <w:rsid w:val="00F61D1D"/>
    <w:rsid w:val="00F64799"/>
    <w:rsid w:val="00F65734"/>
    <w:rsid w:val="00F66725"/>
    <w:rsid w:val="00F6737F"/>
    <w:rsid w:val="00F700F6"/>
    <w:rsid w:val="00F71661"/>
    <w:rsid w:val="00F72283"/>
    <w:rsid w:val="00F76B98"/>
    <w:rsid w:val="00F83B0F"/>
    <w:rsid w:val="00F861ED"/>
    <w:rsid w:val="00F8694E"/>
    <w:rsid w:val="00F873E4"/>
    <w:rsid w:val="00F91A27"/>
    <w:rsid w:val="00F94F07"/>
    <w:rsid w:val="00F95257"/>
    <w:rsid w:val="00F968A7"/>
    <w:rsid w:val="00FA43FB"/>
    <w:rsid w:val="00FA54E6"/>
    <w:rsid w:val="00FA6335"/>
    <w:rsid w:val="00FB069C"/>
    <w:rsid w:val="00FB0BB0"/>
    <w:rsid w:val="00FB4601"/>
    <w:rsid w:val="00FC1093"/>
    <w:rsid w:val="00FC25BF"/>
    <w:rsid w:val="00FC7CB1"/>
    <w:rsid w:val="00FD22A8"/>
    <w:rsid w:val="00FD2838"/>
    <w:rsid w:val="00FD2B60"/>
    <w:rsid w:val="00FD6547"/>
    <w:rsid w:val="00FD7300"/>
    <w:rsid w:val="00FE0C28"/>
    <w:rsid w:val="00FE2DF0"/>
    <w:rsid w:val="00FE6933"/>
    <w:rsid w:val="00FF1355"/>
    <w:rsid w:val="00FF2977"/>
    <w:rsid w:val="00FF3C47"/>
    <w:rsid w:val="00FF5509"/>
    <w:rsid w:val="00FF7684"/>
    <w:rsid w:val="03B1713F"/>
    <w:rsid w:val="0DAB4BFF"/>
    <w:rsid w:val="17571954"/>
    <w:rsid w:val="218C669E"/>
    <w:rsid w:val="23C95987"/>
    <w:rsid w:val="32866FA4"/>
    <w:rsid w:val="3CA344D7"/>
    <w:rsid w:val="40DF3CCD"/>
    <w:rsid w:val="5ABA15AB"/>
    <w:rsid w:val="5E08364D"/>
    <w:rsid w:val="651B631A"/>
    <w:rsid w:val="75A55A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9" w:semiHidden="0" w:name="heading 1"/>
    <w:lsdException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uiPriority w:val="9"/>
    <w:pPr>
      <w:keepNext/>
      <w:keepLines/>
      <w:spacing w:before="340" w:after="330" w:line="578" w:lineRule="auto"/>
      <w:outlineLvl w:val="0"/>
    </w:pPr>
    <w:rPr>
      <w:b/>
      <w:bCs/>
      <w:kern w:val="44"/>
      <w:sz w:val="44"/>
      <w:szCs w:val="44"/>
    </w:rPr>
  </w:style>
  <w:style w:type="paragraph" w:styleId="3">
    <w:name w:val="heading 3"/>
    <w:basedOn w:val="1"/>
    <w:next w:val="1"/>
    <w:link w:val="25"/>
    <w:semiHidden/>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29"/>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Body Text"/>
    <w:basedOn w:val="1"/>
    <w:link w:val="32"/>
    <w:qFormat/>
    <w:uiPriority w:val="1"/>
    <w:pPr>
      <w:autoSpaceDE w:val="0"/>
      <w:autoSpaceDN w:val="0"/>
      <w:adjustRightInd w:val="0"/>
      <w:spacing w:line="580" w:lineRule="exact"/>
      <w:ind w:left="40"/>
      <w:jc w:val="left"/>
    </w:pPr>
    <w:rPr>
      <w:rFonts w:ascii="Arial Unicode MS" w:hAnsi="Times New Roman" w:eastAsia="Arial Unicode MS" w:cs="Arial Unicode MS"/>
      <w:kern w:val="0"/>
      <w:sz w:val="40"/>
      <w:szCs w:val="40"/>
    </w:rPr>
  </w:style>
  <w:style w:type="paragraph" w:styleId="6">
    <w:name w:val="toc 3"/>
    <w:basedOn w:val="1"/>
    <w:next w:val="1"/>
    <w:autoRedefine/>
    <w:unhideWhenUsed/>
    <w:qFormat/>
    <w:uiPriority w:val="39"/>
    <w:pPr>
      <w:ind w:left="840" w:leftChars="400"/>
    </w:pPr>
  </w:style>
  <w:style w:type="paragraph" w:styleId="7">
    <w:name w:val="Balloon Text"/>
    <w:basedOn w:val="1"/>
    <w:link w:val="35"/>
    <w:semiHidden/>
    <w:unhideWhenUsed/>
    <w:qFormat/>
    <w:uiPriority w:val="99"/>
    <w:rPr>
      <w:sz w:val="18"/>
      <w:szCs w:val="18"/>
    </w:rPr>
  </w:style>
  <w:style w:type="paragraph" w:styleId="8">
    <w:name w:val="footer"/>
    <w:basedOn w:val="1"/>
    <w:link w:val="31"/>
    <w:unhideWhenUsed/>
    <w:qFormat/>
    <w:uiPriority w:val="99"/>
    <w:pPr>
      <w:tabs>
        <w:tab w:val="center" w:pos="4153"/>
        <w:tab w:val="right" w:pos="8306"/>
      </w:tabs>
      <w:snapToGrid w:val="0"/>
      <w:jc w:val="left"/>
    </w:pPr>
    <w:rPr>
      <w:sz w:val="18"/>
      <w:szCs w:val="18"/>
    </w:rPr>
  </w:style>
  <w:style w:type="paragraph" w:styleId="9">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unhideWhenUsed/>
    <w:qFormat/>
    <w:uiPriority w:val="39"/>
  </w:style>
  <w:style w:type="paragraph" w:styleId="11">
    <w:name w:val="toc 2"/>
    <w:basedOn w:val="1"/>
    <w:next w:val="1"/>
    <w:autoRedefine/>
    <w:unhideWhenUsed/>
    <w:qFormat/>
    <w:uiPriority w:val="39"/>
    <w:pPr>
      <w:ind w:left="420" w:leftChars="200"/>
    </w:pPr>
  </w:style>
  <w:style w:type="paragraph" w:styleId="12">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paragraph" w:customStyle="1" w:styleId="17">
    <w:name w:val="1级标题"/>
    <w:basedOn w:val="2"/>
    <w:link w:val="19"/>
    <w:qFormat/>
    <w:uiPriority w:val="0"/>
    <w:pPr>
      <w:spacing w:before="156" w:beforeLines="50" w:after="156" w:afterLines="50" w:line="560" w:lineRule="exact"/>
      <w:jc w:val="center"/>
    </w:pPr>
    <w:rPr>
      <w:rFonts w:ascii="方正小标宋简体" w:hAnsi="方正小标宋简体" w:eastAsia="方正小标宋简体"/>
      <w:b w:val="0"/>
    </w:rPr>
  </w:style>
  <w:style w:type="paragraph" w:customStyle="1" w:styleId="18">
    <w:name w:val="2级标题"/>
    <w:basedOn w:val="17"/>
    <w:link w:val="22"/>
    <w:qFormat/>
    <w:uiPriority w:val="0"/>
    <w:pPr>
      <w:spacing w:before="0" w:beforeLines="0" w:after="0" w:afterLines="0" w:line="680" w:lineRule="exact"/>
      <w:jc w:val="left"/>
      <w:outlineLvl w:val="1"/>
    </w:pPr>
    <w:rPr>
      <w:rFonts w:eastAsia="黑体"/>
      <w:sz w:val="32"/>
    </w:rPr>
  </w:style>
  <w:style w:type="character" w:customStyle="1" w:styleId="19">
    <w:name w:val="1级标题 字符"/>
    <w:basedOn w:val="15"/>
    <w:link w:val="17"/>
    <w:qFormat/>
    <w:uiPriority w:val="0"/>
    <w:rPr>
      <w:rFonts w:ascii="方正小标宋简体" w:hAnsi="方正小标宋简体" w:eastAsia="方正小标宋简体"/>
      <w:bCs/>
      <w:kern w:val="44"/>
      <w:sz w:val="44"/>
      <w:szCs w:val="44"/>
    </w:rPr>
  </w:style>
  <w:style w:type="character" w:customStyle="1" w:styleId="20">
    <w:name w:val="标题 1 字符"/>
    <w:basedOn w:val="15"/>
    <w:link w:val="2"/>
    <w:qFormat/>
    <w:uiPriority w:val="9"/>
    <w:rPr>
      <w:b/>
      <w:bCs/>
      <w:kern w:val="44"/>
      <w:sz w:val="44"/>
      <w:szCs w:val="44"/>
    </w:rPr>
  </w:style>
  <w:style w:type="paragraph" w:customStyle="1" w:styleId="21">
    <w:name w:val="正文格式"/>
    <w:basedOn w:val="1"/>
    <w:link w:val="24"/>
    <w:qFormat/>
    <w:uiPriority w:val="0"/>
    <w:pPr>
      <w:spacing w:line="560" w:lineRule="exact"/>
      <w:ind w:firstLine="567"/>
    </w:pPr>
    <w:rPr>
      <w:rFonts w:ascii="仿宋_GB2312" w:hAnsi="仿宋_GB2312" w:eastAsia="仿宋_GB2312"/>
      <w:color w:val="000000" w:themeColor="text1"/>
      <w:sz w:val="32"/>
      <w14:textFill>
        <w14:solidFill>
          <w14:schemeClr w14:val="tx1"/>
        </w14:solidFill>
      </w14:textFill>
    </w:rPr>
  </w:style>
  <w:style w:type="character" w:customStyle="1" w:styleId="22">
    <w:name w:val="2级标题 字符"/>
    <w:basedOn w:val="19"/>
    <w:link w:val="18"/>
    <w:qFormat/>
    <w:uiPriority w:val="0"/>
    <w:rPr>
      <w:rFonts w:ascii="方正小标宋简体" w:hAnsi="方正小标宋简体" w:eastAsia="黑体"/>
      <w:kern w:val="44"/>
      <w:sz w:val="32"/>
      <w:szCs w:val="44"/>
    </w:rPr>
  </w:style>
  <w:style w:type="paragraph" w:customStyle="1" w:styleId="23">
    <w:name w:val="3级标题"/>
    <w:basedOn w:val="3"/>
    <w:link w:val="26"/>
    <w:qFormat/>
    <w:uiPriority w:val="0"/>
    <w:pPr>
      <w:spacing w:before="0" w:after="0" w:line="680" w:lineRule="exact"/>
    </w:pPr>
    <w:rPr>
      <w:rFonts w:ascii="仿宋" w:hAnsi="仿宋" w:eastAsia="楷体"/>
    </w:rPr>
  </w:style>
  <w:style w:type="character" w:customStyle="1" w:styleId="24">
    <w:name w:val="正文格式 字符"/>
    <w:basedOn w:val="15"/>
    <w:link w:val="21"/>
    <w:qFormat/>
    <w:uiPriority w:val="0"/>
    <w:rPr>
      <w:rFonts w:ascii="仿宋_GB2312" w:hAnsi="仿宋_GB2312" w:eastAsia="仿宋_GB2312"/>
      <w:color w:val="000000" w:themeColor="text1"/>
      <w:kern w:val="2"/>
      <w:sz w:val="32"/>
      <w:szCs w:val="22"/>
      <w14:textFill>
        <w14:solidFill>
          <w14:schemeClr w14:val="tx1"/>
        </w14:solidFill>
      </w14:textFill>
    </w:rPr>
  </w:style>
  <w:style w:type="character" w:customStyle="1" w:styleId="25">
    <w:name w:val="标题 3 字符"/>
    <w:basedOn w:val="15"/>
    <w:link w:val="3"/>
    <w:semiHidden/>
    <w:qFormat/>
    <w:uiPriority w:val="9"/>
    <w:rPr>
      <w:b/>
      <w:bCs/>
      <w:sz w:val="32"/>
      <w:szCs w:val="32"/>
    </w:rPr>
  </w:style>
  <w:style w:type="character" w:customStyle="1" w:styleId="26">
    <w:name w:val="3级标题 字符"/>
    <w:basedOn w:val="25"/>
    <w:link w:val="23"/>
    <w:qFormat/>
    <w:uiPriority w:val="0"/>
    <w:rPr>
      <w:rFonts w:ascii="仿宋" w:hAnsi="仿宋" w:eastAsia="楷体"/>
      <w:kern w:val="2"/>
      <w:sz w:val="32"/>
      <w:szCs w:val="32"/>
    </w:rPr>
  </w:style>
  <w:style w:type="paragraph" w:customStyle="1" w:styleId="27">
    <w:name w:val="4级标题"/>
    <w:basedOn w:val="4"/>
    <w:link w:val="28"/>
    <w:qFormat/>
    <w:uiPriority w:val="0"/>
    <w:pPr>
      <w:spacing w:before="0" w:after="0" w:line="560" w:lineRule="exact"/>
    </w:pPr>
    <w:rPr>
      <w:rFonts w:ascii="仿宋" w:hAnsi="仿宋" w:eastAsia="仿宋"/>
      <w:color w:val="0000FF"/>
      <w:sz w:val="32"/>
    </w:rPr>
  </w:style>
  <w:style w:type="character" w:customStyle="1" w:styleId="28">
    <w:name w:val="4级标题 字符"/>
    <w:basedOn w:val="26"/>
    <w:link w:val="27"/>
    <w:qFormat/>
    <w:uiPriority w:val="0"/>
    <w:rPr>
      <w:rFonts w:ascii="仿宋" w:hAnsi="仿宋" w:eastAsia="仿宋" w:cstheme="majorBidi"/>
      <w:color w:val="0000FF"/>
      <w:kern w:val="2"/>
      <w:sz w:val="32"/>
      <w:szCs w:val="28"/>
    </w:rPr>
  </w:style>
  <w:style w:type="character" w:customStyle="1" w:styleId="29">
    <w:name w:val="标题 4 字符"/>
    <w:basedOn w:val="15"/>
    <w:link w:val="4"/>
    <w:semiHidden/>
    <w:qFormat/>
    <w:uiPriority w:val="9"/>
    <w:rPr>
      <w:rFonts w:asciiTheme="majorHAnsi" w:hAnsiTheme="majorHAnsi" w:eastAsiaTheme="majorEastAsia" w:cstheme="majorBidi"/>
      <w:b/>
      <w:bCs/>
      <w:sz w:val="28"/>
      <w:szCs w:val="28"/>
    </w:rPr>
  </w:style>
  <w:style w:type="character" w:customStyle="1" w:styleId="30">
    <w:name w:val="页眉 字符"/>
    <w:basedOn w:val="15"/>
    <w:link w:val="9"/>
    <w:qFormat/>
    <w:uiPriority w:val="99"/>
    <w:rPr>
      <w:sz w:val="18"/>
      <w:szCs w:val="18"/>
    </w:rPr>
  </w:style>
  <w:style w:type="character" w:customStyle="1" w:styleId="31">
    <w:name w:val="页脚 字符"/>
    <w:basedOn w:val="15"/>
    <w:link w:val="8"/>
    <w:qFormat/>
    <w:uiPriority w:val="99"/>
    <w:rPr>
      <w:sz w:val="18"/>
      <w:szCs w:val="18"/>
    </w:rPr>
  </w:style>
  <w:style w:type="character" w:customStyle="1" w:styleId="32">
    <w:name w:val="正文文本 字符"/>
    <w:basedOn w:val="15"/>
    <w:link w:val="5"/>
    <w:qFormat/>
    <w:uiPriority w:val="1"/>
    <w:rPr>
      <w:rFonts w:ascii="Arial Unicode MS" w:hAnsi="Times New Roman" w:eastAsia="Arial Unicode MS" w:cs="Arial Unicode MS"/>
      <w:kern w:val="0"/>
      <w:sz w:val="40"/>
      <w:szCs w:val="40"/>
    </w:rPr>
  </w:style>
  <w:style w:type="table" w:customStyle="1" w:styleId="33">
    <w:name w:val="网格型1"/>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
    <w:name w:val="6表内文字 居中"/>
    <w:basedOn w:val="1"/>
    <w:qFormat/>
    <w:uiPriority w:val="0"/>
    <w:pPr>
      <w:autoSpaceDE w:val="0"/>
      <w:autoSpaceDN w:val="0"/>
      <w:adjustRightInd w:val="0"/>
      <w:jc w:val="center"/>
      <w:textAlignment w:val="baseline"/>
    </w:pPr>
    <w:rPr>
      <w:rFonts w:ascii="Times New Roman" w:hAnsi="Times New Roman" w:eastAsia="宋体" w:cs="PMingLiU"/>
      <w:snapToGrid w:val="0"/>
      <w:kern w:val="0"/>
      <w:sz w:val="22"/>
      <w:lang w:val="zh-CN" w:bidi="zh-CN"/>
    </w:rPr>
  </w:style>
  <w:style w:type="character" w:customStyle="1" w:styleId="35">
    <w:name w:val="批注框文本 字符"/>
    <w:basedOn w:val="15"/>
    <w:link w:val="7"/>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9094C-60C7-4464-89A5-FA922D77B8D5}">
  <ds:schemaRefs/>
</ds:datastoreItem>
</file>

<file path=docProps/app.xml><?xml version="1.0" encoding="utf-8"?>
<Properties xmlns="http://schemas.openxmlformats.org/officeDocument/2006/extended-properties" xmlns:vt="http://schemas.openxmlformats.org/officeDocument/2006/docPropsVTypes">
  <Template>Normal.dotm</Template>
  <Pages>60</Pages>
  <Words>710</Words>
  <Characters>959</Characters>
  <Lines>852</Lines>
  <Paragraphs>764</Paragraphs>
  <TotalTime>113</TotalTime>
  <ScaleCrop>false</ScaleCrop>
  <LinksUpToDate>false</LinksUpToDate>
  <CharactersWithSpaces>1034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2024-11-21T03:56:00Z</dcterms:created>
  <dc:creator>Administrator</dc:creator>
  <cp:lastModifiedBy>宏伟</cp:lastModifiedBy>
  <cp:lastPrinted>2025-09-19T06:38:00Z</cp:lastPrinted>
  <dcterms:modified xsi:type="dcterms:W3CDTF">2025-12-25T08:02:37Z</dcterms:modified>
  <cp:revision>2275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eyJoZGlkIjoiNWMzNjA4YmMwMzQwMjYxYTc3MGU4Mjg3OTJjZmZkNTMiLCJ1c2VySWQiOiIxMTQxOTU3NDIzIn0=</vt:lpwstr>
  </property>
  <property fmtid="{D5CDD505-2E9C-101B-9397-08002B2CF9AE}" pid="3" name="KSOProductBuildVer">
    <vt:lpwstr>2052-12.1.0.24034</vt:lpwstr>
  </property>
  <property fmtid="{D5CDD505-2E9C-101B-9397-08002B2CF9AE}" pid="4" name="ICV">
    <vt:lpwstr>E73F6C22895D4FA6986D937FE9D0C9B6_12</vt:lpwstr>
  </property>
</Properties>
</file>