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8CE79">
      <w:pPr>
        <w:pStyle w:val="34"/>
        <w:rPr>
          <w:color w:val="auto"/>
        </w:rPr>
      </w:pPr>
    </w:p>
    <w:p w14:paraId="2697AC82">
      <w:pPr>
        <w:pStyle w:val="34"/>
        <w:spacing w:line="360" w:lineRule="auto"/>
        <w:jc w:val="center"/>
        <w:rPr>
          <w:rFonts w:ascii="宋体" w:hAnsi="宋体" w:eastAsia="宋体"/>
          <w:color w:val="auto"/>
          <w:sz w:val="48"/>
          <w:szCs w:val="48"/>
        </w:rPr>
      </w:pPr>
    </w:p>
    <w:p w14:paraId="6EB09F2F">
      <w:pPr>
        <w:pStyle w:val="34"/>
        <w:spacing w:line="360" w:lineRule="auto"/>
        <w:jc w:val="center"/>
        <w:rPr>
          <w:rFonts w:ascii="宋体" w:hAnsi="宋体" w:eastAsia="宋体"/>
          <w:b/>
          <w:color w:val="auto"/>
          <w:sz w:val="48"/>
          <w:szCs w:val="48"/>
        </w:rPr>
      </w:pPr>
      <w:r>
        <w:rPr>
          <w:rFonts w:hint="eastAsia" w:ascii="宋体" w:hAnsi="宋体" w:eastAsia="宋体"/>
          <w:b/>
          <w:color w:val="auto"/>
          <w:sz w:val="48"/>
          <w:szCs w:val="48"/>
        </w:rPr>
        <w:t>大同市云冈区</w:t>
      </w:r>
    </w:p>
    <w:p w14:paraId="79D20610">
      <w:pPr>
        <w:pStyle w:val="34"/>
        <w:spacing w:line="360" w:lineRule="auto"/>
        <w:jc w:val="center"/>
        <w:rPr>
          <w:rFonts w:ascii="宋体" w:hAnsi="宋体" w:eastAsia="宋体"/>
          <w:b/>
          <w:color w:val="auto"/>
          <w:sz w:val="48"/>
          <w:szCs w:val="48"/>
        </w:rPr>
      </w:pPr>
      <w:r>
        <w:rPr>
          <w:rFonts w:hint="eastAsia" w:ascii="宋体" w:hAnsi="宋体" w:eastAsia="宋体"/>
          <w:b/>
          <w:color w:val="auto"/>
          <w:sz w:val="48"/>
          <w:szCs w:val="48"/>
        </w:rPr>
        <w:t>突发环境事件应急预案</w:t>
      </w:r>
    </w:p>
    <w:p w14:paraId="78D47F97">
      <w:pPr>
        <w:pStyle w:val="34"/>
        <w:rPr>
          <w:color w:val="auto"/>
        </w:rPr>
      </w:pPr>
    </w:p>
    <w:p w14:paraId="1DC49594">
      <w:pPr>
        <w:pStyle w:val="34"/>
        <w:rPr>
          <w:color w:val="auto"/>
        </w:rPr>
      </w:pPr>
    </w:p>
    <w:p w14:paraId="76CDDE8F">
      <w:pPr>
        <w:pStyle w:val="34"/>
        <w:rPr>
          <w:color w:val="auto"/>
        </w:rPr>
      </w:pPr>
    </w:p>
    <w:p w14:paraId="5EA4A8F4">
      <w:pPr>
        <w:pStyle w:val="34"/>
        <w:rPr>
          <w:color w:val="auto"/>
        </w:rPr>
      </w:pPr>
    </w:p>
    <w:p w14:paraId="5497CA0A">
      <w:pPr>
        <w:pStyle w:val="34"/>
        <w:rPr>
          <w:color w:val="auto"/>
        </w:rPr>
      </w:pPr>
    </w:p>
    <w:p w14:paraId="7CC02A85">
      <w:pPr>
        <w:pStyle w:val="34"/>
        <w:rPr>
          <w:color w:val="auto"/>
        </w:rPr>
      </w:pPr>
    </w:p>
    <w:p w14:paraId="08F9B512">
      <w:pPr>
        <w:pStyle w:val="34"/>
        <w:rPr>
          <w:color w:val="auto"/>
        </w:rPr>
      </w:pPr>
    </w:p>
    <w:p w14:paraId="761554FF">
      <w:pPr>
        <w:pStyle w:val="34"/>
        <w:rPr>
          <w:color w:val="auto"/>
        </w:rPr>
      </w:pPr>
    </w:p>
    <w:p w14:paraId="03CFECFE">
      <w:pPr>
        <w:pStyle w:val="34"/>
        <w:rPr>
          <w:color w:val="auto"/>
        </w:rPr>
      </w:pPr>
    </w:p>
    <w:p w14:paraId="4FC75AEC">
      <w:pPr>
        <w:pStyle w:val="34"/>
        <w:rPr>
          <w:color w:val="auto"/>
        </w:rPr>
      </w:pPr>
    </w:p>
    <w:p w14:paraId="546E1A70">
      <w:pPr>
        <w:pStyle w:val="34"/>
        <w:rPr>
          <w:color w:val="auto"/>
        </w:rPr>
      </w:pPr>
    </w:p>
    <w:p w14:paraId="1AF11DE3">
      <w:pPr>
        <w:pStyle w:val="34"/>
        <w:rPr>
          <w:color w:val="auto"/>
        </w:rPr>
      </w:pPr>
    </w:p>
    <w:p w14:paraId="2AFB7EB7">
      <w:pPr>
        <w:pStyle w:val="34"/>
        <w:rPr>
          <w:color w:val="auto"/>
        </w:rPr>
      </w:pPr>
    </w:p>
    <w:p w14:paraId="0DEB7EA2">
      <w:pPr>
        <w:pStyle w:val="34"/>
        <w:rPr>
          <w:color w:val="auto"/>
        </w:rPr>
      </w:pPr>
    </w:p>
    <w:p w14:paraId="52342485">
      <w:pPr>
        <w:pStyle w:val="34"/>
        <w:jc w:val="center"/>
        <w:rPr>
          <w:rFonts w:ascii="宋体" w:hAnsi="宋体" w:eastAsia="宋体"/>
          <w:b/>
          <w:color w:val="auto"/>
        </w:rPr>
      </w:pPr>
      <w:bookmarkStart w:id="0" w:name="OLE_LINK17"/>
      <w:bookmarkStart w:id="1" w:name="OLE_LINK16"/>
      <w:r>
        <w:rPr>
          <w:rFonts w:hint="eastAsia" w:ascii="宋体" w:hAnsi="宋体" w:eastAsia="宋体"/>
          <w:b/>
          <w:color w:val="auto"/>
        </w:rPr>
        <w:t>委托单位：大同市生态环境局云冈分局</w:t>
      </w:r>
    </w:p>
    <w:p w14:paraId="2E960039">
      <w:pPr>
        <w:pStyle w:val="34"/>
        <w:jc w:val="center"/>
        <w:rPr>
          <w:rFonts w:ascii="宋体" w:hAnsi="宋体" w:eastAsia="宋体"/>
          <w:b/>
          <w:color w:val="auto"/>
        </w:rPr>
      </w:pPr>
      <w:r>
        <w:rPr>
          <w:rFonts w:hint="eastAsia" w:ascii="宋体" w:hAnsi="宋体" w:eastAsia="宋体"/>
          <w:b/>
          <w:color w:val="auto"/>
        </w:rPr>
        <w:t>编制单位：山西清源环境咨询有限公司</w:t>
      </w:r>
    </w:p>
    <w:p w14:paraId="7C8F29CD">
      <w:pPr>
        <w:pStyle w:val="34"/>
        <w:jc w:val="center"/>
        <w:rPr>
          <w:rFonts w:ascii="宋体" w:hAnsi="宋体" w:eastAsia="宋体"/>
          <w:b/>
          <w:color w:val="auto"/>
        </w:rPr>
      </w:pPr>
      <w:r>
        <w:rPr>
          <w:rFonts w:hint="eastAsia" w:ascii="宋体" w:hAnsi="宋体" w:eastAsia="宋体"/>
          <w:b/>
          <w:color w:val="auto"/>
        </w:rPr>
        <w:t>二零二五年十一月</w:t>
      </w:r>
    </w:p>
    <w:bookmarkEnd w:id="0"/>
    <w:bookmarkEnd w:id="1"/>
    <w:p w14:paraId="516E0EA8">
      <w:pPr>
        <w:pStyle w:val="34"/>
        <w:rPr>
          <w:color w:val="auto"/>
        </w:rPr>
      </w:pPr>
    </w:p>
    <w:p w14:paraId="03F9394B">
      <w:pPr>
        <w:pStyle w:val="34"/>
        <w:rPr>
          <w:color w:val="auto"/>
        </w:rPr>
        <w:sectPr>
          <w:footerReference r:id="rId3" w:type="default"/>
          <w:pgSz w:w="11906" w:h="16838"/>
          <w:pgMar w:top="1440" w:right="1800" w:bottom="1440" w:left="1800" w:header="851" w:footer="992" w:gutter="0"/>
          <w:cols w:space="425" w:num="1"/>
          <w:docGrid w:type="lines" w:linePitch="312" w:charSpace="0"/>
        </w:sectPr>
      </w:pPr>
    </w:p>
    <w:p w14:paraId="75700B57">
      <w:pPr>
        <w:pStyle w:val="34"/>
        <w:ind w:firstLine="0"/>
        <w:jc w:val="center"/>
        <w:rPr>
          <w:rFonts w:ascii="方正小标宋简体" w:eastAsia="方正小标宋简体"/>
          <w:color w:val="auto"/>
        </w:rPr>
      </w:pPr>
      <w:r>
        <w:rPr>
          <w:rFonts w:hint="eastAsia" w:ascii="方正小标宋简体" w:eastAsia="方正小标宋简体"/>
          <w:color w:val="auto"/>
        </w:rPr>
        <w:t>目录</w:t>
      </w:r>
    </w:p>
    <w:p w14:paraId="05DA59AA">
      <w:pPr>
        <w:pStyle w:val="21"/>
        <w:tabs>
          <w:tab w:val="right" w:leader="dot" w:pos="8494"/>
        </w:tabs>
        <w:spacing w:line="276" w:lineRule="auto"/>
        <w:rPr>
          <w:rFonts w:ascii="仿宋_GB2312" w:eastAsia="仿宋_GB2312"/>
          <w:sz w:val="32"/>
          <w:szCs w:val="32"/>
        </w:rPr>
      </w:pPr>
      <w:r>
        <w:rPr>
          <w:rFonts w:ascii="仿宋" w:hAnsi="仿宋" w:eastAsia="仿宋"/>
          <w:sz w:val="28"/>
          <w:szCs w:val="28"/>
        </w:rPr>
        <w:fldChar w:fldCharType="begin"/>
      </w:r>
      <w:r>
        <w:rPr>
          <w:rFonts w:ascii="仿宋" w:hAnsi="仿宋" w:eastAsia="仿宋"/>
          <w:sz w:val="28"/>
          <w:szCs w:val="28"/>
        </w:rPr>
        <w:instrText xml:space="preserve"> TOC \o "1-3" \h \z \u </w:instrText>
      </w:r>
      <w:r>
        <w:rPr>
          <w:rFonts w:ascii="仿宋" w:hAnsi="仿宋" w:eastAsia="仿宋"/>
          <w:sz w:val="28"/>
          <w:szCs w:val="28"/>
        </w:rPr>
        <w:fldChar w:fldCharType="separate"/>
      </w:r>
      <w:r>
        <w:fldChar w:fldCharType="begin"/>
      </w:r>
      <w:r>
        <w:instrText xml:space="preserve"> HYPERLINK \l "_Toc213413158" </w:instrText>
      </w:r>
      <w:r>
        <w:fldChar w:fldCharType="separate"/>
      </w:r>
      <w:r>
        <w:rPr>
          <w:rStyle w:val="28"/>
          <w:rFonts w:hint="eastAsia" w:ascii="仿宋_GB2312" w:eastAsia="仿宋_GB2312"/>
          <w:color w:val="auto"/>
          <w:sz w:val="32"/>
          <w:szCs w:val="32"/>
        </w:rPr>
        <w:t>区域概况</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_Toc213413158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9B5A500">
      <w:pPr>
        <w:pStyle w:val="21"/>
        <w:tabs>
          <w:tab w:val="right" w:leader="dot" w:pos="8494"/>
        </w:tabs>
        <w:spacing w:line="276" w:lineRule="auto"/>
        <w:rPr>
          <w:rFonts w:ascii="仿宋_GB2312" w:eastAsia="仿宋_GB2312"/>
          <w:sz w:val="32"/>
          <w:szCs w:val="32"/>
        </w:rPr>
      </w:pPr>
      <w:r>
        <w:fldChar w:fldCharType="begin"/>
      </w:r>
      <w:r>
        <w:instrText xml:space="preserve"> HYPERLINK \l "_Toc213413165" </w:instrText>
      </w:r>
      <w:r>
        <w:fldChar w:fldCharType="separate"/>
      </w:r>
      <w:r>
        <w:rPr>
          <w:rStyle w:val="28"/>
          <w:rFonts w:hint="eastAsia" w:ascii="仿宋_GB2312" w:eastAsia="仿宋_GB2312"/>
          <w:color w:val="auto"/>
          <w:sz w:val="32"/>
          <w:szCs w:val="32"/>
        </w:rPr>
        <w:t>1.总则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_Toc213413165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C1346DC">
      <w:pPr>
        <w:pStyle w:val="22"/>
        <w:tabs>
          <w:tab w:val="right" w:leader="dot" w:pos="8494"/>
        </w:tabs>
        <w:spacing w:line="276" w:lineRule="auto"/>
        <w:rPr>
          <w:rFonts w:ascii="仿宋_GB2312" w:eastAsia="仿宋_GB2312"/>
          <w:sz w:val="32"/>
          <w:szCs w:val="32"/>
        </w:rPr>
      </w:pPr>
      <w:r>
        <w:fldChar w:fldCharType="begin"/>
      </w:r>
      <w:r>
        <w:instrText xml:space="preserve"> HYPERLINK \l "_Toc213413166" </w:instrText>
      </w:r>
      <w:r>
        <w:fldChar w:fldCharType="separate"/>
      </w:r>
      <w:r>
        <w:rPr>
          <w:rStyle w:val="28"/>
          <w:rFonts w:hint="eastAsia" w:ascii="仿宋_GB2312" w:eastAsia="仿宋_GB2312"/>
          <w:color w:val="auto"/>
          <w:sz w:val="32"/>
          <w:szCs w:val="32"/>
        </w:rPr>
        <w:t>1.1编制目的</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_Toc213413166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B5FE0FD">
      <w:pPr>
        <w:pStyle w:val="22"/>
        <w:tabs>
          <w:tab w:val="right" w:leader="dot" w:pos="8494"/>
        </w:tabs>
        <w:spacing w:line="276" w:lineRule="auto"/>
        <w:rPr>
          <w:rFonts w:ascii="仿宋_GB2312" w:eastAsia="仿宋_GB2312"/>
          <w:sz w:val="32"/>
          <w:szCs w:val="32"/>
        </w:rPr>
      </w:pPr>
      <w:r>
        <w:fldChar w:fldCharType="begin"/>
      </w:r>
      <w:r>
        <w:instrText xml:space="preserve"> HYPERLINK \l "_Toc213413167" </w:instrText>
      </w:r>
      <w:r>
        <w:fldChar w:fldCharType="separate"/>
      </w:r>
      <w:r>
        <w:rPr>
          <w:rStyle w:val="28"/>
          <w:rFonts w:hint="eastAsia" w:ascii="仿宋_GB2312" w:eastAsia="仿宋_GB2312"/>
          <w:color w:val="auto"/>
          <w:sz w:val="32"/>
          <w:szCs w:val="32"/>
        </w:rPr>
        <w:t>1.2编制依据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_Toc213413167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5783ECC">
      <w:pPr>
        <w:pStyle w:val="22"/>
        <w:tabs>
          <w:tab w:val="right" w:leader="dot" w:pos="8494"/>
        </w:tabs>
        <w:spacing w:line="276" w:lineRule="auto"/>
        <w:rPr>
          <w:rFonts w:ascii="仿宋_GB2312" w:eastAsia="仿宋_GB2312"/>
          <w:sz w:val="32"/>
          <w:szCs w:val="32"/>
        </w:rPr>
      </w:pPr>
      <w:r>
        <w:fldChar w:fldCharType="begin"/>
      </w:r>
      <w:r>
        <w:instrText xml:space="preserve"> HYPERLINK \l "_Toc213413168" </w:instrText>
      </w:r>
      <w:r>
        <w:fldChar w:fldCharType="separate"/>
      </w:r>
      <w:r>
        <w:rPr>
          <w:rStyle w:val="28"/>
          <w:rFonts w:hint="eastAsia" w:ascii="仿宋_GB2312" w:eastAsia="仿宋_GB2312"/>
          <w:color w:val="auto"/>
          <w:sz w:val="32"/>
          <w:szCs w:val="32"/>
        </w:rPr>
        <w:t>1.3工作原则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_Toc213413168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563084C">
      <w:pPr>
        <w:pStyle w:val="22"/>
        <w:tabs>
          <w:tab w:val="right" w:leader="dot" w:pos="8494"/>
        </w:tabs>
        <w:spacing w:line="276" w:lineRule="auto"/>
        <w:rPr>
          <w:rFonts w:ascii="仿宋_GB2312" w:eastAsia="仿宋_GB2312"/>
          <w:sz w:val="32"/>
          <w:szCs w:val="32"/>
        </w:rPr>
      </w:pPr>
      <w:r>
        <w:fldChar w:fldCharType="begin"/>
      </w:r>
      <w:r>
        <w:instrText xml:space="preserve"> HYPERLINK \l "_Toc213413169" </w:instrText>
      </w:r>
      <w:r>
        <w:fldChar w:fldCharType="separate"/>
      </w:r>
      <w:r>
        <w:rPr>
          <w:rStyle w:val="28"/>
          <w:rFonts w:hint="eastAsia" w:ascii="仿宋_GB2312" w:eastAsia="仿宋_GB2312"/>
          <w:color w:val="auto"/>
          <w:sz w:val="32"/>
          <w:szCs w:val="32"/>
        </w:rPr>
        <w:t>1.4适用范围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_Toc213413169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6F4064B">
      <w:pPr>
        <w:pStyle w:val="22"/>
        <w:tabs>
          <w:tab w:val="right" w:leader="dot" w:pos="8494"/>
        </w:tabs>
        <w:spacing w:line="276" w:lineRule="auto"/>
        <w:rPr>
          <w:rFonts w:ascii="仿宋_GB2312" w:eastAsia="仿宋_GB2312"/>
          <w:sz w:val="32"/>
          <w:szCs w:val="32"/>
        </w:rPr>
      </w:pPr>
      <w:r>
        <w:fldChar w:fldCharType="begin"/>
      </w:r>
      <w:r>
        <w:instrText xml:space="preserve"> HYPERLINK \l "_Toc213413170" </w:instrText>
      </w:r>
      <w:r>
        <w:fldChar w:fldCharType="separate"/>
      </w:r>
      <w:r>
        <w:rPr>
          <w:rStyle w:val="28"/>
          <w:rFonts w:hint="eastAsia" w:ascii="仿宋_GB2312" w:eastAsia="仿宋_GB2312"/>
          <w:color w:val="auto"/>
          <w:sz w:val="32"/>
          <w:szCs w:val="32"/>
        </w:rPr>
        <w:t>1.5预案体系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_Toc213413170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53DC420">
      <w:pPr>
        <w:pStyle w:val="17"/>
        <w:tabs>
          <w:tab w:val="right" w:leader="dot" w:pos="8494"/>
        </w:tabs>
        <w:spacing w:line="276" w:lineRule="auto"/>
        <w:rPr>
          <w:rFonts w:ascii="仿宋_GB2312" w:eastAsia="仿宋_GB2312"/>
          <w:sz w:val="32"/>
          <w:szCs w:val="32"/>
        </w:rPr>
      </w:pPr>
      <w:r>
        <w:fldChar w:fldCharType="begin"/>
      </w:r>
      <w:r>
        <w:instrText xml:space="preserve"> HYPERLINK \l "_Toc213413171" </w:instrText>
      </w:r>
      <w:r>
        <w:fldChar w:fldCharType="separate"/>
      </w:r>
      <w:r>
        <w:rPr>
          <w:rStyle w:val="28"/>
          <w:rFonts w:hint="eastAsia" w:ascii="仿宋_GB2312" w:eastAsia="仿宋_GB2312"/>
          <w:color w:val="auto"/>
          <w:sz w:val="32"/>
          <w:szCs w:val="32"/>
        </w:rPr>
        <w:t>1.5.1与上位应急预案的衔接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_Toc213413171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43E659B">
      <w:pPr>
        <w:pStyle w:val="17"/>
        <w:tabs>
          <w:tab w:val="right" w:leader="dot" w:pos="8494"/>
        </w:tabs>
        <w:spacing w:line="276" w:lineRule="auto"/>
        <w:rPr>
          <w:rFonts w:ascii="仿宋_GB2312" w:eastAsia="仿宋_GB2312"/>
          <w:sz w:val="32"/>
          <w:szCs w:val="32"/>
        </w:rPr>
      </w:pPr>
      <w:r>
        <w:fldChar w:fldCharType="begin"/>
      </w:r>
      <w:r>
        <w:instrText xml:space="preserve"> HYPERLINK \l "_Toc213413172" </w:instrText>
      </w:r>
      <w:r>
        <w:fldChar w:fldCharType="separate"/>
      </w:r>
      <w:r>
        <w:rPr>
          <w:rStyle w:val="28"/>
          <w:rFonts w:hint="eastAsia" w:ascii="仿宋_GB2312" w:eastAsia="仿宋_GB2312"/>
          <w:color w:val="auto"/>
          <w:sz w:val="32"/>
          <w:szCs w:val="32"/>
        </w:rPr>
        <w:t>1.5.2与下位应急预案的衔接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_Toc213413172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6F1589D">
      <w:pPr>
        <w:pStyle w:val="17"/>
        <w:tabs>
          <w:tab w:val="right" w:leader="dot" w:pos="8494"/>
        </w:tabs>
        <w:spacing w:line="276" w:lineRule="auto"/>
        <w:rPr>
          <w:rFonts w:ascii="仿宋_GB2312" w:eastAsia="仿宋_GB2312"/>
          <w:sz w:val="32"/>
          <w:szCs w:val="32"/>
        </w:rPr>
      </w:pPr>
      <w:r>
        <w:fldChar w:fldCharType="begin"/>
      </w:r>
      <w:r>
        <w:instrText xml:space="preserve"> HYPERLINK \l "_Toc213413173" </w:instrText>
      </w:r>
      <w:r>
        <w:fldChar w:fldCharType="separate"/>
      </w:r>
      <w:r>
        <w:rPr>
          <w:rStyle w:val="28"/>
          <w:rFonts w:hint="eastAsia" w:ascii="仿宋_GB2312" w:eastAsia="仿宋_GB2312"/>
          <w:color w:val="auto"/>
          <w:sz w:val="32"/>
          <w:szCs w:val="32"/>
        </w:rPr>
        <w:t>1.5.3与其他专项应急预案的衔接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_Toc213413173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F55F062">
      <w:pPr>
        <w:pStyle w:val="22"/>
        <w:tabs>
          <w:tab w:val="right" w:leader="dot" w:pos="8494"/>
        </w:tabs>
        <w:spacing w:line="276" w:lineRule="auto"/>
        <w:rPr>
          <w:rFonts w:ascii="仿宋_GB2312" w:eastAsia="仿宋_GB2312"/>
          <w:sz w:val="32"/>
          <w:szCs w:val="32"/>
        </w:rPr>
      </w:pPr>
      <w:r>
        <w:fldChar w:fldCharType="begin"/>
      </w:r>
      <w:r>
        <w:instrText xml:space="preserve"> HYPERLINK \l "_Toc213413174" </w:instrText>
      </w:r>
      <w:r>
        <w:fldChar w:fldCharType="separate"/>
      </w:r>
      <w:r>
        <w:rPr>
          <w:rStyle w:val="28"/>
          <w:rFonts w:hint="eastAsia" w:ascii="仿宋_GB2312" w:eastAsia="仿宋_GB2312"/>
          <w:color w:val="auto"/>
          <w:sz w:val="32"/>
          <w:szCs w:val="32"/>
        </w:rPr>
        <w:t>1.6 事件分级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_Toc213413174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0DAC07D">
      <w:pPr>
        <w:pStyle w:val="21"/>
        <w:tabs>
          <w:tab w:val="right" w:leader="dot" w:pos="8494"/>
        </w:tabs>
        <w:spacing w:line="276" w:lineRule="auto"/>
        <w:rPr>
          <w:rFonts w:ascii="仿宋_GB2312" w:eastAsia="仿宋_GB2312"/>
          <w:sz w:val="32"/>
          <w:szCs w:val="32"/>
        </w:rPr>
      </w:pPr>
      <w:r>
        <w:fldChar w:fldCharType="begin"/>
      </w:r>
      <w:r>
        <w:instrText xml:space="preserve"> HYPERLINK \l "_Toc213413175" </w:instrText>
      </w:r>
      <w:r>
        <w:fldChar w:fldCharType="separate"/>
      </w:r>
      <w:r>
        <w:rPr>
          <w:rStyle w:val="28"/>
          <w:rFonts w:hint="eastAsia" w:ascii="仿宋_GB2312" w:eastAsia="仿宋_GB2312"/>
          <w:color w:val="auto"/>
          <w:sz w:val="32"/>
          <w:szCs w:val="32"/>
        </w:rPr>
        <w:t>2.应急组织指挥体系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_Toc213413175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E9C43D1">
      <w:pPr>
        <w:pStyle w:val="22"/>
        <w:tabs>
          <w:tab w:val="right" w:leader="dot" w:pos="8494"/>
        </w:tabs>
        <w:spacing w:line="276" w:lineRule="auto"/>
        <w:rPr>
          <w:rFonts w:ascii="仿宋_GB2312" w:eastAsia="仿宋_GB2312"/>
          <w:sz w:val="32"/>
          <w:szCs w:val="32"/>
        </w:rPr>
      </w:pPr>
      <w:r>
        <w:fldChar w:fldCharType="begin"/>
      </w:r>
      <w:r>
        <w:instrText xml:space="preserve"> HYPERLINK \l "_Toc213413176" </w:instrText>
      </w:r>
      <w:r>
        <w:fldChar w:fldCharType="separate"/>
      </w:r>
      <w:r>
        <w:rPr>
          <w:rStyle w:val="28"/>
          <w:rFonts w:hint="eastAsia" w:ascii="仿宋_GB2312" w:eastAsia="仿宋_GB2312"/>
          <w:color w:val="auto"/>
          <w:sz w:val="32"/>
          <w:szCs w:val="32"/>
        </w:rPr>
        <w:t>2.1指挥部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_Toc213413176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7D2156E">
      <w:pPr>
        <w:pStyle w:val="22"/>
        <w:tabs>
          <w:tab w:val="right" w:leader="dot" w:pos="8494"/>
        </w:tabs>
        <w:spacing w:line="276" w:lineRule="auto"/>
        <w:rPr>
          <w:rFonts w:ascii="仿宋_GB2312" w:eastAsia="仿宋_GB2312"/>
          <w:sz w:val="32"/>
          <w:szCs w:val="32"/>
        </w:rPr>
      </w:pPr>
      <w:r>
        <w:fldChar w:fldCharType="begin"/>
      </w:r>
      <w:r>
        <w:instrText xml:space="preserve"> HYPERLINK \l "_Toc213413177" </w:instrText>
      </w:r>
      <w:r>
        <w:fldChar w:fldCharType="separate"/>
      </w:r>
      <w:r>
        <w:rPr>
          <w:rStyle w:val="28"/>
          <w:rFonts w:hint="eastAsia" w:ascii="仿宋_GB2312" w:eastAsia="仿宋_GB2312"/>
          <w:color w:val="auto"/>
          <w:sz w:val="32"/>
          <w:szCs w:val="32"/>
        </w:rPr>
        <w:t>2.2应急指挥工作组</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_Toc213413177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CF092AC">
      <w:pPr>
        <w:pStyle w:val="21"/>
        <w:tabs>
          <w:tab w:val="right" w:leader="dot" w:pos="8494"/>
        </w:tabs>
        <w:spacing w:line="276" w:lineRule="auto"/>
        <w:rPr>
          <w:rFonts w:ascii="仿宋_GB2312" w:eastAsia="仿宋_GB2312"/>
          <w:sz w:val="32"/>
          <w:szCs w:val="32"/>
        </w:rPr>
      </w:pPr>
      <w:r>
        <w:fldChar w:fldCharType="begin"/>
      </w:r>
      <w:r>
        <w:instrText xml:space="preserve"> HYPERLINK \l "_Toc213413178" </w:instrText>
      </w:r>
      <w:r>
        <w:fldChar w:fldCharType="separate"/>
      </w:r>
      <w:r>
        <w:rPr>
          <w:rStyle w:val="28"/>
          <w:rFonts w:hint="eastAsia" w:ascii="仿宋_GB2312" w:eastAsia="仿宋_GB2312"/>
          <w:color w:val="auto"/>
          <w:sz w:val="32"/>
          <w:szCs w:val="32"/>
        </w:rPr>
        <w:t>3风险防控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_Toc213413178 \h </w:instrText>
      </w:r>
      <w:r>
        <w:rPr>
          <w:rFonts w:hint="eastAsia" w:ascii="仿宋_GB2312" w:eastAsia="仿宋_GB2312"/>
          <w:sz w:val="32"/>
          <w:szCs w:val="32"/>
        </w:rPr>
        <w:fldChar w:fldCharType="separate"/>
      </w:r>
      <w:r>
        <w:rPr>
          <w:rFonts w:hint="eastAsia" w:ascii="仿宋_GB2312" w:eastAsia="仿宋_GB2312"/>
          <w:sz w:val="32"/>
          <w:szCs w:val="32"/>
        </w:rPr>
        <w:t>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47C5916">
      <w:pPr>
        <w:pStyle w:val="22"/>
        <w:tabs>
          <w:tab w:val="right" w:leader="dot" w:pos="8494"/>
        </w:tabs>
        <w:spacing w:line="276" w:lineRule="auto"/>
        <w:rPr>
          <w:rFonts w:ascii="仿宋_GB2312" w:eastAsia="仿宋_GB2312"/>
          <w:sz w:val="32"/>
          <w:szCs w:val="32"/>
        </w:rPr>
      </w:pPr>
      <w:r>
        <w:fldChar w:fldCharType="begin"/>
      </w:r>
      <w:r>
        <w:instrText xml:space="preserve"> HYPERLINK \l "_Toc213413179" </w:instrText>
      </w:r>
      <w:r>
        <w:fldChar w:fldCharType="separate"/>
      </w:r>
      <w:r>
        <w:rPr>
          <w:rStyle w:val="28"/>
          <w:rFonts w:hint="eastAsia" w:ascii="仿宋_GB2312" w:eastAsia="仿宋_GB2312"/>
          <w:color w:val="auto"/>
          <w:sz w:val="32"/>
          <w:szCs w:val="32"/>
        </w:rPr>
        <w:t>3.1风险源调查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_Toc213413179 \h </w:instrText>
      </w:r>
      <w:r>
        <w:rPr>
          <w:rFonts w:hint="eastAsia" w:ascii="仿宋_GB2312" w:eastAsia="仿宋_GB2312"/>
          <w:sz w:val="32"/>
          <w:szCs w:val="32"/>
        </w:rPr>
        <w:fldChar w:fldCharType="separate"/>
      </w:r>
      <w:r>
        <w:rPr>
          <w:rFonts w:hint="eastAsia" w:ascii="仿宋_GB2312" w:eastAsia="仿宋_GB2312"/>
          <w:sz w:val="32"/>
          <w:szCs w:val="32"/>
        </w:rPr>
        <w:t>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9D5D751">
      <w:pPr>
        <w:pStyle w:val="22"/>
        <w:tabs>
          <w:tab w:val="right" w:leader="dot" w:pos="8494"/>
        </w:tabs>
        <w:spacing w:line="276" w:lineRule="auto"/>
        <w:rPr>
          <w:rFonts w:ascii="仿宋_GB2312" w:eastAsia="仿宋_GB2312"/>
          <w:sz w:val="32"/>
          <w:szCs w:val="32"/>
        </w:rPr>
      </w:pPr>
      <w:r>
        <w:fldChar w:fldCharType="begin"/>
      </w:r>
      <w:r>
        <w:instrText xml:space="preserve"> HYPERLINK \l "_Toc213413180" </w:instrText>
      </w:r>
      <w:r>
        <w:fldChar w:fldCharType="separate"/>
      </w:r>
      <w:r>
        <w:rPr>
          <w:rStyle w:val="28"/>
          <w:rFonts w:hint="eastAsia" w:ascii="仿宋_GB2312" w:eastAsia="仿宋_GB2312"/>
          <w:color w:val="auto"/>
          <w:sz w:val="32"/>
          <w:szCs w:val="32"/>
        </w:rPr>
        <w:t>3.2风险评估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_Toc213413180 \h </w:instrText>
      </w:r>
      <w:r>
        <w:rPr>
          <w:rFonts w:hint="eastAsia" w:ascii="仿宋_GB2312" w:eastAsia="仿宋_GB2312"/>
          <w:sz w:val="32"/>
          <w:szCs w:val="32"/>
        </w:rPr>
        <w:fldChar w:fldCharType="separate"/>
      </w:r>
      <w:r>
        <w:rPr>
          <w:rFonts w:hint="eastAsia" w:ascii="仿宋_GB2312" w:eastAsia="仿宋_GB2312"/>
          <w:sz w:val="32"/>
          <w:szCs w:val="32"/>
        </w:rPr>
        <w:t>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D286702">
      <w:pPr>
        <w:pStyle w:val="22"/>
        <w:tabs>
          <w:tab w:val="right" w:leader="dot" w:pos="8494"/>
        </w:tabs>
        <w:spacing w:line="276" w:lineRule="auto"/>
        <w:rPr>
          <w:rFonts w:ascii="仿宋_GB2312" w:eastAsia="仿宋_GB2312"/>
          <w:sz w:val="32"/>
          <w:szCs w:val="32"/>
        </w:rPr>
      </w:pPr>
      <w:r>
        <w:fldChar w:fldCharType="begin"/>
      </w:r>
      <w:r>
        <w:instrText xml:space="preserve"> HYPERLINK \l "_Toc213413181" </w:instrText>
      </w:r>
      <w:r>
        <w:fldChar w:fldCharType="separate"/>
      </w:r>
      <w:r>
        <w:rPr>
          <w:rStyle w:val="28"/>
          <w:rFonts w:hint="eastAsia" w:ascii="仿宋_GB2312" w:eastAsia="仿宋_GB2312"/>
          <w:color w:val="auto"/>
          <w:sz w:val="32"/>
          <w:szCs w:val="32"/>
        </w:rPr>
        <w:t>3.3应急能力建设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_Toc213413181 \h </w:instrText>
      </w:r>
      <w:r>
        <w:rPr>
          <w:rFonts w:hint="eastAsia" w:ascii="仿宋_GB2312" w:eastAsia="仿宋_GB2312"/>
          <w:sz w:val="32"/>
          <w:szCs w:val="32"/>
        </w:rPr>
        <w:fldChar w:fldCharType="separate"/>
      </w:r>
      <w:r>
        <w:rPr>
          <w:rFonts w:hint="eastAsia" w:ascii="仿宋_GB2312" w:eastAsia="仿宋_GB2312"/>
          <w:sz w:val="32"/>
          <w:szCs w:val="32"/>
        </w:rPr>
        <w:t>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C4B9399">
      <w:pPr>
        <w:pStyle w:val="17"/>
        <w:tabs>
          <w:tab w:val="right" w:leader="dot" w:pos="8494"/>
        </w:tabs>
        <w:spacing w:line="276" w:lineRule="auto"/>
        <w:rPr>
          <w:rFonts w:ascii="仿宋_GB2312" w:eastAsia="仿宋_GB2312"/>
          <w:sz w:val="32"/>
          <w:szCs w:val="32"/>
        </w:rPr>
      </w:pPr>
      <w:r>
        <w:fldChar w:fldCharType="begin"/>
      </w:r>
      <w:r>
        <w:instrText xml:space="preserve"> HYPERLINK \l "_Toc213413182" </w:instrText>
      </w:r>
      <w:r>
        <w:fldChar w:fldCharType="separate"/>
      </w:r>
      <w:r>
        <w:rPr>
          <w:rStyle w:val="28"/>
          <w:rFonts w:hint="eastAsia" w:ascii="仿宋_GB2312" w:eastAsia="仿宋_GB2312"/>
          <w:color w:val="auto"/>
          <w:sz w:val="32"/>
          <w:szCs w:val="32"/>
        </w:rPr>
        <w:t>3.3.1环境风险管理制度建设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_Toc213413182 \h </w:instrText>
      </w:r>
      <w:r>
        <w:rPr>
          <w:rFonts w:hint="eastAsia" w:ascii="仿宋_GB2312" w:eastAsia="仿宋_GB2312"/>
          <w:sz w:val="32"/>
          <w:szCs w:val="32"/>
        </w:rPr>
        <w:fldChar w:fldCharType="separate"/>
      </w:r>
      <w:r>
        <w:rPr>
          <w:rFonts w:hint="eastAsia" w:ascii="仿宋_GB2312" w:eastAsia="仿宋_GB2312"/>
          <w:sz w:val="32"/>
          <w:szCs w:val="32"/>
        </w:rPr>
        <w:t>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C2CD8E1">
      <w:pPr>
        <w:pStyle w:val="17"/>
        <w:tabs>
          <w:tab w:val="right" w:leader="dot" w:pos="8494"/>
        </w:tabs>
        <w:spacing w:line="276" w:lineRule="auto"/>
        <w:rPr>
          <w:rFonts w:ascii="仿宋_GB2312" w:eastAsia="仿宋_GB2312"/>
          <w:sz w:val="32"/>
          <w:szCs w:val="32"/>
        </w:rPr>
      </w:pPr>
      <w:r>
        <w:fldChar w:fldCharType="begin"/>
      </w:r>
      <w:r>
        <w:instrText xml:space="preserve"> HYPERLINK \l "_Toc213413183" </w:instrText>
      </w:r>
      <w:r>
        <w:fldChar w:fldCharType="separate"/>
      </w:r>
      <w:r>
        <w:rPr>
          <w:rStyle w:val="28"/>
          <w:rFonts w:hint="eastAsia" w:ascii="仿宋_GB2312" w:eastAsia="仿宋_GB2312"/>
          <w:color w:val="auto"/>
          <w:sz w:val="32"/>
          <w:szCs w:val="32"/>
        </w:rPr>
        <w:t>3.3.2企业环境风险防范措施</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_Toc213413183 \h </w:instrText>
      </w:r>
      <w:r>
        <w:rPr>
          <w:rFonts w:hint="eastAsia" w:ascii="仿宋_GB2312" w:eastAsia="仿宋_GB2312"/>
          <w:sz w:val="32"/>
          <w:szCs w:val="32"/>
        </w:rPr>
        <w:fldChar w:fldCharType="separate"/>
      </w:r>
      <w:r>
        <w:rPr>
          <w:rFonts w:hint="eastAsia" w:ascii="仿宋_GB2312" w:eastAsia="仿宋_GB2312"/>
          <w:sz w:val="32"/>
          <w:szCs w:val="32"/>
        </w:rPr>
        <w:t>10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F3E8655">
      <w:pPr>
        <w:pStyle w:val="17"/>
        <w:tabs>
          <w:tab w:val="right" w:leader="dot" w:pos="8494"/>
        </w:tabs>
        <w:spacing w:line="276" w:lineRule="auto"/>
        <w:rPr>
          <w:rFonts w:ascii="仿宋_GB2312" w:eastAsia="仿宋_GB2312"/>
          <w:sz w:val="32"/>
          <w:szCs w:val="32"/>
        </w:rPr>
      </w:pPr>
      <w:r>
        <w:fldChar w:fldCharType="begin"/>
      </w:r>
      <w:r>
        <w:instrText xml:space="preserve"> HYPERLINK \l "_Toc213413184" </w:instrText>
      </w:r>
      <w:r>
        <w:fldChar w:fldCharType="separate"/>
      </w:r>
      <w:r>
        <w:rPr>
          <w:rStyle w:val="28"/>
          <w:rFonts w:hint="eastAsia" w:ascii="仿宋_GB2312" w:eastAsia="仿宋_GB2312"/>
          <w:color w:val="auto"/>
          <w:sz w:val="32"/>
          <w:szCs w:val="32"/>
        </w:rPr>
        <w:t>3.3.3应急物资建设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_Toc213413184 \h </w:instrText>
      </w:r>
      <w:r>
        <w:rPr>
          <w:rFonts w:hint="eastAsia" w:ascii="仿宋_GB2312" w:eastAsia="仿宋_GB2312"/>
          <w:sz w:val="32"/>
          <w:szCs w:val="32"/>
        </w:rPr>
        <w:fldChar w:fldCharType="separate"/>
      </w:r>
      <w:r>
        <w:rPr>
          <w:rFonts w:hint="eastAsia" w:ascii="仿宋_GB2312" w:eastAsia="仿宋_GB2312"/>
          <w:sz w:val="32"/>
          <w:szCs w:val="32"/>
        </w:rPr>
        <w:t>10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6FA6C5F">
      <w:pPr>
        <w:pStyle w:val="17"/>
        <w:tabs>
          <w:tab w:val="right" w:leader="dot" w:pos="8494"/>
        </w:tabs>
        <w:spacing w:line="276" w:lineRule="auto"/>
        <w:rPr>
          <w:rFonts w:ascii="仿宋_GB2312" w:eastAsia="仿宋_GB2312"/>
          <w:sz w:val="32"/>
          <w:szCs w:val="32"/>
        </w:rPr>
      </w:pPr>
      <w:r>
        <w:fldChar w:fldCharType="begin"/>
      </w:r>
      <w:r>
        <w:instrText xml:space="preserve"> HYPERLINK \l "_Toc213413185" </w:instrText>
      </w:r>
      <w:r>
        <w:fldChar w:fldCharType="separate"/>
      </w:r>
      <w:r>
        <w:rPr>
          <w:rStyle w:val="28"/>
          <w:rFonts w:hint="eastAsia" w:ascii="仿宋_GB2312" w:eastAsia="仿宋_GB2312"/>
          <w:color w:val="auto"/>
          <w:sz w:val="32"/>
          <w:szCs w:val="32"/>
        </w:rPr>
        <w:t>3.3.4建立数据库</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_Toc213413185 \h </w:instrText>
      </w:r>
      <w:r>
        <w:rPr>
          <w:rFonts w:hint="eastAsia" w:ascii="仿宋_GB2312" w:eastAsia="仿宋_GB2312"/>
          <w:sz w:val="32"/>
          <w:szCs w:val="32"/>
        </w:rPr>
        <w:fldChar w:fldCharType="separate"/>
      </w:r>
      <w:r>
        <w:rPr>
          <w:rFonts w:hint="eastAsia" w:ascii="仿宋_GB2312" w:eastAsia="仿宋_GB2312"/>
          <w:sz w:val="32"/>
          <w:szCs w:val="32"/>
        </w:rPr>
        <w:t>11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86F7509">
      <w:pPr>
        <w:pStyle w:val="21"/>
        <w:tabs>
          <w:tab w:val="right" w:leader="dot" w:pos="8494"/>
        </w:tabs>
        <w:spacing w:line="276" w:lineRule="auto"/>
        <w:rPr>
          <w:rFonts w:ascii="仿宋_GB2312" w:eastAsia="仿宋_GB2312"/>
          <w:sz w:val="32"/>
          <w:szCs w:val="32"/>
        </w:rPr>
      </w:pPr>
      <w:r>
        <w:fldChar w:fldCharType="begin"/>
      </w:r>
      <w:r>
        <w:instrText xml:space="preserve"> HYPERLINK \l "_Toc213413186" </w:instrText>
      </w:r>
      <w:r>
        <w:fldChar w:fldCharType="separate"/>
      </w:r>
      <w:r>
        <w:rPr>
          <w:rStyle w:val="28"/>
          <w:rFonts w:hint="eastAsia" w:ascii="仿宋_GB2312" w:eastAsia="仿宋_GB2312"/>
          <w:color w:val="auto"/>
          <w:sz w:val="32"/>
          <w:szCs w:val="32"/>
        </w:rPr>
        <w:t>4 监测和预警</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_Toc213413186 \h </w:instrText>
      </w:r>
      <w:r>
        <w:rPr>
          <w:rFonts w:hint="eastAsia" w:ascii="仿宋_GB2312" w:eastAsia="仿宋_GB2312"/>
          <w:sz w:val="32"/>
          <w:szCs w:val="32"/>
        </w:rPr>
        <w:fldChar w:fldCharType="separate"/>
      </w:r>
      <w:r>
        <w:rPr>
          <w:rFonts w:hint="eastAsia" w:ascii="仿宋_GB2312" w:eastAsia="仿宋_GB2312"/>
          <w:sz w:val="32"/>
          <w:szCs w:val="32"/>
        </w:rPr>
        <w:t>13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002E96B">
      <w:pPr>
        <w:pStyle w:val="22"/>
        <w:tabs>
          <w:tab w:val="right" w:leader="dot" w:pos="8494"/>
        </w:tabs>
        <w:spacing w:line="276" w:lineRule="auto"/>
        <w:rPr>
          <w:rFonts w:ascii="仿宋_GB2312" w:eastAsia="仿宋_GB2312"/>
          <w:sz w:val="32"/>
          <w:szCs w:val="32"/>
        </w:rPr>
      </w:pPr>
      <w:r>
        <w:fldChar w:fldCharType="begin"/>
      </w:r>
      <w:r>
        <w:instrText xml:space="preserve"> HYPERLINK \l "_Toc213413187" </w:instrText>
      </w:r>
      <w:r>
        <w:fldChar w:fldCharType="separate"/>
      </w:r>
      <w:r>
        <w:rPr>
          <w:rStyle w:val="28"/>
          <w:rFonts w:hint="eastAsia" w:ascii="仿宋_GB2312" w:eastAsia="仿宋_GB2312"/>
          <w:color w:val="auto"/>
          <w:sz w:val="32"/>
          <w:szCs w:val="32"/>
        </w:rPr>
        <w:t>4.1监测和风险分析</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_Toc213413187 \h </w:instrText>
      </w:r>
      <w:r>
        <w:rPr>
          <w:rFonts w:hint="eastAsia" w:ascii="仿宋_GB2312" w:eastAsia="仿宋_GB2312"/>
          <w:sz w:val="32"/>
          <w:szCs w:val="32"/>
        </w:rPr>
        <w:fldChar w:fldCharType="separate"/>
      </w:r>
      <w:r>
        <w:rPr>
          <w:rFonts w:hint="eastAsia" w:ascii="仿宋_GB2312" w:eastAsia="仿宋_GB2312"/>
          <w:sz w:val="32"/>
          <w:szCs w:val="32"/>
        </w:rPr>
        <w:t>13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3E30CFE">
      <w:pPr>
        <w:pStyle w:val="22"/>
        <w:tabs>
          <w:tab w:val="right" w:leader="dot" w:pos="8494"/>
        </w:tabs>
        <w:spacing w:line="276" w:lineRule="auto"/>
        <w:rPr>
          <w:rFonts w:ascii="仿宋_GB2312" w:eastAsia="仿宋_GB2312"/>
          <w:sz w:val="32"/>
          <w:szCs w:val="32"/>
        </w:rPr>
      </w:pPr>
      <w:r>
        <w:fldChar w:fldCharType="begin"/>
      </w:r>
      <w:r>
        <w:instrText xml:space="preserve"> HYPERLINK \l "_Toc213413188" </w:instrText>
      </w:r>
      <w:r>
        <w:fldChar w:fldCharType="separate"/>
      </w:r>
      <w:r>
        <w:rPr>
          <w:rStyle w:val="28"/>
          <w:rFonts w:hint="eastAsia" w:ascii="仿宋_GB2312" w:eastAsia="仿宋_GB2312"/>
          <w:color w:val="auto"/>
          <w:sz w:val="32"/>
          <w:szCs w:val="32"/>
        </w:rPr>
        <w:t>4.2预防工作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_Toc213413188 \h </w:instrText>
      </w:r>
      <w:r>
        <w:rPr>
          <w:rFonts w:hint="eastAsia" w:ascii="仿宋_GB2312" w:eastAsia="仿宋_GB2312"/>
          <w:sz w:val="32"/>
          <w:szCs w:val="32"/>
        </w:rPr>
        <w:fldChar w:fldCharType="separate"/>
      </w:r>
      <w:r>
        <w:rPr>
          <w:rFonts w:hint="eastAsia" w:ascii="仿宋_GB2312" w:eastAsia="仿宋_GB2312"/>
          <w:sz w:val="32"/>
          <w:szCs w:val="32"/>
        </w:rPr>
        <w:t>13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14C75F9">
      <w:pPr>
        <w:pStyle w:val="22"/>
        <w:tabs>
          <w:tab w:val="right" w:leader="dot" w:pos="8494"/>
        </w:tabs>
        <w:spacing w:line="276" w:lineRule="auto"/>
        <w:rPr>
          <w:rFonts w:ascii="仿宋_GB2312" w:eastAsia="仿宋_GB2312"/>
          <w:sz w:val="32"/>
          <w:szCs w:val="32"/>
        </w:rPr>
      </w:pPr>
      <w:r>
        <w:fldChar w:fldCharType="begin"/>
      </w:r>
      <w:r>
        <w:instrText xml:space="preserve"> HYPERLINK \l "_Toc213413189" </w:instrText>
      </w:r>
      <w:r>
        <w:fldChar w:fldCharType="separate"/>
      </w:r>
      <w:r>
        <w:rPr>
          <w:rStyle w:val="28"/>
          <w:rFonts w:hint="eastAsia" w:ascii="仿宋_GB2312" w:eastAsia="仿宋_GB2312"/>
          <w:color w:val="auto"/>
          <w:sz w:val="32"/>
          <w:szCs w:val="32"/>
        </w:rPr>
        <w:t>4.3预警</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_Toc213413189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FB778BC">
      <w:pPr>
        <w:pStyle w:val="17"/>
        <w:tabs>
          <w:tab w:val="right" w:leader="dot" w:pos="8494"/>
        </w:tabs>
        <w:spacing w:line="276" w:lineRule="auto"/>
        <w:rPr>
          <w:rFonts w:ascii="仿宋_GB2312" w:eastAsia="仿宋_GB2312"/>
          <w:sz w:val="32"/>
          <w:szCs w:val="32"/>
        </w:rPr>
      </w:pPr>
      <w:r>
        <w:fldChar w:fldCharType="begin"/>
      </w:r>
      <w:r>
        <w:instrText xml:space="preserve"> HYPERLINK \l "_Toc213413190" </w:instrText>
      </w:r>
      <w:r>
        <w:fldChar w:fldCharType="separate"/>
      </w:r>
      <w:r>
        <w:rPr>
          <w:rStyle w:val="28"/>
          <w:rFonts w:hint="eastAsia" w:ascii="仿宋_GB2312" w:eastAsia="仿宋_GB2312"/>
          <w:color w:val="auto"/>
          <w:sz w:val="32"/>
          <w:szCs w:val="32"/>
        </w:rPr>
        <w:t>4.3.1预警分级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_Toc213413190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0555C40">
      <w:pPr>
        <w:pStyle w:val="17"/>
        <w:tabs>
          <w:tab w:val="right" w:leader="dot" w:pos="8494"/>
        </w:tabs>
        <w:spacing w:line="276" w:lineRule="auto"/>
        <w:rPr>
          <w:rFonts w:ascii="仿宋_GB2312" w:eastAsia="仿宋_GB2312"/>
          <w:sz w:val="32"/>
          <w:szCs w:val="32"/>
        </w:rPr>
      </w:pPr>
      <w:r>
        <w:fldChar w:fldCharType="begin"/>
      </w:r>
      <w:r>
        <w:instrText xml:space="preserve"> HYPERLINK \l "_Toc213413191" </w:instrText>
      </w:r>
      <w:r>
        <w:fldChar w:fldCharType="separate"/>
      </w:r>
      <w:r>
        <w:rPr>
          <w:rStyle w:val="28"/>
          <w:rFonts w:hint="eastAsia" w:ascii="仿宋_GB2312" w:eastAsia="仿宋_GB2312"/>
          <w:color w:val="auto"/>
          <w:sz w:val="32"/>
          <w:szCs w:val="32"/>
        </w:rPr>
        <w:t>4.3.2预警信息发布</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_Toc213413191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522F653">
      <w:pPr>
        <w:pStyle w:val="17"/>
        <w:tabs>
          <w:tab w:val="right" w:leader="dot" w:pos="8494"/>
        </w:tabs>
        <w:spacing w:line="276" w:lineRule="auto"/>
        <w:rPr>
          <w:rFonts w:ascii="仿宋_GB2312" w:eastAsia="仿宋_GB2312"/>
          <w:sz w:val="32"/>
          <w:szCs w:val="32"/>
        </w:rPr>
      </w:pPr>
      <w:r>
        <w:fldChar w:fldCharType="begin"/>
      </w:r>
      <w:r>
        <w:instrText xml:space="preserve"> HYPERLINK \l "_Toc213413192" </w:instrText>
      </w:r>
      <w:r>
        <w:fldChar w:fldCharType="separate"/>
      </w:r>
      <w:r>
        <w:rPr>
          <w:rStyle w:val="28"/>
          <w:rFonts w:hint="eastAsia" w:ascii="仿宋_GB2312" w:eastAsia="仿宋_GB2312"/>
          <w:color w:val="auto"/>
          <w:sz w:val="32"/>
          <w:szCs w:val="32"/>
        </w:rPr>
        <w:t>4.3.3预警行动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_Toc213413192 \h </w:instrText>
      </w:r>
      <w:r>
        <w:rPr>
          <w:rFonts w:hint="eastAsia" w:ascii="仿宋_GB2312" w:eastAsia="仿宋_GB2312"/>
          <w:sz w:val="32"/>
          <w:szCs w:val="32"/>
        </w:rPr>
        <w:fldChar w:fldCharType="separate"/>
      </w:r>
      <w:r>
        <w:rPr>
          <w:rFonts w:hint="eastAsia" w:ascii="仿宋_GB2312" w:eastAsia="仿宋_GB2312"/>
          <w:sz w:val="32"/>
          <w:szCs w:val="32"/>
        </w:rPr>
        <w:t>15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B3D6C82">
      <w:pPr>
        <w:pStyle w:val="17"/>
        <w:tabs>
          <w:tab w:val="right" w:leader="dot" w:pos="8494"/>
        </w:tabs>
        <w:spacing w:line="276" w:lineRule="auto"/>
        <w:rPr>
          <w:rFonts w:ascii="仿宋_GB2312" w:eastAsia="仿宋_GB2312"/>
          <w:sz w:val="32"/>
          <w:szCs w:val="32"/>
        </w:rPr>
      </w:pPr>
      <w:r>
        <w:fldChar w:fldCharType="begin"/>
      </w:r>
      <w:r>
        <w:instrText xml:space="preserve"> HYPERLINK \l "_Toc213413193" </w:instrText>
      </w:r>
      <w:r>
        <w:fldChar w:fldCharType="separate"/>
      </w:r>
      <w:r>
        <w:rPr>
          <w:rStyle w:val="28"/>
          <w:rFonts w:hint="eastAsia" w:ascii="仿宋_GB2312" w:eastAsia="仿宋_GB2312"/>
          <w:color w:val="auto"/>
          <w:sz w:val="32"/>
          <w:szCs w:val="32"/>
        </w:rPr>
        <w:t>4.3.4预警级别调整和解除</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_Toc213413193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34475B2">
      <w:pPr>
        <w:pStyle w:val="21"/>
        <w:tabs>
          <w:tab w:val="right" w:leader="dot" w:pos="8494"/>
        </w:tabs>
        <w:spacing w:line="276" w:lineRule="auto"/>
        <w:rPr>
          <w:rFonts w:ascii="仿宋_GB2312" w:eastAsia="仿宋_GB2312"/>
          <w:sz w:val="32"/>
          <w:szCs w:val="32"/>
        </w:rPr>
      </w:pPr>
      <w:r>
        <w:fldChar w:fldCharType="begin"/>
      </w:r>
      <w:r>
        <w:instrText xml:space="preserve"> HYPERLINK \l "_Toc213413194" </w:instrText>
      </w:r>
      <w:r>
        <w:fldChar w:fldCharType="separate"/>
      </w:r>
      <w:r>
        <w:rPr>
          <w:rStyle w:val="28"/>
          <w:rFonts w:hint="eastAsia" w:ascii="仿宋_GB2312" w:eastAsia="仿宋_GB2312"/>
          <w:color w:val="auto"/>
          <w:sz w:val="32"/>
          <w:szCs w:val="32"/>
        </w:rPr>
        <w:t>5应急处置与救援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_Toc213413194 \h </w:instrText>
      </w:r>
      <w:r>
        <w:rPr>
          <w:rFonts w:hint="eastAsia" w:ascii="仿宋_GB2312" w:eastAsia="仿宋_GB2312"/>
          <w:sz w:val="32"/>
          <w:szCs w:val="32"/>
        </w:rPr>
        <w:fldChar w:fldCharType="separate"/>
      </w:r>
      <w:r>
        <w:rPr>
          <w:rFonts w:hint="eastAsia" w:ascii="仿宋_GB2312" w:eastAsia="仿宋_GB2312"/>
          <w:sz w:val="32"/>
          <w:szCs w:val="32"/>
        </w:rPr>
        <w:t>17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71CEC73">
      <w:pPr>
        <w:pStyle w:val="22"/>
        <w:tabs>
          <w:tab w:val="right" w:leader="dot" w:pos="8494"/>
        </w:tabs>
        <w:spacing w:line="276" w:lineRule="auto"/>
        <w:rPr>
          <w:rFonts w:ascii="仿宋_GB2312" w:eastAsia="仿宋_GB2312"/>
          <w:sz w:val="32"/>
          <w:szCs w:val="32"/>
        </w:rPr>
      </w:pPr>
      <w:r>
        <w:fldChar w:fldCharType="begin"/>
      </w:r>
      <w:r>
        <w:instrText xml:space="preserve"> HYPERLINK \l "_Toc213413195" </w:instrText>
      </w:r>
      <w:r>
        <w:fldChar w:fldCharType="separate"/>
      </w:r>
      <w:r>
        <w:rPr>
          <w:rStyle w:val="28"/>
          <w:rFonts w:hint="eastAsia" w:ascii="仿宋_GB2312" w:eastAsia="仿宋_GB2312"/>
          <w:color w:val="auto"/>
          <w:sz w:val="32"/>
          <w:szCs w:val="32"/>
        </w:rPr>
        <w:t>5.1信息报告与通报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_Toc213413195 \h </w:instrText>
      </w:r>
      <w:r>
        <w:rPr>
          <w:rFonts w:hint="eastAsia" w:ascii="仿宋_GB2312" w:eastAsia="仿宋_GB2312"/>
          <w:sz w:val="32"/>
          <w:szCs w:val="32"/>
        </w:rPr>
        <w:fldChar w:fldCharType="separate"/>
      </w:r>
      <w:r>
        <w:rPr>
          <w:rFonts w:hint="eastAsia" w:ascii="仿宋_GB2312" w:eastAsia="仿宋_GB2312"/>
          <w:sz w:val="32"/>
          <w:szCs w:val="32"/>
        </w:rPr>
        <w:t>17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3F770FB">
      <w:pPr>
        <w:pStyle w:val="17"/>
        <w:tabs>
          <w:tab w:val="right" w:leader="dot" w:pos="8494"/>
        </w:tabs>
        <w:spacing w:line="276" w:lineRule="auto"/>
        <w:rPr>
          <w:rFonts w:ascii="仿宋_GB2312" w:eastAsia="仿宋_GB2312"/>
          <w:sz w:val="32"/>
          <w:szCs w:val="32"/>
        </w:rPr>
      </w:pPr>
      <w:r>
        <w:fldChar w:fldCharType="begin"/>
      </w:r>
      <w:r>
        <w:instrText xml:space="preserve"> HYPERLINK \l "_Toc213413196" </w:instrText>
      </w:r>
      <w:r>
        <w:fldChar w:fldCharType="separate"/>
      </w:r>
      <w:r>
        <w:rPr>
          <w:rStyle w:val="28"/>
          <w:rFonts w:hint="eastAsia" w:ascii="仿宋_GB2312" w:eastAsia="仿宋_GB2312"/>
          <w:color w:val="auto"/>
          <w:sz w:val="32"/>
          <w:szCs w:val="32"/>
        </w:rPr>
        <w:t>5.1.1信息报告</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_Toc213413196 \h </w:instrText>
      </w:r>
      <w:r>
        <w:rPr>
          <w:rFonts w:hint="eastAsia" w:ascii="仿宋_GB2312" w:eastAsia="仿宋_GB2312"/>
          <w:sz w:val="32"/>
          <w:szCs w:val="32"/>
        </w:rPr>
        <w:fldChar w:fldCharType="separate"/>
      </w:r>
      <w:r>
        <w:rPr>
          <w:rFonts w:hint="eastAsia" w:ascii="仿宋_GB2312" w:eastAsia="仿宋_GB2312"/>
          <w:sz w:val="32"/>
          <w:szCs w:val="32"/>
        </w:rPr>
        <w:t>17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329D63D">
      <w:pPr>
        <w:pStyle w:val="17"/>
        <w:tabs>
          <w:tab w:val="right" w:leader="dot" w:pos="8494"/>
        </w:tabs>
        <w:spacing w:line="276" w:lineRule="auto"/>
        <w:rPr>
          <w:rFonts w:ascii="仿宋_GB2312" w:eastAsia="仿宋_GB2312"/>
          <w:sz w:val="32"/>
          <w:szCs w:val="32"/>
        </w:rPr>
      </w:pPr>
      <w:r>
        <w:fldChar w:fldCharType="begin"/>
      </w:r>
      <w:r>
        <w:instrText xml:space="preserve"> HYPERLINK \l "_Toc213413197" </w:instrText>
      </w:r>
      <w:r>
        <w:fldChar w:fldCharType="separate"/>
      </w:r>
      <w:r>
        <w:rPr>
          <w:rStyle w:val="28"/>
          <w:rFonts w:hint="eastAsia" w:ascii="仿宋_GB2312" w:eastAsia="仿宋_GB2312"/>
          <w:color w:val="auto"/>
          <w:sz w:val="32"/>
          <w:szCs w:val="32"/>
        </w:rPr>
        <w:t>5.1.2信息共享</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_Toc213413197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6D81B71">
      <w:pPr>
        <w:pStyle w:val="17"/>
        <w:tabs>
          <w:tab w:val="right" w:leader="dot" w:pos="8494"/>
        </w:tabs>
        <w:spacing w:line="276" w:lineRule="auto"/>
        <w:rPr>
          <w:rFonts w:ascii="仿宋_GB2312" w:eastAsia="仿宋_GB2312"/>
          <w:sz w:val="32"/>
          <w:szCs w:val="32"/>
        </w:rPr>
      </w:pPr>
      <w:r>
        <w:fldChar w:fldCharType="begin"/>
      </w:r>
      <w:r>
        <w:instrText xml:space="preserve"> HYPERLINK \l "_Toc213413198" </w:instrText>
      </w:r>
      <w:r>
        <w:fldChar w:fldCharType="separate"/>
      </w:r>
      <w:r>
        <w:rPr>
          <w:rStyle w:val="28"/>
          <w:rFonts w:hint="eastAsia" w:ascii="仿宋_GB2312" w:eastAsia="仿宋_GB2312"/>
          <w:color w:val="auto"/>
          <w:sz w:val="32"/>
          <w:szCs w:val="32"/>
        </w:rPr>
        <w:t>5.1.3跨区域的信息通报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_Toc213413198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1B250D5">
      <w:pPr>
        <w:pStyle w:val="22"/>
        <w:tabs>
          <w:tab w:val="right" w:leader="dot" w:pos="8494"/>
        </w:tabs>
        <w:spacing w:line="276" w:lineRule="auto"/>
        <w:rPr>
          <w:rFonts w:ascii="仿宋_GB2312" w:eastAsia="仿宋_GB2312"/>
          <w:sz w:val="32"/>
          <w:szCs w:val="32"/>
        </w:rPr>
      </w:pPr>
      <w:r>
        <w:fldChar w:fldCharType="begin"/>
      </w:r>
      <w:r>
        <w:instrText xml:space="preserve"> HYPERLINK \l "_Toc213413199" </w:instrText>
      </w:r>
      <w:r>
        <w:fldChar w:fldCharType="separate"/>
      </w:r>
      <w:r>
        <w:rPr>
          <w:rStyle w:val="28"/>
          <w:rFonts w:hint="eastAsia" w:ascii="仿宋_GB2312" w:eastAsia="仿宋_GB2312"/>
          <w:color w:val="auto"/>
          <w:sz w:val="32"/>
          <w:szCs w:val="32"/>
        </w:rPr>
        <w:t>5.2先期处置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_Toc213413199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C55E498">
      <w:pPr>
        <w:pStyle w:val="22"/>
        <w:tabs>
          <w:tab w:val="right" w:leader="dot" w:pos="8494"/>
        </w:tabs>
        <w:spacing w:line="276" w:lineRule="auto"/>
        <w:rPr>
          <w:rFonts w:ascii="仿宋_GB2312" w:eastAsia="仿宋_GB2312"/>
          <w:sz w:val="32"/>
          <w:szCs w:val="32"/>
        </w:rPr>
      </w:pPr>
      <w:r>
        <w:fldChar w:fldCharType="begin"/>
      </w:r>
      <w:r>
        <w:instrText xml:space="preserve"> HYPERLINK \l "_Toc213413200" </w:instrText>
      </w:r>
      <w:r>
        <w:fldChar w:fldCharType="separate"/>
      </w:r>
      <w:r>
        <w:rPr>
          <w:rStyle w:val="28"/>
          <w:rFonts w:hint="eastAsia" w:ascii="仿宋_GB2312" w:eastAsia="仿宋_GB2312"/>
          <w:color w:val="auto"/>
          <w:sz w:val="32"/>
          <w:szCs w:val="32"/>
        </w:rPr>
        <w:t>5.3应急响应</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_Toc213413200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539E6AC">
      <w:pPr>
        <w:pStyle w:val="17"/>
        <w:tabs>
          <w:tab w:val="right" w:leader="dot" w:pos="8494"/>
        </w:tabs>
        <w:spacing w:line="276" w:lineRule="auto"/>
        <w:rPr>
          <w:rFonts w:ascii="仿宋_GB2312" w:eastAsia="仿宋_GB2312"/>
          <w:sz w:val="32"/>
          <w:szCs w:val="32"/>
        </w:rPr>
      </w:pPr>
      <w:r>
        <w:fldChar w:fldCharType="begin"/>
      </w:r>
      <w:r>
        <w:instrText xml:space="preserve"> HYPERLINK \l "_Toc213413201" </w:instrText>
      </w:r>
      <w:r>
        <w:fldChar w:fldCharType="separate"/>
      </w:r>
      <w:r>
        <w:rPr>
          <w:rStyle w:val="28"/>
          <w:rFonts w:hint="eastAsia" w:ascii="仿宋_GB2312" w:eastAsia="仿宋_GB2312"/>
          <w:color w:val="auto"/>
          <w:sz w:val="32"/>
          <w:szCs w:val="32"/>
        </w:rPr>
        <w:t>5.3.1分级响应</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_Toc213413201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8036655">
      <w:pPr>
        <w:pStyle w:val="17"/>
        <w:tabs>
          <w:tab w:val="right" w:leader="dot" w:pos="8494"/>
        </w:tabs>
        <w:spacing w:line="276" w:lineRule="auto"/>
        <w:rPr>
          <w:rFonts w:ascii="仿宋_GB2312" w:eastAsia="仿宋_GB2312"/>
          <w:sz w:val="32"/>
          <w:szCs w:val="32"/>
        </w:rPr>
      </w:pPr>
      <w:r>
        <w:fldChar w:fldCharType="begin"/>
      </w:r>
      <w:r>
        <w:instrText xml:space="preserve"> HYPERLINK \l "_Toc213413202" </w:instrText>
      </w:r>
      <w:r>
        <w:fldChar w:fldCharType="separate"/>
      </w:r>
      <w:r>
        <w:rPr>
          <w:rStyle w:val="28"/>
          <w:rFonts w:hint="eastAsia" w:ascii="仿宋_GB2312" w:eastAsia="仿宋_GB2312"/>
          <w:color w:val="auto"/>
          <w:sz w:val="32"/>
          <w:szCs w:val="32"/>
        </w:rPr>
        <w:t>5.3.2响应程序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_Toc213413202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BEAA40E">
      <w:pPr>
        <w:pStyle w:val="22"/>
        <w:tabs>
          <w:tab w:val="right" w:leader="dot" w:pos="8494"/>
        </w:tabs>
        <w:spacing w:line="276" w:lineRule="auto"/>
        <w:rPr>
          <w:rFonts w:ascii="仿宋_GB2312" w:eastAsia="仿宋_GB2312"/>
          <w:sz w:val="32"/>
          <w:szCs w:val="32"/>
        </w:rPr>
      </w:pPr>
      <w:r>
        <w:fldChar w:fldCharType="begin"/>
      </w:r>
      <w:r>
        <w:instrText xml:space="preserve"> HYPERLINK \l "_Toc213413203" </w:instrText>
      </w:r>
      <w:r>
        <w:fldChar w:fldCharType="separate"/>
      </w:r>
      <w:r>
        <w:rPr>
          <w:rStyle w:val="28"/>
          <w:rFonts w:hint="eastAsia" w:ascii="仿宋_GB2312" w:eastAsia="仿宋_GB2312"/>
          <w:color w:val="auto"/>
          <w:sz w:val="32"/>
          <w:szCs w:val="32"/>
        </w:rPr>
        <w:t>5.4应急措施</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_Toc213413203 \h </w:instrText>
      </w:r>
      <w:r>
        <w:rPr>
          <w:rFonts w:hint="eastAsia" w:ascii="仿宋_GB2312" w:eastAsia="仿宋_GB2312"/>
          <w:sz w:val="32"/>
          <w:szCs w:val="32"/>
        </w:rPr>
        <w:fldChar w:fldCharType="separate"/>
      </w:r>
      <w:r>
        <w:rPr>
          <w:rFonts w:hint="eastAsia" w:ascii="仿宋_GB2312" w:eastAsia="仿宋_GB2312"/>
          <w:sz w:val="32"/>
          <w:szCs w:val="32"/>
        </w:rPr>
        <w:t>21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F576BDA">
      <w:pPr>
        <w:pStyle w:val="17"/>
        <w:tabs>
          <w:tab w:val="right" w:leader="dot" w:pos="8494"/>
        </w:tabs>
        <w:spacing w:line="276" w:lineRule="auto"/>
        <w:rPr>
          <w:rFonts w:ascii="仿宋_GB2312" w:eastAsia="仿宋_GB2312"/>
          <w:sz w:val="32"/>
          <w:szCs w:val="32"/>
        </w:rPr>
      </w:pPr>
      <w:r>
        <w:fldChar w:fldCharType="begin"/>
      </w:r>
      <w:r>
        <w:instrText xml:space="preserve"> HYPERLINK \l "_Toc213413204" </w:instrText>
      </w:r>
      <w:r>
        <w:fldChar w:fldCharType="separate"/>
      </w:r>
      <w:r>
        <w:rPr>
          <w:rStyle w:val="28"/>
          <w:rFonts w:hint="eastAsia" w:ascii="仿宋_GB2312" w:eastAsia="仿宋_GB2312"/>
          <w:color w:val="auto"/>
          <w:sz w:val="32"/>
          <w:szCs w:val="32"/>
        </w:rPr>
        <w:t>5.4.1现场污染处置措施</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_Toc213413204 \h </w:instrText>
      </w:r>
      <w:r>
        <w:rPr>
          <w:rFonts w:hint="eastAsia" w:ascii="仿宋_GB2312" w:eastAsia="仿宋_GB2312"/>
          <w:sz w:val="32"/>
          <w:szCs w:val="32"/>
        </w:rPr>
        <w:fldChar w:fldCharType="separate"/>
      </w:r>
      <w:r>
        <w:rPr>
          <w:rFonts w:hint="eastAsia" w:ascii="仿宋_GB2312" w:eastAsia="仿宋_GB2312"/>
          <w:sz w:val="32"/>
          <w:szCs w:val="32"/>
        </w:rPr>
        <w:t>21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052BCF8">
      <w:pPr>
        <w:pStyle w:val="17"/>
        <w:tabs>
          <w:tab w:val="right" w:leader="dot" w:pos="8494"/>
        </w:tabs>
        <w:spacing w:line="276" w:lineRule="auto"/>
        <w:rPr>
          <w:rFonts w:ascii="仿宋_GB2312" w:eastAsia="仿宋_GB2312"/>
          <w:sz w:val="32"/>
          <w:szCs w:val="32"/>
        </w:rPr>
      </w:pPr>
      <w:r>
        <w:fldChar w:fldCharType="begin"/>
      </w:r>
      <w:r>
        <w:instrText xml:space="preserve"> HYPERLINK \l "_Toc213413205" </w:instrText>
      </w:r>
      <w:r>
        <w:fldChar w:fldCharType="separate"/>
      </w:r>
      <w:r>
        <w:rPr>
          <w:rStyle w:val="28"/>
          <w:rFonts w:hint="eastAsia" w:ascii="仿宋_GB2312" w:eastAsia="仿宋_GB2312"/>
          <w:color w:val="auto"/>
          <w:sz w:val="32"/>
          <w:szCs w:val="32"/>
        </w:rPr>
        <w:t>5.4.2转移安置人员</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_Toc213413205 \h </w:instrText>
      </w:r>
      <w:r>
        <w:rPr>
          <w:rFonts w:hint="eastAsia" w:ascii="仿宋_GB2312" w:eastAsia="仿宋_GB2312"/>
          <w:sz w:val="32"/>
          <w:szCs w:val="32"/>
        </w:rPr>
        <w:fldChar w:fldCharType="separate"/>
      </w:r>
      <w:r>
        <w:rPr>
          <w:rFonts w:hint="eastAsia" w:ascii="仿宋_GB2312" w:eastAsia="仿宋_GB2312"/>
          <w:sz w:val="32"/>
          <w:szCs w:val="32"/>
        </w:rPr>
        <w:t>23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385206D">
      <w:pPr>
        <w:pStyle w:val="17"/>
        <w:tabs>
          <w:tab w:val="right" w:leader="dot" w:pos="8494"/>
        </w:tabs>
        <w:spacing w:line="276" w:lineRule="auto"/>
        <w:rPr>
          <w:rFonts w:ascii="仿宋_GB2312" w:eastAsia="仿宋_GB2312"/>
          <w:sz w:val="32"/>
          <w:szCs w:val="32"/>
        </w:rPr>
      </w:pPr>
      <w:r>
        <w:fldChar w:fldCharType="begin"/>
      </w:r>
      <w:r>
        <w:instrText xml:space="preserve"> HYPERLINK \l "_Toc213413206" </w:instrText>
      </w:r>
      <w:r>
        <w:fldChar w:fldCharType="separate"/>
      </w:r>
      <w:r>
        <w:rPr>
          <w:rStyle w:val="28"/>
          <w:rFonts w:hint="eastAsia" w:ascii="仿宋_GB2312" w:eastAsia="仿宋_GB2312"/>
          <w:color w:val="auto"/>
          <w:sz w:val="32"/>
          <w:szCs w:val="32"/>
        </w:rPr>
        <w:t>5.4.3医学救援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_Toc213413206 \h </w:instrText>
      </w:r>
      <w:r>
        <w:rPr>
          <w:rFonts w:hint="eastAsia" w:ascii="仿宋_GB2312" w:eastAsia="仿宋_GB2312"/>
          <w:sz w:val="32"/>
          <w:szCs w:val="32"/>
        </w:rPr>
        <w:fldChar w:fldCharType="separate"/>
      </w:r>
      <w:r>
        <w:rPr>
          <w:rFonts w:hint="eastAsia" w:ascii="仿宋_GB2312" w:eastAsia="仿宋_GB2312"/>
          <w:sz w:val="32"/>
          <w:szCs w:val="32"/>
        </w:rPr>
        <w:t>23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FC065D8">
      <w:pPr>
        <w:pStyle w:val="17"/>
        <w:tabs>
          <w:tab w:val="right" w:leader="dot" w:pos="8494"/>
        </w:tabs>
        <w:spacing w:line="276" w:lineRule="auto"/>
        <w:rPr>
          <w:rFonts w:ascii="仿宋_GB2312" w:eastAsia="仿宋_GB2312"/>
          <w:sz w:val="32"/>
          <w:szCs w:val="32"/>
        </w:rPr>
      </w:pPr>
      <w:r>
        <w:fldChar w:fldCharType="begin"/>
      </w:r>
      <w:r>
        <w:instrText xml:space="preserve"> HYPERLINK \l "_Toc213413207" </w:instrText>
      </w:r>
      <w:r>
        <w:fldChar w:fldCharType="separate"/>
      </w:r>
      <w:r>
        <w:rPr>
          <w:rStyle w:val="28"/>
          <w:rFonts w:hint="eastAsia" w:ascii="仿宋_GB2312" w:eastAsia="仿宋_GB2312"/>
          <w:color w:val="auto"/>
          <w:sz w:val="32"/>
          <w:szCs w:val="32"/>
        </w:rPr>
        <w:t>5.4.4应急监测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_Toc213413207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A773223">
      <w:pPr>
        <w:pStyle w:val="17"/>
        <w:tabs>
          <w:tab w:val="right" w:leader="dot" w:pos="8494"/>
        </w:tabs>
        <w:spacing w:line="276" w:lineRule="auto"/>
        <w:rPr>
          <w:rFonts w:ascii="仿宋_GB2312" w:eastAsia="仿宋_GB2312"/>
          <w:sz w:val="32"/>
          <w:szCs w:val="32"/>
        </w:rPr>
      </w:pPr>
      <w:r>
        <w:fldChar w:fldCharType="begin"/>
      </w:r>
      <w:r>
        <w:instrText xml:space="preserve"> HYPERLINK \l "_Toc213413208" </w:instrText>
      </w:r>
      <w:r>
        <w:fldChar w:fldCharType="separate"/>
      </w:r>
      <w:r>
        <w:rPr>
          <w:rStyle w:val="28"/>
          <w:rFonts w:hint="eastAsia" w:ascii="仿宋_GB2312" w:eastAsia="仿宋_GB2312"/>
          <w:color w:val="auto"/>
          <w:sz w:val="32"/>
          <w:szCs w:val="32"/>
        </w:rPr>
        <w:t>5.4.5市场监管和调控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_Toc213413208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C001724">
      <w:pPr>
        <w:pStyle w:val="17"/>
        <w:tabs>
          <w:tab w:val="right" w:leader="dot" w:pos="8494"/>
        </w:tabs>
        <w:spacing w:line="276" w:lineRule="auto"/>
        <w:rPr>
          <w:rFonts w:ascii="仿宋_GB2312" w:eastAsia="仿宋_GB2312"/>
          <w:sz w:val="32"/>
          <w:szCs w:val="32"/>
        </w:rPr>
      </w:pPr>
      <w:r>
        <w:fldChar w:fldCharType="begin"/>
      </w:r>
      <w:r>
        <w:instrText xml:space="preserve"> HYPERLINK \l "_Toc213413209" </w:instrText>
      </w:r>
      <w:r>
        <w:fldChar w:fldCharType="separate"/>
      </w:r>
      <w:r>
        <w:rPr>
          <w:rStyle w:val="28"/>
          <w:rFonts w:hint="eastAsia" w:ascii="仿宋_GB2312" w:eastAsia="仿宋_GB2312"/>
          <w:color w:val="auto"/>
          <w:sz w:val="32"/>
          <w:szCs w:val="32"/>
        </w:rPr>
        <w:t>5.4.6信息发布和舆论引导</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_Toc213413209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7648342">
      <w:pPr>
        <w:pStyle w:val="17"/>
        <w:tabs>
          <w:tab w:val="right" w:leader="dot" w:pos="8494"/>
        </w:tabs>
        <w:spacing w:line="276" w:lineRule="auto"/>
        <w:rPr>
          <w:rFonts w:ascii="仿宋_GB2312" w:eastAsia="仿宋_GB2312"/>
          <w:sz w:val="32"/>
          <w:szCs w:val="32"/>
        </w:rPr>
      </w:pPr>
      <w:r>
        <w:fldChar w:fldCharType="begin"/>
      </w:r>
      <w:r>
        <w:instrText xml:space="preserve"> HYPERLINK \l "_Toc213413210" </w:instrText>
      </w:r>
      <w:r>
        <w:fldChar w:fldCharType="separate"/>
      </w:r>
      <w:r>
        <w:rPr>
          <w:rStyle w:val="28"/>
          <w:rFonts w:hint="eastAsia" w:ascii="仿宋_GB2312" w:eastAsia="仿宋_GB2312"/>
          <w:color w:val="auto"/>
          <w:sz w:val="32"/>
          <w:szCs w:val="32"/>
        </w:rPr>
        <w:t>5.4.7维护社会稳定</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_Toc213413210 \h </w:instrText>
      </w:r>
      <w:r>
        <w:rPr>
          <w:rFonts w:hint="eastAsia" w:ascii="仿宋_GB2312" w:eastAsia="仿宋_GB2312"/>
          <w:sz w:val="32"/>
          <w:szCs w:val="32"/>
        </w:rPr>
        <w:fldChar w:fldCharType="separate"/>
      </w:r>
      <w:r>
        <w:rPr>
          <w:rFonts w:hint="eastAsia" w:ascii="仿宋_GB2312" w:eastAsia="仿宋_GB2312"/>
          <w:sz w:val="32"/>
          <w:szCs w:val="32"/>
        </w:rPr>
        <w:t>25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68B6C57">
      <w:pPr>
        <w:pStyle w:val="22"/>
        <w:tabs>
          <w:tab w:val="right" w:leader="dot" w:pos="8494"/>
        </w:tabs>
        <w:spacing w:line="276" w:lineRule="auto"/>
        <w:rPr>
          <w:rFonts w:ascii="仿宋_GB2312" w:eastAsia="仿宋_GB2312"/>
          <w:sz w:val="32"/>
          <w:szCs w:val="32"/>
        </w:rPr>
      </w:pPr>
      <w:r>
        <w:fldChar w:fldCharType="begin"/>
      </w:r>
      <w:r>
        <w:instrText xml:space="preserve"> HYPERLINK \l "_Toc213413211" </w:instrText>
      </w:r>
      <w:r>
        <w:fldChar w:fldCharType="separate"/>
      </w:r>
      <w:r>
        <w:rPr>
          <w:rStyle w:val="28"/>
          <w:rFonts w:hint="eastAsia" w:ascii="仿宋_GB2312" w:eastAsia="仿宋_GB2312"/>
          <w:color w:val="auto"/>
          <w:sz w:val="32"/>
          <w:szCs w:val="32"/>
        </w:rPr>
        <w:t>5.5响应终止</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_Toc213413211 \h </w:instrText>
      </w:r>
      <w:r>
        <w:rPr>
          <w:rFonts w:hint="eastAsia" w:ascii="仿宋_GB2312" w:eastAsia="仿宋_GB2312"/>
          <w:sz w:val="32"/>
          <w:szCs w:val="32"/>
        </w:rPr>
        <w:fldChar w:fldCharType="separate"/>
      </w:r>
      <w:r>
        <w:rPr>
          <w:rFonts w:hint="eastAsia" w:ascii="仿宋_GB2312" w:eastAsia="仿宋_GB2312"/>
          <w:sz w:val="32"/>
          <w:szCs w:val="32"/>
        </w:rPr>
        <w:t>25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AB4D925">
      <w:pPr>
        <w:pStyle w:val="21"/>
        <w:tabs>
          <w:tab w:val="right" w:leader="dot" w:pos="8494"/>
        </w:tabs>
        <w:spacing w:line="276" w:lineRule="auto"/>
        <w:rPr>
          <w:rFonts w:ascii="仿宋_GB2312" w:eastAsia="仿宋_GB2312"/>
          <w:sz w:val="32"/>
          <w:szCs w:val="32"/>
        </w:rPr>
      </w:pPr>
      <w:r>
        <w:fldChar w:fldCharType="begin"/>
      </w:r>
      <w:r>
        <w:instrText xml:space="preserve"> HYPERLINK \l "_Toc213413212" </w:instrText>
      </w:r>
      <w:r>
        <w:fldChar w:fldCharType="separate"/>
      </w:r>
      <w:r>
        <w:rPr>
          <w:rStyle w:val="28"/>
          <w:rFonts w:hint="eastAsia" w:ascii="仿宋_GB2312" w:eastAsia="仿宋_GB2312"/>
          <w:color w:val="auto"/>
          <w:sz w:val="32"/>
          <w:szCs w:val="32"/>
        </w:rPr>
        <w:t>6后期处置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_Toc213413212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1B97E3E">
      <w:pPr>
        <w:pStyle w:val="22"/>
        <w:tabs>
          <w:tab w:val="right" w:leader="dot" w:pos="8494"/>
        </w:tabs>
        <w:spacing w:line="276" w:lineRule="auto"/>
        <w:rPr>
          <w:rFonts w:ascii="仿宋_GB2312" w:eastAsia="仿宋_GB2312"/>
          <w:sz w:val="32"/>
          <w:szCs w:val="32"/>
        </w:rPr>
      </w:pPr>
      <w:r>
        <w:fldChar w:fldCharType="begin"/>
      </w:r>
      <w:r>
        <w:instrText xml:space="preserve"> HYPERLINK \l "_Toc213413213" </w:instrText>
      </w:r>
      <w:r>
        <w:fldChar w:fldCharType="separate"/>
      </w:r>
      <w:r>
        <w:rPr>
          <w:rStyle w:val="28"/>
          <w:rFonts w:hint="eastAsia" w:ascii="仿宋_GB2312" w:eastAsia="仿宋_GB2312"/>
          <w:color w:val="auto"/>
          <w:sz w:val="32"/>
          <w:szCs w:val="32"/>
        </w:rPr>
        <w:t>6.1损害评估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_Toc213413213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2F52EEC">
      <w:pPr>
        <w:pStyle w:val="22"/>
        <w:tabs>
          <w:tab w:val="right" w:leader="dot" w:pos="8494"/>
        </w:tabs>
        <w:spacing w:line="276" w:lineRule="auto"/>
        <w:rPr>
          <w:rFonts w:ascii="仿宋_GB2312" w:eastAsia="仿宋_GB2312"/>
          <w:sz w:val="32"/>
          <w:szCs w:val="32"/>
        </w:rPr>
      </w:pPr>
      <w:r>
        <w:fldChar w:fldCharType="begin"/>
      </w:r>
      <w:r>
        <w:instrText xml:space="preserve"> HYPERLINK \l "_Toc213413214" </w:instrText>
      </w:r>
      <w:r>
        <w:fldChar w:fldCharType="separate"/>
      </w:r>
      <w:r>
        <w:rPr>
          <w:rStyle w:val="28"/>
          <w:rFonts w:hint="eastAsia" w:ascii="仿宋_GB2312" w:eastAsia="仿宋_GB2312"/>
          <w:color w:val="auto"/>
          <w:sz w:val="32"/>
          <w:szCs w:val="32"/>
        </w:rPr>
        <w:t>6.2事件调查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_Toc213413214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258BEB7">
      <w:pPr>
        <w:pStyle w:val="22"/>
        <w:tabs>
          <w:tab w:val="right" w:leader="dot" w:pos="8494"/>
        </w:tabs>
        <w:spacing w:line="276" w:lineRule="auto"/>
        <w:rPr>
          <w:rFonts w:ascii="仿宋_GB2312" w:eastAsia="仿宋_GB2312"/>
          <w:sz w:val="32"/>
          <w:szCs w:val="32"/>
        </w:rPr>
      </w:pPr>
      <w:r>
        <w:fldChar w:fldCharType="begin"/>
      </w:r>
      <w:r>
        <w:instrText xml:space="preserve"> HYPERLINK \l "_Toc213413215" </w:instrText>
      </w:r>
      <w:r>
        <w:fldChar w:fldCharType="separate"/>
      </w:r>
      <w:r>
        <w:rPr>
          <w:rStyle w:val="28"/>
          <w:rFonts w:hint="eastAsia" w:ascii="仿宋_GB2312" w:eastAsia="仿宋_GB2312"/>
          <w:color w:val="auto"/>
          <w:sz w:val="32"/>
          <w:szCs w:val="32"/>
        </w:rPr>
        <w:t>6.3善后处置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_Toc213413215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FF6B1C0">
      <w:pPr>
        <w:pStyle w:val="17"/>
        <w:tabs>
          <w:tab w:val="right" w:leader="dot" w:pos="8494"/>
        </w:tabs>
        <w:spacing w:line="276" w:lineRule="auto"/>
        <w:rPr>
          <w:rFonts w:ascii="仿宋_GB2312" w:eastAsia="仿宋_GB2312"/>
          <w:sz w:val="32"/>
          <w:szCs w:val="32"/>
        </w:rPr>
      </w:pPr>
      <w:r>
        <w:fldChar w:fldCharType="begin"/>
      </w:r>
      <w:r>
        <w:instrText xml:space="preserve"> HYPERLINK \l "_Toc213413216" </w:instrText>
      </w:r>
      <w:r>
        <w:fldChar w:fldCharType="separate"/>
      </w:r>
      <w:r>
        <w:rPr>
          <w:rStyle w:val="28"/>
          <w:rFonts w:hint="eastAsia" w:ascii="仿宋_GB2312" w:eastAsia="仿宋_GB2312"/>
          <w:color w:val="auto"/>
          <w:sz w:val="32"/>
          <w:szCs w:val="32"/>
        </w:rPr>
        <w:t>6.3.1伤亡人员的安置与抚恤</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_Toc213413216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6A8B46E">
      <w:pPr>
        <w:pStyle w:val="17"/>
        <w:tabs>
          <w:tab w:val="right" w:leader="dot" w:pos="8494"/>
        </w:tabs>
        <w:spacing w:line="276" w:lineRule="auto"/>
        <w:rPr>
          <w:rFonts w:ascii="仿宋_GB2312" w:eastAsia="仿宋_GB2312"/>
          <w:sz w:val="32"/>
          <w:szCs w:val="32"/>
        </w:rPr>
      </w:pPr>
      <w:r>
        <w:fldChar w:fldCharType="begin"/>
      </w:r>
      <w:r>
        <w:instrText xml:space="preserve"> HYPERLINK \l "_Toc213413217" </w:instrText>
      </w:r>
      <w:r>
        <w:fldChar w:fldCharType="separate"/>
      </w:r>
      <w:r>
        <w:rPr>
          <w:rStyle w:val="28"/>
          <w:rFonts w:hint="eastAsia" w:ascii="仿宋_GB2312" w:eastAsia="仿宋_GB2312"/>
          <w:color w:val="auto"/>
          <w:sz w:val="32"/>
          <w:szCs w:val="32"/>
        </w:rPr>
        <w:t>6.3.2调用物资的清理与损失补偿</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_Toc213413217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5194D34">
      <w:pPr>
        <w:pStyle w:val="17"/>
        <w:tabs>
          <w:tab w:val="right" w:leader="dot" w:pos="8494"/>
        </w:tabs>
        <w:spacing w:line="276" w:lineRule="auto"/>
        <w:rPr>
          <w:rFonts w:ascii="仿宋_GB2312" w:eastAsia="仿宋_GB2312"/>
          <w:sz w:val="32"/>
          <w:szCs w:val="32"/>
        </w:rPr>
      </w:pPr>
      <w:r>
        <w:fldChar w:fldCharType="begin"/>
      </w:r>
      <w:r>
        <w:instrText xml:space="preserve"> HYPERLINK \l "_Toc213413218" </w:instrText>
      </w:r>
      <w:r>
        <w:fldChar w:fldCharType="separate"/>
      </w:r>
      <w:r>
        <w:rPr>
          <w:rStyle w:val="28"/>
          <w:rFonts w:hint="eastAsia" w:ascii="仿宋_GB2312" w:eastAsia="仿宋_GB2312"/>
          <w:color w:val="auto"/>
          <w:sz w:val="32"/>
          <w:szCs w:val="32"/>
        </w:rPr>
        <w:t>6.3.3社会救助</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_Toc213413218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2E4988A">
      <w:pPr>
        <w:pStyle w:val="17"/>
        <w:tabs>
          <w:tab w:val="right" w:leader="dot" w:pos="8494"/>
        </w:tabs>
        <w:spacing w:line="276" w:lineRule="auto"/>
        <w:rPr>
          <w:rFonts w:ascii="仿宋_GB2312" w:eastAsia="仿宋_GB2312"/>
          <w:sz w:val="32"/>
          <w:szCs w:val="32"/>
        </w:rPr>
      </w:pPr>
      <w:r>
        <w:fldChar w:fldCharType="begin"/>
      </w:r>
      <w:r>
        <w:instrText xml:space="preserve"> HYPERLINK \l "_Toc213413219" </w:instrText>
      </w:r>
      <w:r>
        <w:fldChar w:fldCharType="separate"/>
      </w:r>
      <w:r>
        <w:rPr>
          <w:rStyle w:val="28"/>
          <w:rFonts w:hint="eastAsia" w:ascii="仿宋_GB2312" w:eastAsia="仿宋_GB2312"/>
          <w:color w:val="auto"/>
          <w:sz w:val="32"/>
          <w:szCs w:val="32"/>
        </w:rPr>
        <w:t>6.3.4环境恢复</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_Toc213413219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EBA0A61">
      <w:pPr>
        <w:pStyle w:val="21"/>
        <w:tabs>
          <w:tab w:val="right" w:leader="dot" w:pos="8494"/>
        </w:tabs>
        <w:spacing w:line="276" w:lineRule="auto"/>
        <w:rPr>
          <w:rFonts w:ascii="仿宋_GB2312" w:eastAsia="仿宋_GB2312"/>
          <w:sz w:val="32"/>
          <w:szCs w:val="32"/>
        </w:rPr>
      </w:pPr>
      <w:r>
        <w:fldChar w:fldCharType="begin"/>
      </w:r>
      <w:r>
        <w:instrText xml:space="preserve"> HYPERLINK \l "_Toc213413220" </w:instrText>
      </w:r>
      <w:r>
        <w:fldChar w:fldCharType="separate"/>
      </w:r>
      <w:r>
        <w:rPr>
          <w:rStyle w:val="28"/>
          <w:rFonts w:hint="eastAsia" w:ascii="仿宋_GB2312" w:eastAsia="仿宋_GB2312"/>
          <w:color w:val="auto"/>
          <w:sz w:val="32"/>
          <w:szCs w:val="32"/>
        </w:rPr>
        <w:t>7应急保障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_Toc213413220 \h </w:instrText>
      </w:r>
      <w:r>
        <w:rPr>
          <w:rFonts w:hint="eastAsia" w:ascii="仿宋_GB2312" w:eastAsia="仿宋_GB2312"/>
          <w:sz w:val="32"/>
          <w:szCs w:val="32"/>
        </w:rPr>
        <w:fldChar w:fldCharType="separate"/>
      </w:r>
      <w:r>
        <w:rPr>
          <w:rFonts w:hint="eastAsia" w:ascii="仿宋_GB2312" w:eastAsia="仿宋_GB2312"/>
          <w:sz w:val="32"/>
          <w:szCs w:val="32"/>
        </w:rPr>
        <w:t>29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D51FFD4">
      <w:pPr>
        <w:pStyle w:val="22"/>
        <w:tabs>
          <w:tab w:val="right" w:leader="dot" w:pos="8494"/>
        </w:tabs>
        <w:spacing w:line="276" w:lineRule="auto"/>
        <w:rPr>
          <w:rFonts w:ascii="仿宋_GB2312" w:eastAsia="仿宋_GB2312"/>
          <w:sz w:val="32"/>
          <w:szCs w:val="32"/>
        </w:rPr>
      </w:pPr>
      <w:r>
        <w:fldChar w:fldCharType="begin"/>
      </w:r>
      <w:r>
        <w:instrText xml:space="preserve"> HYPERLINK \l "_Toc213413221" </w:instrText>
      </w:r>
      <w:r>
        <w:fldChar w:fldCharType="separate"/>
      </w:r>
      <w:r>
        <w:rPr>
          <w:rStyle w:val="28"/>
          <w:rFonts w:hint="eastAsia" w:ascii="仿宋_GB2312" w:eastAsia="仿宋_GB2312"/>
          <w:color w:val="auto"/>
          <w:sz w:val="32"/>
          <w:szCs w:val="32"/>
        </w:rPr>
        <w:t>7.1队伍保障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_Toc213413221 \h </w:instrText>
      </w:r>
      <w:r>
        <w:rPr>
          <w:rFonts w:hint="eastAsia" w:ascii="仿宋_GB2312" w:eastAsia="仿宋_GB2312"/>
          <w:sz w:val="32"/>
          <w:szCs w:val="32"/>
        </w:rPr>
        <w:fldChar w:fldCharType="separate"/>
      </w:r>
      <w:r>
        <w:rPr>
          <w:rFonts w:hint="eastAsia" w:ascii="仿宋_GB2312" w:eastAsia="仿宋_GB2312"/>
          <w:sz w:val="32"/>
          <w:szCs w:val="32"/>
        </w:rPr>
        <w:t>29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FA9F814">
      <w:pPr>
        <w:pStyle w:val="22"/>
        <w:tabs>
          <w:tab w:val="right" w:leader="dot" w:pos="8494"/>
        </w:tabs>
        <w:spacing w:line="276" w:lineRule="auto"/>
        <w:rPr>
          <w:rFonts w:ascii="仿宋_GB2312" w:eastAsia="仿宋_GB2312"/>
          <w:sz w:val="32"/>
          <w:szCs w:val="32"/>
        </w:rPr>
      </w:pPr>
      <w:r>
        <w:fldChar w:fldCharType="begin"/>
      </w:r>
      <w:r>
        <w:instrText xml:space="preserve"> HYPERLINK \l "_Toc213413222" </w:instrText>
      </w:r>
      <w:r>
        <w:fldChar w:fldCharType="separate"/>
      </w:r>
      <w:r>
        <w:rPr>
          <w:rStyle w:val="28"/>
          <w:rFonts w:hint="eastAsia" w:ascii="仿宋_GB2312" w:eastAsia="仿宋_GB2312"/>
          <w:color w:val="auto"/>
          <w:sz w:val="32"/>
          <w:szCs w:val="32"/>
        </w:rPr>
        <w:t>7.2物资与资金保障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_Toc213413222 \h </w:instrText>
      </w:r>
      <w:r>
        <w:rPr>
          <w:rFonts w:hint="eastAsia" w:ascii="仿宋_GB2312" w:eastAsia="仿宋_GB2312"/>
          <w:sz w:val="32"/>
          <w:szCs w:val="32"/>
        </w:rPr>
        <w:fldChar w:fldCharType="separate"/>
      </w:r>
      <w:r>
        <w:rPr>
          <w:rFonts w:hint="eastAsia" w:ascii="仿宋_GB2312" w:eastAsia="仿宋_GB2312"/>
          <w:sz w:val="32"/>
          <w:szCs w:val="32"/>
        </w:rPr>
        <w:t>29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35013F9">
      <w:pPr>
        <w:pStyle w:val="22"/>
        <w:tabs>
          <w:tab w:val="right" w:leader="dot" w:pos="8494"/>
        </w:tabs>
        <w:spacing w:line="276" w:lineRule="auto"/>
        <w:rPr>
          <w:rFonts w:ascii="仿宋_GB2312" w:eastAsia="仿宋_GB2312"/>
          <w:sz w:val="32"/>
          <w:szCs w:val="32"/>
        </w:rPr>
      </w:pPr>
      <w:r>
        <w:fldChar w:fldCharType="begin"/>
      </w:r>
      <w:r>
        <w:instrText xml:space="preserve"> HYPERLINK \l "_Toc213413223" </w:instrText>
      </w:r>
      <w:r>
        <w:fldChar w:fldCharType="separate"/>
      </w:r>
      <w:r>
        <w:rPr>
          <w:rStyle w:val="28"/>
          <w:rFonts w:hint="eastAsia" w:ascii="仿宋_GB2312" w:eastAsia="仿宋_GB2312"/>
          <w:color w:val="auto"/>
          <w:sz w:val="32"/>
          <w:szCs w:val="32"/>
        </w:rPr>
        <w:t>7.3通信、交通与运输保障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_Toc213413223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727F925">
      <w:pPr>
        <w:pStyle w:val="22"/>
        <w:tabs>
          <w:tab w:val="right" w:leader="dot" w:pos="8494"/>
        </w:tabs>
        <w:spacing w:line="276" w:lineRule="auto"/>
        <w:rPr>
          <w:rFonts w:ascii="仿宋_GB2312" w:eastAsia="仿宋_GB2312"/>
          <w:sz w:val="32"/>
          <w:szCs w:val="32"/>
        </w:rPr>
      </w:pPr>
      <w:r>
        <w:fldChar w:fldCharType="begin"/>
      </w:r>
      <w:r>
        <w:instrText xml:space="preserve"> HYPERLINK \l "_Toc213413224" </w:instrText>
      </w:r>
      <w:r>
        <w:fldChar w:fldCharType="separate"/>
      </w:r>
      <w:r>
        <w:rPr>
          <w:rStyle w:val="28"/>
          <w:rFonts w:hint="eastAsia" w:ascii="仿宋_GB2312" w:eastAsia="仿宋_GB2312"/>
          <w:color w:val="auto"/>
          <w:sz w:val="32"/>
          <w:szCs w:val="32"/>
        </w:rPr>
        <w:t>7.4技术保障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_Toc213413224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493ED16">
      <w:pPr>
        <w:pStyle w:val="22"/>
        <w:tabs>
          <w:tab w:val="right" w:leader="dot" w:pos="8494"/>
        </w:tabs>
        <w:spacing w:line="276" w:lineRule="auto"/>
        <w:rPr>
          <w:rFonts w:ascii="仿宋_GB2312" w:eastAsia="仿宋_GB2312"/>
          <w:sz w:val="32"/>
          <w:szCs w:val="32"/>
        </w:rPr>
      </w:pPr>
      <w:r>
        <w:fldChar w:fldCharType="begin"/>
      </w:r>
      <w:r>
        <w:instrText xml:space="preserve"> HYPERLINK \l "_Toc213413225" </w:instrText>
      </w:r>
      <w:r>
        <w:fldChar w:fldCharType="separate"/>
      </w:r>
      <w:r>
        <w:rPr>
          <w:rStyle w:val="28"/>
          <w:rFonts w:hint="eastAsia" w:ascii="仿宋_GB2312" w:eastAsia="仿宋_GB2312"/>
          <w:color w:val="auto"/>
          <w:sz w:val="32"/>
          <w:szCs w:val="32"/>
        </w:rPr>
        <w:t>7.5医疗、治安保障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_Toc213413225 \h </w:instrText>
      </w:r>
      <w:r>
        <w:rPr>
          <w:rFonts w:hint="eastAsia" w:ascii="仿宋_GB2312" w:eastAsia="仿宋_GB2312"/>
          <w:sz w:val="32"/>
          <w:szCs w:val="32"/>
        </w:rPr>
        <w:fldChar w:fldCharType="separate"/>
      </w:r>
      <w:r>
        <w:rPr>
          <w:rFonts w:hint="eastAsia" w:ascii="仿宋_GB2312" w:eastAsia="仿宋_GB2312"/>
          <w:sz w:val="32"/>
          <w:szCs w:val="32"/>
        </w:rPr>
        <w:t>31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5A71162">
      <w:pPr>
        <w:pStyle w:val="22"/>
        <w:tabs>
          <w:tab w:val="right" w:leader="dot" w:pos="8494"/>
        </w:tabs>
        <w:spacing w:line="276" w:lineRule="auto"/>
        <w:rPr>
          <w:rFonts w:ascii="仿宋_GB2312" w:eastAsia="仿宋_GB2312"/>
          <w:sz w:val="32"/>
          <w:szCs w:val="32"/>
        </w:rPr>
      </w:pPr>
      <w:r>
        <w:fldChar w:fldCharType="begin"/>
      </w:r>
      <w:r>
        <w:instrText xml:space="preserve"> HYPERLINK \l "_Toc213413226" </w:instrText>
      </w:r>
      <w:r>
        <w:fldChar w:fldCharType="separate"/>
      </w:r>
      <w:r>
        <w:rPr>
          <w:rStyle w:val="28"/>
          <w:rFonts w:hint="eastAsia" w:ascii="仿宋_GB2312" w:eastAsia="仿宋_GB2312"/>
          <w:color w:val="auto"/>
          <w:sz w:val="32"/>
          <w:szCs w:val="32"/>
        </w:rPr>
        <w:t>7.6宣传、培训和演练</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_Toc213413226 \h </w:instrText>
      </w:r>
      <w:r>
        <w:rPr>
          <w:rFonts w:hint="eastAsia" w:ascii="仿宋_GB2312" w:eastAsia="仿宋_GB2312"/>
          <w:sz w:val="32"/>
          <w:szCs w:val="32"/>
        </w:rPr>
        <w:fldChar w:fldCharType="separate"/>
      </w:r>
      <w:r>
        <w:rPr>
          <w:rFonts w:hint="eastAsia" w:ascii="仿宋_GB2312" w:eastAsia="仿宋_GB2312"/>
          <w:sz w:val="32"/>
          <w:szCs w:val="32"/>
        </w:rPr>
        <w:t>31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449222D">
      <w:pPr>
        <w:pStyle w:val="21"/>
        <w:tabs>
          <w:tab w:val="right" w:leader="dot" w:pos="8494"/>
        </w:tabs>
        <w:spacing w:line="276" w:lineRule="auto"/>
        <w:rPr>
          <w:rFonts w:ascii="仿宋_GB2312" w:eastAsia="仿宋_GB2312"/>
          <w:sz w:val="32"/>
          <w:szCs w:val="32"/>
        </w:rPr>
      </w:pPr>
      <w:r>
        <w:fldChar w:fldCharType="begin"/>
      </w:r>
      <w:r>
        <w:instrText xml:space="preserve"> HYPERLINK \l "_Toc213413227" </w:instrText>
      </w:r>
      <w:r>
        <w:fldChar w:fldCharType="separate"/>
      </w:r>
      <w:r>
        <w:rPr>
          <w:rStyle w:val="28"/>
          <w:rFonts w:hint="eastAsia" w:ascii="仿宋_GB2312" w:eastAsia="仿宋_GB2312"/>
          <w:color w:val="auto"/>
          <w:sz w:val="32"/>
          <w:szCs w:val="32"/>
        </w:rPr>
        <w:t>8附则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_Toc213413227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8F13561">
      <w:pPr>
        <w:pStyle w:val="22"/>
        <w:tabs>
          <w:tab w:val="right" w:leader="dot" w:pos="8494"/>
        </w:tabs>
        <w:spacing w:line="276" w:lineRule="auto"/>
        <w:rPr>
          <w:rFonts w:ascii="仿宋_GB2312" w:eastAsia="仿宋_GB2312"/>
          <w:sz w:val="32"/>
          <w:szCs w:val="32"/>
        </w:rPr>
      </w:pPr>
      <w:r>
        <w:fldChar w:fldCharType="begin"/>
      </w:r>
      <w:r>
        <w:instrText xml:space="preserve"> HYPERLINK \l "_Toc213413228" </w:instrText>
      </w:r>
      <w:r>
        <w:fldChar w:fldCharType="separate"/>
      </w:r>
      <w:r>
        <w:rPr>
          <w:rStyle w:val="28"/>
          <w:rFonts w:hint="eastAsia" w:ascii="仿宋_GB2312" w:eastAsia="仿宋_GB2312"/>
          <w:color w:val="auto"/>
          <w:sz w:val="32"/>
          <w:szCs w:val="32"/>
        </w:rPr>
        <w:t>8.1名词术语解释</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_Toc213413228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7F0D4EE">
      <w:pPr>
        <w:pStyle w:val="22"/>
        <w:tabs>
          <w:tab w:val="right" w:leader="dot" w:pos="8494"/>
        </w:tabs>
        <w:spacing w:line="276" w:lineRule="auto"/>
        <w:rPr>
          <w:rFonts w:ascii="仿宋_GB2312" w:eastAsia="仿宋_GB2312"/>
          <w:sz w:val="32"/>
          <w:szCs w:val="32"/>
        </w:rPr>
      </w:pPr>
      <w:r>
        <w:fldChar w:fldCharType="begin"/>
      </w:r>
      <w:r>
        <w:instrText xml:space="preserve"> HYPERLINK \l "_Toc213413229" </w:instrText>
      </w:r>
      <w:r>
        <w:fldChar w:fldCharType="separate"/>
      </w:r>
      <w:r>
        <w:rPr>
          <w:rStyle w:val="28"/>
          <w:rFonts w:hint="eastAsia" w:ascii="仿宋_GB2312" w:eastAsia="仿宋_GB2312"/>
          <w:color w:val="auto"/>
          <w:sz w:val="32"/>
          <w:szCs w:val="32"/>
        </w:rPr>
        <w:t>8.2实施时间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_Toc213413229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0EF7DCF">
      <w:pPr>
        <w:pStyle w:val="22"/>
        <w:tabs>
          <w:tab w:val="right" w:leader="dot" w:pos="8494"/>
        </w:tabs>
        <w:spacing w:line="276" w:lineRule="auto"/>
        <w:rPr>
          <w:rFonts w:ascii="仿宋_GB2312" w:eastAsia="仿宋_GB2312"/>
          <w:sz w:val="32"/>
          <w:szCs w:val="32"/>
        </w:rPr>
      </w:pPr>
      <w:r>
        <w:fldChar w:fldCharType="begin"/>
      </w:r>
      <w:r>
        <w:instrText xml:space="preserve"> HYPERLINK \l "_Toc213413230" </w:instrText>
      </w:r>
      <w:r>
        <w:fldChar w:fldCharType="separate"/>
      </w:r>
      <w:r>
        <w:rPr>
          <w:rStyle w:val="28"/>
          <w:rFonts w:hint="eastAsia" w:ascii="仿宋_GB2312" w:eastAsia="仿宋_GB2312"/>
          <w:color w:val="auto"/>
          <w:sz w:val="32"/>
          <w:szCs w:val="32"/>
        </w:rPr>
        <w:t>8.3预案解释</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_Toc213413230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C290AEC">
      <w:pPr>
        <w:pStyle w:val="17"/>
        <w:tabs>
          <w:tab w:val="right" w:leader="dot" w:pos="8494"/>
        </w:tabs>
        <w:spacing w:line="276" w:lineRule="auto"/>
        <w:rPr>
          <w:rFonts w:ascii="仿宋_GB2312" w:eastAsia="仿宋_GB2312"/>
          <w:sz w:val="32"/>
          <w:szCs w:val="32"/>
        </w:rPr>
      </w:pPr>
      <w:r>
        <w:fldChar w:fldCharType="begin"/>
      </w:r>
      <w:r>
        <w:instrText xml:space="preserve"> HYPERLINK \l "_Toc213413231" </w:instrText>
      </w:r>
      <w:r>
        <w:fldChar w:fldCharType="separate"/>
      </w:r>
      <w:r>
        <w:rPr>
          <w:rStyle w:val="28"/>
          <w:rFonts w:hint="eastAsia" w:ascii="仿宋_GB2312" w:eastAsia="仿宋_GB2312"/>
          <w:color w:val="auto"/>
          <w:sz w:val="32"/>
          <w:szCs w:val="32"/>
        </w:rPr>
        <w:t>附件</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_Toc213413231 \h </w:instrText>
      </w:r>
      <w:r>
        <w:rPr>
          <w:rFonts w:hint="eastAsia" w:ascii="仿宋_GB2312" w:eastAsia="仿宋_GB2312"/>
          <w:sz w:val="32"/>
          <w:szCs w:val="32"/>
        </w:rPr>
        <w:fldChar w:fldCharType="separate"/>
      </w:r>
      <w:r>
        <w:rPr>
          <w:rFonts w:hint="eastAsia" w:ascii="仿宋_GB2312" w:eastAsia="仿宋_GB2312"/>
          <w:sz w:val="32"/>
          <w:szCs w:val="32"/>
        </w:rPr>
        <w:t>34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985106D">
      <w:pPr>
        <w:pStyle w:val="17"/>
        <w:tabs>
          <w:tab w:val="right" w:leader="dot" w:pos="8494"/>
        </w:tabs>
        <w:spacing w:line="276" w:lineRule="auto"/>
        <w:rPr>
          <w:rFonts w:ascii="仿宋_GB2312" w:eastAsia="仿宋_GB2312"/>
          <w:sz w:val="32"/>
          <w:szCs w:val="32"/>
        </w:rPr>
      </w:pPr>
      <w:r>
        <w:fldChar w:fldCharType="begin"/>
      </w:r>
      <w:r>
        <w:instrText xml:space="preserve"> HYPERLINK \l "_Toc213413240" </w:instrText>
      </w:r>
      <w:r>
        <w:fldChar w:fldCharType="separate"/>
      </w:r>
      <w:r>
        <w:rPr>
          <w:rStyle w:val="28"/>
          <w:rFonts w:hint="eastAsia" w:ascii="仿宋_GB2312" w:eastAsia="仿宋_GB2312"/>
          <w:color w:val="auto"/>
          <w:sz w:val="32"/>
          <w:szCs w:val="32"/>
        </w:rPr>
        <w:t>附图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_Toc213413240 \h </w:instrText>
      </w:r>
      <w:r>
        <w:rPr>
          <w:rFonts w:hint="eastAsia" w:ascii="仿宋_GB2312" w:eastAsia="仿宋_GB2312"/>
          <w:sz w:val="32"/>
          <w:szCs w:val="32"/>
        </w:rPr>
        <w:fldChar w:fldCharType="separate"/>
      </w:r>
      <w:r>
        <w:rPr>
          <w:rFonts w:hint="eastAsia" w:ascii="仿宋_GB2312" w:eastAsia="仿宋_GB2312"/>
          <w:sz w:val="32"/>
          <w:szCs w:val="32"/>
        </w:rPr>
        <w:t>59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F08AD92">
      <w:pPr>
        <w:pStyle w:val="34"/>
        <w:rPr>
          <w:color w:val="auto"/>
        </w:rPr>
        <w:sectPr>
          <w:footerReference r:id="rId4" w:type="default"/>
          <w:pgSz w:w="11906" w:h="16838"/>
          <w:pgMar w:top="1440" w:right="1701" w:bottom="1440" w:left="1701" w:header="851" w:footer="992" w:gutter="0"/>
          <w:pgNumType w:start="1"/>
          <w:cols w:space="425" w:num="1"/>
          <w:docGrid w:type="lines" w:linePitch="312" w:charSpace="0"/>
        </w:sectPr>
      </w:pPr>
      <w:r>
        <w:rPr>
          <w:color w:val="auto"/>
        </w:rPr>
        <w:fldChar w:fldCharType="end"/>
      </w:r>
    </w:p>
    <w:p w14:paraId="0187A7AA">
      <w:pPr>
        <w:pStyle w:val="34"/>
        <w:spacing w:line="240" w:lineRule="auto"/>
        <w:ind w:firstLine="0"/>
        <w:jc w:val="center"/>
        <w:rPr>
          <w:color w:val="auto"/>
        </w:rPr>
        <w:sectPr>
          <w:pgSz w:w="16838" w:h="11906" w:orient="landscape"/>
          <w:pgMar w:top="1701" w:right="1440" w:bottom="1701" w:left="1440" w:header="851" w:footer="992" w:gutter="0"/>
          <w:pgNumType w:start="1"/>
          <w:cols w:space="425" w:num="1"/>
          <w:docGrid w:type="lines" w:linePitch="312" w:charSpace="0"/>
        </w:sectPr>
      </w:pPr>
      <w:r>
        <w:rPr>
          <w:color w:val="auto"/>
        </w:rPr>
        <w:drawing>
          <wp:inline distT="0" distB="0" distL="0" distR="0">
            <wp:extent cx="6849110" cy="4841875"/>
            <wp:effectExtent l="0" t="0" r="8890" b="0"/>
            <wp:docPr id="3" name="图片 3" descr="C:\Users\Administrator\xwechat_files\wxid_r0d7lsibzcyn21_7cb5\temp\RWTemp\2025-11\98ffa46509b08a5d85fd99c3da2ea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xwechat_files\wxid_r0d7lsibzcyn21_7cb5\temp\RWTemp\2025-11\98ffa46509b08a5d85fd99c3da2ea98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1772" cy="4844111"/>
                    </a:xfrm>
                    <a:prstGeom prst="rect">
                      <a:avLst/>
                    </a:prstGeom>
                    <a:noFill/>
                    <a:ln>
                      <a:noFill/>
                    </a:ln>
                  </pic:spPr>
                </pic:pic>
              </a:graphicData>
            </a:graphic>
          </wp:inline>
        </w:drawing>
      </w:r>
    </w:p>
    <w:p w14:paraId="2E69C49E">
      <w:pPr>
        <w:jc w:val="center"/>
        <w:rPr>
          <w:rFonts w:ascii="仿宋_GB2312" w:hAnsi="仿宋" w:eastAsia="仿宋_GB2312"/>
          <w:sz w:val="32"/>
          <w:szCs w:val="32"/>
        </w:rPr>
        <w:sectPr>
          <w:pgSz w:w="11906" w:h="16838"/>
          <w:pgMar w:top="1440" w:right="1701" w:bottom="1440" w:left="1701" w:header="851" w:footer="992" w:gutter="0"/>
          <w:pgNumType w:start="1"/>
          <w:cols w:space="425" w:num="1"/>
          <w:docGrid w:type="lines" w:linePitch="312" w:charSpace="0"/>
        </w:sectPr>
      </w:pPr>
      <w:r>
        <w:rPr>
          <w:rFonts w:ascii="仿宋_GB2312" w:hAnsi="仿宋" w:eastAsia="仿宋_GB2312"/>
          <w:sz w:val="32"/>
          <w:szCs w:val="32"/>
        </w:rPr>
        <w:drawing>
          <wp:inline distT="0" distB="0" distL="0" distR="0">
            <wp:extent cx="5400040" cy="7639685"/>
            <wp:effectExtent l="0" t="0" r="0" b="0"/>
            <wp:docPr id="4" name="图片 4" descr="C:\Users\Administrator\xwechat_files\wxid_r0d7lsibzcyn21_7cb5\temp\RWTemp\2025-11\4d03d404f662362e59007a312b0e5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r0d7lsibzcyn21_7cb5\temp\RWTemp\2025-11\4d03d404f662362e59007a312b0e59e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40" cy="7639922"/>
                    </a:xfrm>
                    <a:prstGeom prst="rect">
                      <a:avLst/>
                    </a:prstGeom>
                    <a:noFill/>
                    <a:ln>
                      <a:noFill/>
                    </a:ln>
                  </pic:spPr>
                </pic:pic>
              </a:graphicData>
            </a:graphic>
          </wp:inline>
        </w:drawing>
      </w:r>
    </w:p>
    <w:p w14:paraId="604E2F2D">
      <w:pPr>
        <w:jc w:val="center"/>
        <w:rPr>
          <w:rFonts w:ascii="仿宋_GB2312" w:hAnsi="仿宋" w:eastAsia="仿宋_GB2312"/>
          <w:sz w:val="32"/>
          <w:szCs w:val="32"/>
        </w:rPr>
      </w:pPr>
      <w:r>
        <w:rPr>
          <w:rFonts w:hint="eastAsia" w:ascii="仿宋_GB2312" w:hAnsi="仿宋" w:eastAsia="仿宋_GB2312"/>
          <w:sz w:val="32"/>
          <w:szCs w:val="32"/>
        </w:rPr>
        <w:t>大同市云冈区突发环境事件应急预案修改说明</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2D4E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14:paraId="14AF4097">
            <w:pPr>
              <w:snapToGrid w:val="0"/>
              <w:spacing w:line="300" w:lineRule="auto"/>
              <w:jc w:val="center"/>
              <w:rPr>
                <w:rFonts w:ascii="仿宋" w:hAnsi="仿宋" w:eastAsia="仿宋"/>
                <w:sz w:val="28"/>
                <w:szCs w:val="28"/>
              </w:rPr>
            </w:pPr>
            <w:r>
              <w:rPr>
                <w:rFonts w:hint="eastAsia" w:ascii="仿宋" w:hAnsi="仿宋" w:eastAsia="仿宋"/>
                <w:sz w:val="28"/>
                <w:szCs w:val="28"/>
              </w:rPr>
              <w:t>技术审查意见</w:t>
            </w:r>
          </w:p>
        </w:tc>
        <w:tc>
          <w:tcPr>
            <w:tcW w:w="4148" w:type="dxa"/>
          </w:tcPr>
          <w:p w14:paraId="4975202E">
            <w:pPr>
              <w:snapToGrid w:val="0"/>
              <w:spacing w:line="300" w:lineRule="auto"/>
              <w:jc w:val="center"/>
              <w:rPr>
                <w:rFonts w:ascii="仿宋" w:hAnsi="仿宋" w:eastAsia="仿宋"/>
                <w:sz w:val="28"/>
                <w:szCs w:val="28"/>
              </w:rPr>
            </w:pPr>
            <w:r>
              <w:rPr>
                <w:rFonts w:hint="eastAsia" w:ascii="仿宋" w:hAnsi="仿宋" w:eastAsia="仿宋"/>
                <w:sz w:val="28"/>
                <w:szCs w:val="28"/>
              </w:rPr>
              <w:t>修改说明</w:t>
            </w:r>
          </w:p>
        </w:tc>
      </w:tr>
      <w:tr w14:paraId="04A1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12E79D04">
            <w:pPr>
              <w:snapToGrid w:val="0"/>
              <w:spacing w:line="300" w:lineRule="auto"/>
              <w:rPr>
                <w:rFonts w:ascii="仿宋" w:hAnsi="仿宋" w:eastAsia="仿宋"/>
                <w:sz w:val="28"/>
                <w:szCs w:val="28"/>
              </w:rPr>
            </w:pPr>
            <w:bookmarkStart w:id="2" w:name="_Hlk205823076"/>
            <w:r>
              <w:rPr>
                <w:rFonts w:ascii="仿宋" w:hAnsi="仿宋" w:eastAsia="仿宋"/>
                <w:sz w:val="28"/>
                <w:szCs w:val="28"/>
              </w:rPr>
              <w:t>1、按照国务院办公厅关于印发《突发事件应急预案管理办法》的通知国办发〔2024〕5号要求，预案的编制应在风险源识别和评估、应急资源调查的基础上进行编制，据此补充相应内容。</w:t>
            </w:r>
          </w:p>
        </w:tc>
        <w:tc>
          <w:tcPr>
            <w:tcW w:w="4148" w:type="dxa"/>
            <w:tcBorders>
              <w:top w:val="single" w:color="auto" w:sz="4" w:space="0"/>
              <w:left w:val="single" w:color="auto" w:sz="4" w:space="0"/>
              <w:bottom w:val="single" w:color="auto" w:sz="4" w:space="0"/>
              <w:right w:val="single" w:color="auto" w:sz="4" w:space="0"/>
            </w:tcBorders>
            <w:vAlign w:val="center"/>
          </w:tcPr>
          <w:p w14:paraId="63213FD7">
            <w:pPr>
              <w:snapToGrid w:val="0"/>
              <w:spacing w:line="300" w:lineRule="auto"/>
              <w:rPr>
                <w:rFonts w:ascii="仿宋" w:hAnsi="仿宋" w:eastAsia="仿宋"/>
                <w:sz w:val="28"/>
                <w:szCs w:val="28"/>
              </w:rPr>
            </w:pPr>
            <w:r>
              <w:rPr>
                <w:rFonts w:hint="eastAsia" w:ascii="仿宋" w:hAnsi="仿宋" w:eastAsia="仿宋"/>
                <w:sz w:val="28"/>
                <w:szCs w:val="28"/>
              </w:rPr>
              <w:t>1、按照国务院办公厅关于印发《突发事件应急预案管理办法》的通知国办发〔2024〕5号要求，补充了风险源识别和评估、应急资源调查的相应内容，详见P</w:t>
            </w:r>
            <w:r>
              <w:rPr>
                <w:rFonts w:ascii="仿宋" w:hAnsi="仿宋" w:eastAsia="仿宋"/>
                <w:sz w:val="28"/>
                <w:szCs w:val="28"/>
              </w:rPr>
              <w:t>9</w:t>
            </w:r>
            <w:r>
              <w:rPr>
                <w:rFonts w:hint="eastAsia" w:ascii="仿宋" w:hAnsi="仿宋" w:eastAsia="仿宋"/>
                <w:sz w:val="28"/>
                <w:szCs w:val="28"/>
              </w:rPr>
              <w:t>-</w:t>
            </w:r>
            <w:r>
              <w:rPr>
                <w:rFonts w:ascii="仿宋" w:hAnsi="仿宋" w:eastAsia="仿宋"/>
                <w:sz w:val="28"/>
                <w:szCs w:val="28"/>
              </w:rPr>
              <w:t>12</w:t>
            </w:r>
            <w:r>
              <w:rPr>
                <w:rFonts w:hint="eastAsia" w:ascii="仿宋" w:hAnsi="仿宋" w:eastAsia="仿宋"/>
                <w:sz w:val="28"/>
                <w:szCs w:val="28"/>
              </w:rPr>
              <w:t>。</w:t>
            </w:r>
          </w:p>
        </w:tc>
      </w:tr>
      <w:tr w14:paraId="1FAF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4E15CD2E">
            <w:pPr>
              <w:snapToGrid w:val="0"/>
              <w:spacing w:line="300" w:lineRule="auto"/>
              <w:rPr>
                <w:rFonts w:ascii="仿宋" w:hAnsi="仿宋" w:eastAsia="仿宋"/>
                <w:sz w:val="28"/>
                <w:szCs w:val="28"/>
              </w:rPr>
            </w:pPr>
            <w:r>
              <w:rPr>
                <w:rFonts w:ascii="仿宋" w:hAnsi="仿宋" w:eastAsia="仿宋"/>
                <w:sz w:val="28"/>
                <w:szCs w:val="28"/>
              </w:rPr>
              <w:t>2、核实组织机构各成员单位组成、职责，明确应急救援队伍的组成及责任。</w:t>
            </w:r>
          </w:p>
        </w:tc>
        <w:tc>
          <w:tcPr>
            <w:tcW w:w="4148" w:type="dxa"/>
            <w:tcBorders>
              <w:top w:val="single" w:color="auto" w:sz="4" w:space="0"/>
              <w:left w:val="single" w:color="auto" w:sz="4" w:space="0"/>
              <w:bottom w:val="single" w:color="auto" w:sz="4" w:space="0"/>
              <w:right w:val="single" w:color="auto" w:sz="4" w:space="0"/>
            </w:tcBorders>
            <w:vAlign w:val="center"/>
          </w:tcPr>
          <w:p w14:paraId="77CD60A6">
            <w:pPr>
              <w:snapToGrid w:val="0"/>
              <w:spacing w:line="300" w:lineRule="auto"/>
              <w:rPr>
                <w:rFonts w:ascii="仿宋" w:hAnsi="仿宋" w:eastAsia="仿宋"/>
                <w:sz w:val="28"/>
                <w:szCs w:val="28"/>
              </w:rPr>
            </w:pPr>
            <w:r>
              <w:rPr>
                <w:rFonts w:hint="eastAsia" w:ascii="仿宋" w:hAnsi="仿宋" w:eastAsia="仿宋"/>
                <w:sz w:val="28"/>
                <w:szCs w:val="28"/>
              </w:rPr>
              <w:t>2、核实了组织机构各成员单位组成、职责，明确应急救援队伍的组成及责任，详见附件3和附件4</w:t>
            </w:r>
          </w:p>
        </w:tc>
      </w:tr>
      <w:tr w14:paraId="40B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3B36569E">
            <w:pPr>
              <w:snapToGrid w:val="0"/>
              <w:spacing w:line="300" w:lineRule="auto"/>
              <w:rPr>
                <w:rFonts w:ascii="仿宋" w:hAnsi="仿宋" w:eastAsia="仿宋"/>
                <w:sz w:val="28"/>
                <w:szCs w:val="28"/>
              </w:rPr>
            </w:pPr>
            <w:r>
              <w:rPr>
                <w:rFonts w:ascii="仿宋" w:hAnsi="仿宋" w:eastAsia="仿宋"/>
                <w:sz w:val="28"/>
                <w:szCs w:val="28"/>
              </w:rPr>
              <w:t>3、进一步核实预案的适用范围、事件分级，使分级准确且符合云冈区的实际情况，根据分级情况，调整相应的应急响应措施。</w:t>
            </w:r>
          </w:p>
        </w:tc>
        <w:tc>
          <w:tcPr>
            <w:tcW w:w="4148" w:type="dxa"/>
            <w:tcBorders>
              <w:top w:val="single" w:color="auto" w:sz="4" w:space="0"/>
              <w:left w:val="single" w:color="auto" w:sz="4" w:space="0"/>
              <w:bottom w:val="single" w:color="auto" w:sz="4" w:space="0"/>
              <w:right w:val="single" w:color="auto" w:sz="4" w:space="0"/>
            </w:tcBorders>
            <w:vAlign w:val="center"/>
          </w:tcPr>
          <w:p w14:paraId="1341FD5B">
            <w:pPr>
              <w:snapToGrid w:val="0"/>
              <w:spacing w:line="300" w:lineRule="auto"/>
              <w:rPr>
                <w:rFonts w:ascii="仿宋" w:hAnsi="仿宋" w:eastAsia="仿宋"/>
                <w:sz w:val="28"/>
                <w:szCs w:val="28"/>
              </w:rPr>
            </w:pPr>
            <w:r>
              <w:rPr>
                <w:rFonts w:hint="eastAsia" w:ascii="仿宋" w:hAnsi="仿宋" w:eastAsia="仿宋"/>
                <w:sz w:val="28"/>
                <w:szCs w:val="28"/>
              </w:rPr>
              <w:t>3、进一步核实了预案的适用范围、事件分级，调整了相应的应急响应措施。详见P</w:t>
            </w:r>
            <w:r>
              <w:rPr>
                <w:rFonts w:ascii="仿宋" w:hAnsi="仿宋" w:eastAsia="仿宋"/>
                <w:sz w:val="28"/>
                <w:szCs w:val="28"/>
              </w:rPr>
              <w:t>3-4</w:t>
            </w:r>
            <w:r>
              <w:rPr>
                <w:rFonts w:hint="eastAsia" w:ascii="仿宋" w:hAnsi="仿宋" w:eastAsia="仿宋"/>
                <w:sz w:val="28"/>
                <w:szCs w:val="28"/>
              </w:rPr>
              <w:t>，P</w:t>
            </w:r>
            <w:r>
              <w:rPr>
                <w:rFonts w:ascii="仿宋" w:hAnsi="仿宋" w:eastAsia="仿宋"/>
                <w:sz w:val="28"/>
                <w:szCs w:val="28"/>
              </w:rPr>
              <w:t>21-25</w:t>
            </w:r>
            <w:r>
              <w:rPr>
                <w:rFonts w:hint="eastAsia" w:ascii="仿宋" w:hAnsi="仿宋" w:eastAsia="仿宋"/>
                <w:sz w:val="28"/>
                <w:szCs w:val="28"/>
              </w:rPr>
              <w:t>，附件2、附件6</w:t>
            </w:r>
          </w:p>
        </w:tc>
      </w:tr>
      <w:bookmarkEnd w:id="2"/>
      <w:tr w14:paraId="7CDB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226F2D84">
            <w:pPr>
              <w:snapToGrid w:val="0"/>
              <w:spacing w:line="300" w:lineRule="auto"/>
              <w:rPr>
                <w:rFonts w:ascii="仿宋" w:hAnsi="仿宋" w:eastAsia="仿宋"/>
                <w:sz w:val="28"/>
                <w:szCs w:val="28"/>
              </w:rPr>
            </w:pPr>
            <w:r>
              <w:rPr>
                <w:rFonts w:ascii="仿宋" w:hAnsi="仿宋" w:eastAsia="仿宋"/>
                <w:sz w:val="28"/>
                <w:szCs w:val="28"/>
              </w:rPr>
              <w:t>4、预案应征求成员单位合理意见，落实到预案当中。</w:t>
            </w:r>
          </w:p>
        </w:tc>
        <w:tc>
          <w:tcPr>
            <w:tcW w:w="4148" w:type="dxa"/>
            <w:vAlign w:val="center"/>
          </w:tcPr>
          <w:p w14:paraId="0C94DC15">
            <w:pPr>
              <w:snapToGrid w:val="0"/>
              <w:spacing w:line="300" w:lineRule="auto"/>
              <w:rPr>
                <w:rFonts w:ascii="仿宋" w:hAnsi="仿宋" w:eastAsia="仿宋"/>
                <w:sz w:val="28"/>
                <w:szCs w:val="28"/>
              </w:rPr>
            </w:pPr>
            <w:r>
              <w:rPr>
                <w:rFonts w:hint="eastAsia" w:ascii="仿宋" w:hAnsi="仿宋" w:eastAsia="仿宋"/>
                <w:sz w:val="28"/>
                <w:szCs w:val="28"/>
              </w:rPr>
              <w:t>4、已落实成员单位意见</w:t>
            </w:r>
          </w:p>
        </w:tc>
      </w:tr>
      <w:tr w14:paraId="6C65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14:paraId="0DDB1528">
            <w:pPr>
              <w:snapToGrid w:val="0"/>
              <w:spacing w:line="300" w:lineRule="auto"/>
              <w:rPr>
                <w:rFonts w:ascii="仿宋" w:hAnsi="仿宋" w:eastAsia="仿宋"/>
                <w:sz w:val="28"/>
                <w:szCs w:val="28"/>
              </w:rPr>
            </w:pPr>
            <w:r>
              <w:rPr>
                <w:rFonts w:ascii="仿宋" w:hAnsi="仿宋" w:eastAsia="仿宋"/>
                <w:sz w:val="28"/>
                <w:szCs w:val="28"/>
              </w:rPr>
              <w:t>5、优化、调整预案的文本内容，规范附图、附件</w:t>
            </w:r>
          </w:p>
        </w:tc>
        <w:tc>
          <w:tcPr>
            <w:tcW w:w="4148" w:type="dxa"/>
            <w:vAlign w:val="center"/>
          </w:tcPr>
          <w:p w14:paraId="185823BA">
            <w:pPr>
              <w:snapToGrid w:val="0"/>
              <w:spacing w:line="300" w:lineRule="auto"/>
              <w:rPr>
                <w:rFonts w:ascii="仿宋" w:hAnsi="仿宋" w:eastAsia="仿宋"/>
                <w:sz w:val="28"/>
                <w:szCs w:val="28"/>
              </w:rPr>
            </w:pPr>
            <w:r>
              <w:rPr>
                <w:rFonts w:ascii="仿宋" w:hAnsi="仿宋" w:eastAsia="仿宋"/>
                <w:sz w:val="28"/>
                <w:szCs w:val="28"/>
              </w:rPr>
              <w:t>5、优化、调整</w:t>
            </w:r>
            <w:r>
              <w:rPr>
                <w:rFonts w:hint="eastAsia" w:ascii="仿宋" w:hAnsi="仿宋" w:eastAsia="仿宋"/>
                <w:sz w:val="28"/>
                <w:szCs w:val="28"/>
              </w:rPr>
              <w:t>了</w:t>
            </w:r>
            <w:r>
              <w:rPr>
                <w:rFonts w:ascii="仿宋" w:hAnsi="仿宋" w:eastAsia="仿宋"/>
                <w:sz w:val="28"/>
                <w:szCs w:val="28"/>
              </w:rPr>
              <w:t>预案的文本内容，规范</w:t>
            </w:r>
            <w:r>
              <w:rPr>
                <w:rFonts w:hint="eastAsia" w:ascii="仿宋" w:hAnsi="仿宋" w:eastAsia="仿宋"/>
                <w:sz w:val="28"/>
                <w:szCs w:val="28"/>
              </w:rPr>
              <w:t>了</w:t>
            </w:r>
            <w:r>
              <w:rPr>
                <w:rFonts w:ascii="仿宋" w:hAnsi="仿宋" w:eastAsia="仿宋"/>
                <w:sz w:val="28"/>
                <w:szCs w:val="28"/>
              </w:rPr>
              <w:t>附图、附件</w:t>
            </w:r>
            <w:r>
              <w:rPr>
                <w:rFonts w:hint="eastAsia" w:ascii="仿宋" w:hAnsi="仿宋" w:eastAsia="仿宋"/>
                <w:sz w:val="28"/>
                <w:szCs w:val="28"/>
              </w:rPr>
              <w:t>，详见附图1-</w:t>
            </w:r>
            <w:r>
              <w:rPr>
                <w:rFonts w:ascii="仿宋" w:hAnsi="仿宋" w:eastAsia="仿宋"/>
                <w:sz w:val="28"/>
                <w:szCs w:val="28"/>
              </w:rPr>
              <w:t>2</w:t>
            </w:r>
            <w:r>
              <w:rPr>
                <w:rFonts w:hint="eastAsia" w:ascii="仿宋" w:hAnsi="仿宋" w:eastAsia="仿宋"/>
                <w:sz w:val="28"/>
                <w:szCs w:val="28"/>
              </w:rPr>
              <w:t>，附件2-</w:t>
            </w:r>
            <w:r>
              <w:rPr>
                <w:rFonts w:ascii="仿宋" w:hAnsi="仿宋" w:eastAsia="仿宋"/>
                <w:sz w:val="28"/>
                <w:szCs w:val="28"/>
              </w:rPr>
              <w:t>6</w:t>
            </w:r>
          </w:p>
        </w:tc>
      </w:tr>
    </w:tbl>
    <w:p w14:paraId="0D900948"/>
    <w:p w14:paraId="026C8977">
      <w:pPr>
        <w:pStyle w:val="34"/>
        <w:ind w:firstLine="0"/>
        <w:rPr>
          <w:color w:val="auto"/>
        </w:rPr>
      </w:pPr>
    </w:p>
    <w:p w14:paraId="7D52CA16">
      <w:pPr>
        <w:pStyle w:val="34"/>
        <w:rPr>
          <w:color w:val="auto"/>
        </w:rPr>
      </w:pPr>
    </w:p>
    <w:p w14:paraId="41BF4A49">
      <w:pPr>
        <w:pStyle w:val="34"/>
        <w:rPr>
          <w:color w:val="auto"/>
        </w:rPr>
      </w:pPr>
    </w:p>
    <w:p w14:paraId="2537A511">
      <w:pPr>
        <w:pStyle w:val="34"/>
        <w:rPr>
          <w:color w:val="auto"/>
        </w:rPr>
      </w:pPr>
    </w:p>
    <w:p w14:paraId="38535BC8">
      <w:pPr>
        <w:pStyle w:val="34"/>
        <w:rPr>
          <w:color w:val="auto"/>
        </w:rPr>
      </w:pPr>
    </w:p>
    <w:p w14:paraId="6CE0F945">
      <w:pPr>
        <w:pStyle w:val="34"/>
        <w:rPr>
          <w:color w:val="auto"/>
        </w:rPr>
      </w:pPr>
    </w:p>
    <w:p w14:paraId="0328046F">
      <w:pPr>
        <w:pStyle w:val="34"/>
        <w:rPr>
          <w:color w:val="auto"/>
        </w:rPr>
        <w:sectPr>
          <w:pgSz w:w="11906" w:h="16838"/>
          <w:pgMar w:top="1440" w:right="1701" w:bottom="1440" w:left="1701" w:header="851" w:footer="992" w:gutter="0"/>
          <w:pgNumType w:start="1"/>
          <w:cols w:space="425" w:num="1"/>
          <w:docGrid w:type="lines" w:linePitch="312" w:charSpace="0"/>
        </w:sectPr>
      </w:pPr>
    </w:p>
    <w:p w14:paraId="0C50D47D">
      <w:pPr>
        <w:pStyle w:val="30"/>
        <w:rPr>
          <w:color w:val="auto"/>
        </w:rPr>
      </w:pPr>
      <w:bookmarkStart w:id="3" w:name="_Toc213413158"/>
      <w:r>
        <w:rPr>
          <w:rFonts w:hint="eastAsia"/>
          <w:color w:val="auto"/>
        </w:rPr>
        <w:t>区域概况</w:t>
      </w:r>
      <w:bookmarkEnd w:id="3"/>
    </w:p>
    <w:p w14:paraId="47E2E9C6">
      <w:pPr>
        <w:pStyle w:val="34"/>
        <w:rPr>
          <w:color w:val="auto"/>
        </w:rPr>
      </w:pPr>
      <w:bookmarkStart w:id="4" w:name="_Toc213413159"/>
      <w:r>
        <w:rPr>
          <w:color w:val="auto"/>
        </w:rPr>
        <w:t>1</w:t>
      </w:r>
      <w:r>
        <w:rPr>
          <w:rFonts w:hint="eastAsia"/>
          <w:color w:val="auto"/>
        </w:rPr>
        <w:t>、地理位置</w:t>
      </w:r>
      <w:bookmarkEnd w:id="4"/>
    </w:p>
    <w:p w14:paraId="46D61B57">
      <w:pPr>
        <w:pStyle w:val="34"/>
        <w:rPr>
          <w:color w:val="auto"/>
        </w:rPr>
      </w:pPr>
      <w:r>
        <w:rPr>
          <w:rFonts w:hint="eastAsia"/>
          <w:color w:val="auto"/>
        </w:rPr>
        <w:t>大同市云冈区位于山西省北部，大同市西南部，东邻平城区、云州区，西接左云县，南连怀仁市，北依新荣区，总面积737.81km</w:t>
      </w:r>
      <w:r>
        <w:rPr>
          <w:rFonts w:hint="eastAsia"/>
          <w:color w:val="auto"/>
          <w:vertAlign w:val="superscript"/>
        </w:rPr>
        <w:t>2</w:t>
      </w:r>
      <w:r>
        <w:rPr>
          <w:rFonts w:hint="eastAsia"/>
          <w:color w:val="auto"/>
        </w:rPr>
        <w:t>。地理坐标为北纬39°55′～40°08′，东经112°53′～113°12′，距大同市中心约12.5km。</w:t>
      </w:r>
    </w:p>
    <w:p w14:paraId="184F4E19">
      <w:pPr>
        <w:pStyle w:val="34"/>
        <w:rPr>
          <w:color w:val="auto"/>
        </w:rPr>
      </w:pPr>
      <w:bookmarkStart w:id="5" w:name="_Toc213413160"/>
      <w:r>
        <w:rPr>
          <w:color w:val="auto"/>
        </w:rPr>
        <w:t>2</w:t>
      </w:r>
      <w:r>
        <w:rPr>
          <w:rFonts w:hint="eastAsia"/>
          <w:color w:val="auto"/>
        </w:rPr>
        <w:t>、地形地貌</w:t>
      </w:r>
      <w:bookmarkEnd w:id="5"/>
    </w:p>
    <w:p w14:paraId="1834B9F0">
      <w:pPr>
        <w:pStyle w:val="34"/>
        <w:rPr>
          <w:color w:val="auto"/>
        </w:rPr>
      </w:pPr>
      <w:r>
        <w:rPr>
          <w:rFonts w:hint="eastAsia"/>
          <w:color w:val="auto"/>
        </w:rPr>
        <w:t>云冈区位于大同市西南部，东邻平城区、云州区，西接左云县</w:t>
      </w:r>
      <w:r>
        <w:rPr>
          <w:color w:val="auto"/>
        </w:rPr>
        <w:t>，南连怀仁市，北依新荣区。区域地处黄土高原东缘，总体地势西北高、东南低，属中小起伏丘陵山区，区内被口泉断裂分成西北部和东南部，西北部为起伏较大的山区，约占总面积的64%；东南部为略有起伏的平原区，属大同盆地，约占总面积的36%。区内主要山脉有塔儿山、七峰山、武周山、红桃山，诸山相连，属阴山山脉，最高海拔1714.1m。</w:t>
      </w:r>
    </w:p>
    <w:p w14:paraId="27B3A4AB">
      <w:pPr>
        <w:pStyle w:val="34"/>
        <w:rPr>
          <w:color w:val="auto"/>
        </w:rPr>
      </w:pPr>
      <w:bookmarkStart w:id="6" w:name="_Toc213413161"/>
      <w:r>
        <w:rPr>
          <w:color w:val="auto"/>
        </w:rPr>
        <w:t>3</w:t>
      </w:r>
      <w:r>
        <w:rPr>
          <w:rFonts w:hint="eastAsia"/>
          <w:color w:val="auto"/>
        </w:rPr>
        <w:t>、</w:t>
      </w:r>
      <w:r>
        <w:rPr>
          <w:color w:val="auto"/>
        </w:rPr>
        <w:t>气候气象</w:t>
      </w:r>
      <w:bookmarkEnd w:id="6"/>
    </w:p>
    <w:p w14:paraId="0822A8E1">
      <w:pPr>
        <w:pStyle w:val="34"/>
        <w:rPr>
          <w:color w:val="auto"/>
        </w:rPr>
      </w:pPr>
      <w:r>
        <w:rPr>
          <w:rFonts w:hint="eastAsia"/>
          <w:color w:val="auto"/>
        </w:rPr>
        <w:t>本区域属于半干旱大陆性气候，冬季严寒，夏季炎热，气候干燥，风沙严重。根据大同气象台</w:t>
      </w:r>
      <w:r>
        <w:rPr>
          <w:color w:val="auto"/>
        </w:rPr>
        <w:t>2000</w:t>
      </w:r>
      <w:r>
        <w:rPr>
          <w:rFonts w:hint="eastAsia"/>
          <w:color w:val="auto"/>
        </w:rPr>
        <w:t>～</w:t>
      </w:r>
      <w:r>
        <w:rPr>
          <w:color w:val="auto"/>
        </w:rPr>
        <w:t>2019年的资料:本区年平均气温7.6℃，极端最低气温-28.1℃，极端最高气温39.0℃。年平均降水量为372.9mm，降水量集中在6、7、8、9四个月，占全年降雨量的74.8%</w:t>
      </w:r>
      <w:r>
        <w:rPr>
          <w:rFonts w:hint="eastAsia"/>
          <w:color w:val="auto"/>
        </w:rPr>
        <w:t>，</w:t>
      </w:r>
      <w:r>
        <w:rPr>
          <w:color w:val="auto"/>
        </w:rPr>
        <w:t>最大日降水65.4mm</w:t>
      </w:r>
      <w:r>
        <w:rPr>
          <w:rFonts w:hint="eastAsia"/>
          <w:color w:val="auto"/>
        </w:rPr>
        <w:t>；</w:t>
      </w:r>
      <w:r>
        <w:rPr>
          <w:color w:val="auto"/>
        </w:rPr>
        <w:t>多年平均蒸发量为2059.1mm，是降雨量的5.52倍</w:t>
      </w:r>
      <w:r>
        <w:rPr>
          <w:rFonts w:hint="eastAsia"/>
          <w:color w:val="auto"/>
        </w:rPr>
        <w:t>；</w:t>
      </w:r>
      <w:r>
        <w:rPr>
          <w:color w:val="auto"/>
        </w:rPr>
        <w:t>日照时数2667.7小时/年</w:t>
      </w:r>
      <w:r>
        <w:rPr>
          <w:rFonts w:hint="eastAsia"/>
          <w:color w:val="auto"/>
        </w:rPr>
        <w:t>；</w:t>
      </w:r>
      <w:r>
        <w:rPr>
          <w:color w:val="auto"/>
        </w:rPr>
        <w:t>一年中</w:t>
      </w:r>
      <w:r>
        <w:rPr>
          <w:rFonts w:hint="eastAsia"/>
          <w:color w:val="auto"/>
        </w:rPr>
        <w:t>北</w:t>
      </w:r>
      <w:r>
        <w:rPr>
          <w:color w:val="auto"/>
        </w:rPr>
        <w:t>风频率最高，为16.57%，其次</w:t>
      </w:r>
      <w:r>
        <w:rPr>
          <w:rFonts w:hint="eastAsia"/>
          <w:color w:val="auto"/>
        </w:rPr>
        <w:t>是西北偏北</w:t>
      </w:r>
      <w:r>
        <w:rPr>
          <w:color w:val="auto"/>
        </w:rPr>
        <w:t>风，频率为14.31%；年平均风速为2.7m/s，4月份平均风速最大，为3.5m/s</w:t>
      </w:r>
      <w:r>
        <w:rPr>
          <w:rFonts w:hint="eastAsia"/>
          <w:color w:val="auto"/>
        </w:rPr>
        <w:t>，</w:t>
      </w:r>
      <w:r>
        <w:rPr>
          <w:color w:val="auto"/>
        </w:rPr>
        <w:t>8月份平均风速较小，为2.2m</w:t>
      </w:r>
      <w:r>
        <w:rPr>
          <w:rFonts w:hint="eastAsia"/>
          <w:color w:val="auto"/>
        </w:rPr>
        <w:t>/</w:t>
      </w:r>
      <w:r>
        <w:rPr>
          <w:color w:val="auto"/>
        </w:rPr>
        <w:t>s，最大风速为20m</w:t>
      </w:r>
      <w:r>
        <w:rPr>
          <w:rFonts w:hint="eastAsia"/>
          <w:color w:val="auto"/>
        </w:rPr>
        <w:t>/</w:t>
      </w:r>
      <w:r>
        <w:rPr>
          <w:color w:val="auto"/>
        </w:rPr>
        <w:t>s。历年平均相对湿度为53%</w:t>
      </w:r>
      <w:r>
        <w:rPr>
          <w:rFonts w:hint="eastAsia"/>
          <w:color w:val="auto"/>
        </w:rPr>
        <w:t>。</w:t>
      </w:r>
      <w:r>
        <w:rPr>
          <w:color w:val="auto"/>
        </w:rPr>
        <w:t>历年冻土月份为11月至翌年4月，最大冻土深度为1610mm</w:t>
      </w:r>
      <w:r>
        <w:rPr>
          <w:rFonts w:hint="eastAsia"/>
          <w:color w:val="auto"/>
        </w:rPr>
        <w:t>。</w:t>
      </w:r>
    </w:p>
    <w:p w14:paraId="3819E463">
      <w:pPr>
        <w:pStyle w:val="34"/>
        <w:rPr>
          <w:color w:val="auto"/>
        </w:rPr>
      </w:pPr>
      <w:bookmarkStart w:id="7" w:name="_Toc213413162"/>
      <w:r>
        <w:rPr>
          <w:color w:val="auto"/>
        </w:rPr>
        <w:t>4</w:t>
      </w:r>
      <w:r>
        <w:rPr>
          <w:rFonts w:hint="eastAsia"/>
          <w:color w:val="auto"/>
        </w:rPr>
        <w:t>、地表水系</w:t>
      </w:r>
      <w:bookmarkEnd w:id="7"/>
    </w:p>
    <w:p w14:paraId="1CA483E3">
      <w:pPr>
        <w:pStyle w:val="34"/>
        <w:rPr>
          <w:color w:val="auto"/>
        </w:rPr>
      </w:pPr>
      <w:r>
        <w:rPr>
          <w:rFonts w:hint="eastAsia"/>
          <w:color w:val="auto"/>
        </w:rPr>
        <w:t>大同市云冈区境内共有河流</w:t>
      </w:r>
      <w:r>
        <w:rPr>
          <w:color w:val="auto"/>
        </w:rPr>
        <w:t>6条，分别为御河、十里河、口泉河、甘河、于家园河和峰子涧支沟。6条河流均属于海河流域永定河水</w:t>
      </w:r>
      <w:r>
        <w:rPr>
          <w:rFonts w:hint="eastAsia"/>
          <w:color w:val="auto"/>
        </w:rPr>
        <w:t>系。</w:t>
      </w:r>
    </w:p>
    <w:p w14:paraId="788FF15B">
      <w:pPr>
        <w:pStyle w:val="34"/>
        <w:rPr>
          <w:color w:val="auto"/>
        </w:rPr>
      </w:pPr>
      <w:r>
        <w:rPr>
          <w:rFonts w:hint="eastAsia"/>
          <w:color w:val="auto"/>
        </w:rPr>
        <w:t>（1）</w:t>
      </w:r>
      <w:r>
        <w:rPr>
          <w:color w:val="auto"/>
        </w:rPr>
        <w:t>御河</w:t>
      </w:r>
      <w:r>
        <w:rPr>
          <w:rFonts w:hint="eastAsia"/>
          <w:color w:val="auto"/>
        </w:rPr>
        <w:t>：</w:t>
      </w:r>
      <w:r>
        <w:rPr>
          <w:color w:val="auto"/>
        </w:rPr>
        <w:t>御河是桑干河一级支流，发源于内蒙古丰镇市西北部三义泉乡宋家沟村，干流全长148km，流域面积5016km</w:t>
      </w:r>
      <w:r>
        <w:rPr>
          <w:color w:val="auto"/>
          <w:vertAlign w:val="superscript"/>
        </w:rPr>
        <w:t>2</w:t>
      </w:r>
      <w:r>
        <w:rPr>
          <w:color w:val="auto"/>
        </w:rPr>
        <w:t>，河道纵坡3</w:t>
      </w:r>
      <w:r>
        <w:rPr>
          <w:rFonts w:hint="eastAsia"/>
          <w:color w:val="auto"/>
        </w:rPr>
        <w:t>‰</w:t>
      </w:r>
      <w:r>
        <w:rPr>
          <w:color w:val="auto"/>
        </w:rPr>
        <w:t>。流经云冈区境内干流长12.9km（西韩岭乡北村</w:t>
      </w:r>
      <w:r>
        <w:rPr>
          <w:rFonts w:hint="eastAsia"/>
          <w:color w:val="auto"/>
        </w:rPr>
        <w:t>～</w:t>
      </w:r>
      <w:r>
        <w:rPr>
          <w:color w:val="auto"/>
        </w:rPr>
        <w:t>谢店村），平均河流宽度为300米左右。</w:t>
      </w:r>
    </w:p>
    <w:p w14:paraId="6B538BBF">
      <w:pPr>
        <w:pStyle w:val="34"/>
        <w:rPr>
          <w:color w:val="auto"/>
        </w:rPr>
      </w:pPr>
      <w:r>
        <w:rPr>
          <w:rFonts w:hint="eastAsia"/>
          <w:color w:val="auto"/>
        </w:rPr>
        <w:t>（2）</w:t>
      </w:r>
      <w:r>
        <w:rPr>
          <w:color w:val="auto"/>
        </w:rPr>
        <w:t>十里河</w:t>
      </w:r>
      <w:r>
        <w:rPr>
          <w:rFonts w:hint="eastAsia"/>
          <w:color w:val="auto"/>
        </w:rPr>
        <w:t>：</w:t>
      </w:r>
      <w:r>
        <w:rPr>
          <w:color w:val="auto"/>
        </w:rPr>
        <w:t>十里河是御河一级支流，发源于左云县东南部，干流全长95km，流域面积1277km</w:t>
      </w:r>
      <w:r>
        <w:rPr>
          <w:color w:val="auto"/>
          <w:vertAlign w:val="superscript"/>
        </w:rPr>
        <w:t>2</w:t>
      </w:r>
      <w:r>
        <w:rPr>
          <w:color w:val="auto"/>
        </w:rPr>
        <w:t>，平均纵坡4.4</w:t>
      </w:r>
      <w:r>
        <w:rPr>
          <w:rFonts w:hint="eastAsia"/>
          <w:color w:val="auto"/>
        </w:rPr>
        <w:t>‰</w:t>
      </w:r>
      <w:r>
        <w:rPr>
          <w:color w:val="auto"/>
        </w:rPr>
        <w:t>。流经云冈区境内干流长38.6km（高山镇燕子山村</w:t>
      </w:r>
      <w:r>
        <w:rPr>
          <w:rFonts w:hint="eastAsia"/>
          <w:color w:val="auto"/>
        </w:rPr>
        <w:t>～</w:t>
      </w:r>
      <w:r>
        <w:rPr>
          <w:color w:val="auto"/>
        </w:rPr>
        <w:t>西韩岭乡北村村），平均河流宽度为220米左右。</w:t>
      </w:r>
    </w:p>
    <w:p w14:paraId="5AF80E09">
      <w:pPr>
        <w:pStyle w:val="34"/>
        <w:rPr>
          <w:color w:val="auto"/>
        </w:rPr>
      </w:pPr>
      <w:r>
        <w:rPr>
          <w:rFonts w:hint="eastAsia"/>
          <w:color w:val="auto"/>
        </w:rPr>
        <w:t>（3）</w:t>
      </w:r>
      <w:r>
        <w:rPr>
          <w:color w:val="auto"/>
        </w:rPr>
        <w:t>口泉河</w:t>
      </w:r>
      <w:r>
        <w:rPr>
          <w:rFonts w:hint="eastAsia"/>
          <w:color w:val="auto"/>
        </w:rPr>
        <w:t>：</w:t>
      </w:r>
      <w:r>
        <w:rPr>
          <w:color w:val="auto"/>
        </w:rPr>
        <w:t>口泉河是桑干河一级支流，发源于左云县五峰嘴，干流全长55km，流域面积482km</w:t>
      </w:r>
      <w:r>
        <w:rPr>
          <w:color w:val="auto"/>
          <w:vertAlign w:val="superscript"/>
        </w:rPr>
        <w:t>2</w:t>
      </w:r>
      <w:r>
        <w:rPr>
          <w:color w:val="auto"/>
        </w:rPr>
        <w:t>。流经云冈区境内干流长37.4km（鸦儿崖乡黑流水村</w:t>
      </w:r>
      <w:r>
        <w:rPr>
          <w:rFonts w:hint="eastAsia"/>
          <w:color w:val="auto"/>
        </w:rPr>
        <w:t>～</w:t>
      </w:r>
      <w:r>
        <w:rPr>
          <w:color w:val="auto"/>
        </w:rPr>
        <w:t>口泉乡堡子店村），流域面积350.4km</w:t>
      </w:r>
      <w:r>
        <w:rPr>
          <w:color w:val="auto"/>
          <w:vertAlign w:val="superscript"/>
        </w:rPr>
        <w:t>2</w:t>
      </w:r>
      <w:r>
        <w:rPr>
          <w:color w:val="auto"/>
        </w:rPr>
        <w:t>，平均河流宽度为80米左右。</w:t>
      </w:r>
    </w:p>
    <w:p w14:paraId="6BE1AC64">
      <w:pPr>
        <w:pStyle w:val="34"/>
        <w:rPr>
          <w:color w:val="auto"/>
        </w:rPr>
      </w:pPr>
      <w:r>
        <w:rPr>
          <w:rFonts w:hint="eastAsia"/>
          <w:color w:val="auto"/>
        </w:rPr>
        <w:t>（4）</w:t>
      </w:r>
      <w:r>
        <w:rPr>
          <w:color w:val="auto"/>
        </w:rPr>
        <w:t>甘河</w:t>
      </w:r>
      <w:r>
        <w:rPr>
          <w:rFonts w:hint="eastAsia"/>
          <w:color w:val="auto"/>
        </w:rPr>
        <w:t>：</w:t>
      </w:r>
      <w:r>
        <w:rPr>
          <w:color w:val="auto"/>
        </w:rPr>
        <w:t>甘河是口泉河的一级支流，发源于云冈区高山镇南信庄村，干流全长29km，流域总面积181.9km</w:t>
      </w:r>
      <w:r>
        <w:rPr>
          <w:color w:val="auto"/>
          <w:vertAlign w:val="superscript"/>
        </w:rPr>
        <w:t>2</w:t>
      </w:r>
      <w:r>
        <w:rPr>
          <w:color w:val="auto"/>
        </w:rPr>
        <w:t>，河道平均纵坡1.6</w:t>
      </w:r>
      <w:r>
        <w:rPr>
          <w:rFonts w:hint="eastAsia"/>
          <w:color w:val="auto"/>
        </w:rPr>
        <w:t>‰</w:t>
      </w:r>
      <w:r>
        <w:rPr>
          <w:color w:val="auto"/>
        </w:rPr>
        <w:t>。流经云冈区境内干流长20km（云冈区平旺乡忻州窑村</w:t>
      </w:r>
      <w:bookmarkStart w:id="8" w:name="OLE_LINK10"/>
      <w:bookmarkStart w:id="9" w:name="OLE_LINK9"/>
      <w:r>
        <w:rPr>
          <w:rFonts w:hint="eastAsia"/>
          <w:color w:val="auto"/>
        </w:rPr>
        <w:t>～</w:t>
      </w:r>
      <w:bookmarkEnd w:id="8"/>
      <w:bookmarkEnd w:id="9"/>
      <w:r>
        <w:rPr>
          <w:color w:val="auto"/>
        </w:rPr>
        <w:t>云冈区口泉乡大路辛庄村），流域面积161.5km</w:t>
      </w:r>
      <w:r>
        <w:rPr>
          <w:color w:val="auto"/>
          <w:vertAlign w:val="superscript"/>
        </w:rPr>
        <w:t>2</w:t>
      </w:r>
      <w:r>
        <w:rPr>
          <w:color w:val="auto"/>
        </w:rPr>
        <w:t>，河流平均宽度为40米左右。</w:t>
      </w:r>
    </w:p>
    <w:p w14:paraId="43BBD70F">
      <w:pPr>
        <w:pStyle w:val="34"/>
        <w:rPr>
          <w:color w:val="auto"/>
        </w:rPr>
      </w:pPr>
      <w:r>
        <w:rPr>
          <w:rFonts w:hint="eastAsia"/>
          <w:color w:val="auto"/>
        </w:rPr>
        <w:t>（5）</w:t>
      </w:r>
      <w:r>
        <w:rPr>
          <w:color w:val="auto"/>
        </w:rPr>
        <w:t>于家园河</w:t>
      </w:r>
      <w:r>
        <w:rPr>
          <w:rFonts w:hint="eastAsia"/>
          <w:color w:val="auto"/>
        </w:rPr>
        <w:t>：</w:t>
      </w:r>
      <w:r>
        <w:rPr>
          <w:color w:val="auto"/>
        </w:rPr>
        <w:t>于家园河是鹅毛河的支流，发源于山西省怀仁县云中镇小磨村，干流全长16km，流域总面积76.6km</w:t>
      </w:r>
      <w:r>
        <w:rPr>
          <w:color w:val="auto"/>
          <w:vertAlign w:val="superscript"/>
        </w:rPr>
        <w:t>2</w:t>
      </w:r>
      <w:r>
        <w:rPr>
          <w:color w:val="auto"/>
        </w:rPr>
        <w:t>。流经云冈区境内干流长9.1km（口泉乡榆林村</w:t>
      </w:r>
      <w:r>
        <w:rPr>
          <w:rFonts w:hint="eastAsia"/>
          <w:color w:val="auto"/>
        </w:rPr>
        <w:t>～</w:t>
      </w:r>
      <w:r>
        <w:rPr>
          <w:color w:val="auto"/>
        </w:rPr>
        <w:t>张留庄村），流域面积52.2km</w:t>
      </w:r>
      <w:r>
        <w:rPr>
          <w:color w:val="auto"/>
          <w:vertAlign w:val="superscript"/>
        </w:rPr>
        <w:t>2</w:t>
      </w:r>
      <w:r>
        <w:rPr>
          <w:color w:val="auto"/>
        </w:rPr>
        <w:t>。</w:t>
      </w:r>
    </w:p>
    <w:p w14:paraId="594E3A27">
      <w:pPr>
        <w:pStyle w:val="34"/>
        <w:rPr>
          <w:color w:val="auto"/>
        </w:rPr>
      </w:pPr>
      <w:r>
        <w:rPr>
          <w:rFonts w:hint="eastAsia"/>
          <w:color w:val="auto"/>
        </w:rPr>
        <w:t>（6）</w:t>
      </w:r>
      <w:r>
        <w:rPr>
          <w:color w:val="auto"/>
        </w:rPr>
        <w:t>峰子涧支沟</w:t>
      </w:r>
      <w:r>
        <w:rPr>
          <w:rFonts w:hint="eastAsia"/>
          <w:color w:val="auto"/>
        </w:rPr>
        <w:t>：</w:t>
      </w:r>
      <w:r>
        <w:rPr>
          <w:color w:val="auto"/>
        </w:rPr>
        <w:t>峰子涧支沟是十里河的支流，发源于左云县店湾镇台子山村，干流全长18km，流域总面积69.8km</w:t>
      </w:r>
      <w:r>
        <w:rPr>
          <w:color w:val="auto"/>
          <w:vertAlign w:val="superscript"/>
        </w:rPr>
        <w:t>2</w:t>
      </w:r>
      <w:r>
        <w:rPr>
          <w:color w:val="auto"/>
        </w:rPr>
        <w:t>。流经云冈区境内流长12.3km（高山镇窑洞村</w:t>
      </w:r>
      <w:r>
        <w:rPr>
          <w:rFonts w:hint="eastAsia"/>
          <w:color w:val="auto"/>
          <w:kern w:val="0"/>
        </w:rPr>
        <w:t>～</w:t>
      </w:r>
      <w:r>
        <w:rPr>
          <w:color w:val="auto"/>
        </w:rPr>
        <w:t>东店湾村），流域面积56.1km</w:t>
      </w:r>
      <w:r>
        <w:rPr>
          <w:color w:val="auto"/>
          <w:vertAlign w:val="superscript"/>
        </w:rPr>
        <w:t>2</w:t>
      </w:r>
      <w:r>
        <w:rPr>
          <w:color w:val="auto"/>
        </w:rPr>
        <w:t>。</w:t>
      </w:r>
    </w:p>
    <w:p w14:paraId="09802B15">
      <w:pPr>
        <w:pStyle w:val="34"/>
        <w:rPr>
          <w:color w:val="auto"/>
        </w:rPr>
      </w:pPr>
      <w:bookmarkStart w:id="10" w:name="_Toc213413163"/>
      <w:r>
        <w:rPr>
          <w:color w:val="auto"/>
        </w:rPr>
        <w:t>5</w:t>
      </w:r>
      <w:r>
        <w:rPr>
          <w:rFonts w:hint="eastAsia"/>
          <w:color w:val="auto"/>
        </w:rPr>
        <w:t>、文物古迹</w:t>
      </w:r>
      <w:bookmarkEnd w:id="10"/>
    </w:p>
    <w:p w14:paraId="2147C019">
      <w:pPr>
        <w:pStyle w:val="34"/>
        <w:rPr>
          <w:color w:val="auto"/>
        </w:rPr>
      </w:pPr>
      <w:r>
        <w:rPr>
          <w:rFonts w:hint="eastAsia"/>
          <w:color w:val="auto"/>
        </w:rPr>
        <w:t>云冈区有不可移动文物</w:t>
      </w:r>
      <w:r>
        <w:rPr>
          <w:color w:val="auto"/>
        </w:rPr>
        <w:t>148处</w:t>
      </w:r>
      <w:r>
        <w:rPr>
          <w:rFonts w:hint="eastAsia"/>
          <w:color w:val="auto"/>
        </w:rPr>
        <w:t>。</w:t>
      </w:r>
      <w:r>
        <w:rPr>
          <w:color w:val="auto"/>
        </w:rPr>
        <w:t>其中：古遗51处；古墓葬12处；古建筑61处；古窟寺及石刻5处；近现代重要史迹19处。其中：有全国重点文物保护单位3处（云冈石窟、禅房寺砖塔、“万人坑”遗址</w:t>
      </w:r>
      <w:r>
        <w:rPr>
          <w:rFonts w:hint="eastAsia"/>
          <w:color w:val="auto"/>
        </w:rPr>
        <w:t>纪</w:t>
      </w:r>
      <w:r>
        <w:rPr>
          <w:color w:val="auto"/>
        </w:rPr>
        <w:t>念馆），省级文物保护单位28处（烽火台有22处），市级文物保护单位14处，区级文物保护单位9处，一般和未定级文物保护单位94处</w:t>
      </w:r>
      <w:r>
        <w:rPr>
          <w:rFonts w:hint="eastAsia"/>
          <w:color w:val="auto"/>
        </w:rPr>
        <w:t>。</w:t>
      </w:r>
    </w:p>
    <w:p w14:paraId="5CD12750">
      <w:pPr>
        <w:pStyle w:val="34"/>
        <w:rPr>
          <w:color w:val="auto"/>
        </w:rPr>
      </w:pPr>
      <w:bookmarkStart w:id="11" w:name="_Toc213413164"/>
      <w:r>
        <w:rPr>
          <w:color w:val="auto"/>
        </w:rPr>
        <w:t>6</w:t>
      </w:r>
      <w:r>
        <w:rPr>
          <w:rFonts w:hint="eastAsia"/>
          <w:color w:val="auto"/>
        </w:rPr>
        <w:t>、人口及社会经济状况</w:t>
      </w:r>
      <w:bookmarkEnd w:id="11"/>
    </w:p>
    <w:p w14:paraId="58047517">
      <w:pPr>
        <w:pStyle w:val="34"/>
        <w:rPr>
          <w:color w:val="auto"/>
        </w:rPr>
      </w:pPr>
      <w:r>
        <w:rPr>
          <w:color w:val="auto"/>
        </w:rPr>
        <w:t>2024年年底全区常住人口667746人，其中城镇常住人口588546人，农村常住人口79200人。</w:t>
      </w:r>
    </w:p>
    <w:p w14:paraId="086A10CB">
      <w:pPr>
        <w:pStyle w:val="34"/>
        <w:rPr>
          <w:color w:val="auto"/>
        </w:rPr>
      </w:pPr>
      <w:r>
        <w:rPr>
          <w:color w:val="auto"/>
        </w:rPr>
        <w:t>2024年全年城镇居民人均可支配收入45090元，同比增长4．2％；农村居民人均可支配收入24679元，同比增长5．0％。</w:t>
      </w:r>
    </w:p>
    <w:p w14:paraId="319701BA">
      <w:pPr>
        <w:pStyle w:val="34"/>
        <w:rPr>
          <w:color w:val="auto"/>
        </w:rPr>
        <w:sectPr>
          <w:footerReference r:id="rId5" w:type="default"/>
          <w:pgSz w:w="11906" w:h="16838"/>
          <w:pgMar w:top="1440" w:right="1701" w:bottom="1440" w:left="1701" w:header="851" w:footer="992" w:gutter="0"/>
          <w:pgNumType w:start="1"/>
          <w:cols w:space="425" w:num="1"/>
          <w:docGrid w:type="lines" w:linePitch="312" w:charSpace="0"/>
        </w:sectPr>
      </w:pPr>
    </w:p>
    <w:p w14:paraId="4DAB94A8">
      <w:pPr>
        <w:pStyle w:val="30"/>
        <w:rPr>
          <w:color w:val="auto"/>
        </w:rPr>
      </w:pPr>
      <w:bookmarkStart w:id="12" w:name="_Toc213413165"/>
      <w:r>
        <w:rPr>
          <w:rFonts w:hint="eastAsia"/>
          <w:color w:val="auto"/>
        </w:rPr>
        <w:t>1总则</w:t>
      </w:r>
      <w:bookmarkEnd w:id="12"/>
    </w:p>
    <w:p w14:paraId="1E700F82">
      <w:pPr>
        <w:pStyle w:val="31"/>
        <w:rPr>
          <w:color w:val="auto"/>
        </w:rPr>
      </w:pPr>
      <w:bookmarkStart w:id="13" w:name="_Toc213413166"/>
      <w:r>
        <w:rPr>
          <w:color w:val="auto"/>
        </w:rPr>
        <w:t>1.1编制目的</w:t>
      </w:r>
      <w:bookmarkEnd w:id="13"/>
    </w:p>
    <w:p w14:paraId="094F5ADB">
      <w:pPr>
        <w:pStyle w:val="34"/>
        <w:rPr>
          <w:color w:val="auto"/>
        </w:rPr>
      </w:pPr>
      <w:r>
        <w:rPr>
          <w:rFonts w:hint="eastAsia"/>
          <w:color w:val="auto"/>
        </w:rPr>
        <w:t>为健全大同市云冈区突发环境事件应对工作机制，</w:t>
      </w:r>
      <w:r>
        <w:rPr>
          <w:rFonts w:hint="eastAsia" w:cs="仿宋"/>
          <w:color w:val="auto"/>
        </w:rPr>
        <w:t>科学有序、高效应</w:t>
      </w:r>
      <w:r>
        <w:rPr>
          <w:rFonts w:hint="eastAsia"/>
          <w:color w:val="auto"/>
        </w:rPr>
        <w:t>对突发环境事件，最大程度地控制、减轻和消除突然环境事件的风险和危害，减少事件可能造成的损失，保护人民生命财产安全，维护社会稳定，保障经济发展，特制定本预案。</w:t>
      </w:r>
    </w:p>
    <w:p w14:paraId="293D4615">
      <w:pPr>
        <w:pStyle w:val="31"/>
        <w:rPr>
          <w:color w:val="auto"/>
        </w:rPr>
      </w:pPr>
      <w:bookmarkStart w:id="14" w:name="_Toc213413167"/>
      <w:r>
        <w:rPr>
          <w:rFonts w:hint="eastAsia"/>
          <w:color w:val="auto"/>
        </w:rPr>
        <w:t>1</w:t>
      </w:r>
      <w:r>
        <w:rPr>
          <w:color w:val="auto"/>
        </w:rPr>
        <w:t>.2</w:t>
      </w:r>
      <w:r>
        <w:rPr>
          <w:rFonts w:hint="eastAsia"/>
          <w:color w:val="auto"/>
        </w:rPr>
        <w:t>编制依据</w:t>
      </w:r>
      <w:bookmarkEnd w:id="14"/>
    </w:p>
    <w:p w14:paraId="0ABD2C47">
      <w:pPr>
        <w:pStyle w:val="34"/>
        <w:rPr>
          <w:color w:val="auto"/>
        </w:rPr>
      </w:pPr>
      <w:r>
        <w:rPr>
          <w:rFonts w:hint="eastAsia"/>
          <w:color w:val="auto"/>
        </w:rPr>
        <w:t>（1）《中华人民共和国突发事件应对法》（2</w:t>
      </w:r>
      <w:r>
        <w:rPr>
          <w:color w:val="auto"/>
        </w:rPr>
        <w:t>024</w:t>
      </w:r>
      <w:r>
        <w:rPr>
          <w:rFonts w:hint="eastAsia"/>
          <w:color w:val="auto"/>
        </w:rPr>
        <w:t>年1</w:t>
      </w:r>
      <w:r>
        <w:rPr>
          <w:color w:val="auto"/>
        </w:rPr>
        <w:t>1</w:t>
      </w:r>
      <w:r>
        <w:rPr>
          <w:rFonts w:hint="eastAsia"/>
          <w:color w:val="auto"/>
        </w:rPr>
        <w:t>月</w:t>
      </w:r>
      <w:r>
        <w:rPr>
          <w:color w:val="auto"/>
        </w:rPr>
        <w:t>1</w:t>
      </w:r>
      <w:r>
        <w:rPr>
          <w:rFonts w:hint="eastAsia"/>
          <w:color w:val="auto"/>
        </w:rPr>
        <w:t>日起实施）；</w:t>
      </w:r>
    </w:p>
    <w:p w14:paraId="07F91226">
      <w:pPr>
        <w:pStyle w:val="34"/>
        <w:rPr>
          <w:color w:val="auto"/>
        </w:rPr>
      </w:pPr>
      <w:r>
        <w:rPr>
          <w:rFonts w:hint="eastAsia"/>
          <w:color w:val="auto"/>
        </w:rPr>
        <w:t>（2）《中华人民共和国环境保护法》（</w:t>
      </w:r>
      <w:r>
        <w:rPr>
          <w:color w:val="auto"/>
        </w:rPr>
        <w:t>2015年1月1日</w:t>
      </w:r>
      <w:r>
        <w:rPr>
          <w:rFonts w:hint="eastAsia"/>
          <w:color w:val="auto"/>
        </w:rPr>
        <w:t>起实施）</w:t>
      </w:r>
      <w:r>
        <w:rPr>
          <w:color w:val="auto"/>
        </w:rPr>
        <w:t>；</w:t>
      </w:r>
    </w:p>
    <w:p w14:paraId="1154D65E">
      <w:pPr>
        <w:pStyle w:val="34"/>
        <w:rPr>
          <w:color w:val="auto"/>
        </w:rPr>
      </w:pPr>
      <w:r>
        <w:rPr>
          <w:rFonts w:hint="eastAsia"/>
          <w:color w:val="auto"/>
        </w:rPr>
        <w:t>（3）《</w:t>
      </w:r>
      <w:bookmarkStart w:id="15" w:name="OLE_LINK48"/>
      <w:bookmarkStart w:id="16" w:name="OLE_LINK54"/>
      <w:bookmarkStart w:id="17" w:name="OLE_LINK5"/>
      <w:bookmarkStart w:id="18" w:name="OLE_LINK100"/>
      <w:bookmarkStart w:id="19" w:name="OLE_LINK47"/>
      <w:bookmarkStart w:id="20" w:name="OLE_LINK103"/>
      <w:r>
        <w:rPr>
          <w:rFonts w:hint="eastAsia"/>
          <w:color w:val="auto"/>
        </w:rPr>
        <w:t>国家突发环境事件应急预案</w:t>
      </w:r>
      <w:bookmarkEnd w:id="15"/>
      <w:bookmarkEnd w:id="16"/>
      <w:bookmarkEnd w:id="17"/>
      <w:bookmarkEnd w:id="18"/>
      <w:bookmarkEnd w:id="19"/>
      <w:bookmarkEnd w:id="20"/>
      <w:r>
        <w:rPr>
          <w:rFonts w:hint="eastAsia"/>
          <w:color w:val="auto"/>
        </w:rPr>
        <w:t>》（2</w:t>
      </w:r>
      <w:r>
        <w:rPr>
          <w:color w:val="auto"/>
        </w:rPr>
        <w:t>014</w:t>
      </w:r>
      <w:r>
        <w:rPr>
          <w:rFonts w:hint="eastAsia"/>
          <w:color w:val="auto"/>
        </w:rPr>
        <w:t>年1</w:t>
      </w:r>
      <w:r>
        <w:rPr>
          <w:color w:val="auto"/>
        </w:rPr>
        <w:t>2</w:t>
      </w:r>
      <w:r>
        <w:rPr>
          <w:rFonts w:hint="eastAsia"/>
          <w:color w:val="auto"/>
        </w:rPr>
        <w:t>月2</w:t>
      </w:r>
      <w:r>
        <w:rPr>
          <w:color w:val="auto"/>
        </w:rPr>
        <w:t>9</w:t>
      </w:r>
      <w:r>
        <w:rPr>
          <w:rFonts w:hint="eastAsia"/>
          <w:color w:val="auto"/>
        </w:rPr>
        <w:t>日起实施）；</w:t>
      </w:r>
    </w:p>
    <w:p w14:paraId="417F8F07">
      <w:pPr>
        <w:pStyle w:val="34"/>
        <w:rPr>
          <w:color w:val="auto"/>
        </w:rPr>
      </w:pPr>
      <w:r>
        <w:rPr>
          <w:rFonts w:hint="eastAsia"/>
          <w:color w:val="auto"/>
        </w:rPr>
        <w:t>（4）《突发环境事件应急预案管理办法》（</w:t>
      </w:r>
      <w:r>
        <w:rPr>
          <w:color w:val="auto"/>
        </w:rPr>
        <w:t>2015年6月5日</w:t>
      </w:r>
      <w:r>
        <w:rPr>
          <w:rFonts w:hint="eastAsia"/>
          <w:color w:val="auto"/>
        </w:rPr>
        <w:t>起实施）；</w:t>
      </w:r>
    </w:p>
    <w:p w14:paraId="57C009A6">
      <w:pPr>
        <w:pStyle w:val="34"/>
        <w:rPr>
          <w:color w:val="auto"/>
        </w:rPr>
      </w:pPr>
      <w:r>
        <w:rPr>
          <w:rFonts w:hint="eastAsia"/>
          <w:color w:val="auto"/>
        </w:rPr>
        <w:t>（5）《</w:t>
      </w:r>
      <w:bookmarkStart w:id="21" w:name="OLE_LINK55"/>
      <w:bookmarkStart w:id="22" w:name="OLE_LINK104"/>
      <w:bookmarkStart w:id="23" w:name="OLE_LINK44"/>
      <w:r>
        <w:rPr>
          <w:rFonts w:hint="eastAsia"/>
          <w:color w:val="auto"/>
        </w:rPr>
        <w:t>突发环境事件信息报告办法</w:t>
      </w:r>
      <w:bookmarkEnd w:id="21"/>
      <w:bookmarkEnd w:id="22"/>
      <w:bookmarkEnd w:id="23"/>
      <w:r>
        <w:rPr>
          <w:rFonts w:hint="eastAsia"/>
          <w:color w:val="auto"/>
        </w:rPr>
        <w:t>》（</w:t>
      </w:r>
      <w:r>
        <w:rPr>
          <w:color w:val="auto"/>
        </w:rPr>
        <w:t>2011年5月1日</w:t>
      </w:r>
      <w:r>
        <w:rPr>
          <w:rFonts w:hint="eastAsia"/>
          <w:color w:val="auto"/>
        </w:rPr>
        <w:t>起实施）；</w:t>
      </w:r>
    </w:p>
    <w:p w14:paraId="2FCB08B9">
      <w:pPr>
        <w:pStyle w:val="34"/>
        <w:rPr>
          <w:color w:val="auto"/>
        </w:rPr>
      </w:pPr>
      <w:r>
        <w:rPr>
          <w:rFonts w:hint="eastAsia"/>
          <w:color w:val="auto"/>
        </w:rPr>
        <w:t>（</w:t>
      </w:r>
      <w:r>
        <w:rPr>
          <w:color w:val="auto"/>
        </w:rPr>
        <w:t>6</w:t>
      </w:r>
      <w:r>
        <w:rPr>
          <w:rFonts w:hint="eastAsia"/>
          <w:color w:val="auto"/>
        </w:rPr>
        <w:t>）《</w:t>
      </w:r>
      <w:bookmarkStart w:id="24" w:name="OLE_LINK19"/>
      <w:bookmarkStart w:id="25" w:name="OLE_LINK68"/>
      <w:bookmarkStart w:id="26" w:name="OLE_LINK20"/>
      <w:r>
        <w:rPr>
          <w:rFonts w:hint="eastAsia"/>
          <w:color w:val="auto"/>
        </w:rPr>
        <w:t>突发环境事件调查处理办法</w:t>
      </w:r>
      <w:bookmarkEnd w:id="24"/>
      <w:bookmarkEnd w:id="25"/>
      <w:bookmarkEnd w:id="26"/>
      <w:r>
        <w:rPr>
          <w:rFonts w:hint="eastAsia"/>
          <w:color w:val="auto"/>
        </w:rPr>
        <w:t>》（</w:t>
      </w:r>
      <w:r>
        <w:rPr>
          <w:color w:val="auto"/>
        </w:rPr>
        <w:t>2015年3月1日起施行</w:t>
      </w:r>
      <w:r>
        <w:rPr>
          <w:rFonts w:hint="eastAsia"/>
          <w:color w:val="auto"/>
        </w:rPr>
        <w:t>）；</w:t>
      </w:r>
    </w:p>
    <w:p w14:paraId="0D5666BC">
      <w:pPr>
        <w:pStyle w:val="34"/>
        <w:rPr>
          <w:color w:val="auto"/>
        </w:rPr>
      </w:pPr>
      <w:r>
        <w:rPr>
          <w:rFonts w:hint="eastAsia"/>
          <w:color w:val="auto"/>
        </w:rPr>
        <w:t>（7）《</w:t>
      </w:r>
      <w:bookmarkStart w:id="27" w:name="OLE_LINK59"/>
      <w:bookmarkStart w:id="28" w:name="OLE_LINK39"/>
      <w:bookmarkStart w:id="29" w:name="OLE_LINK40"/>
      <w:r>
        <w:rPr>
          <w:rFonts w:hint="eastAsia"/>
          <w:color w:val="auto"/>
        </w:rPr>
        <w:t>山西省突发事件应对条例</w:t>
      </w:r>
      <w:bookmarkEnd w:id="27"/>
      <w:bookmarkEnd w:id="28"/>
      <w:bookmarkEnd w:id="29"/>
      <w:r>
        <w:rPr>
          <w:rFonts w:hint="eastAsia"/>
          <w:color w:val="auto"/>
        </w:rPr>
        <w:t>》（2</w:t>
      </w:r>
      <w:r>
        <w:rPr>
          <w:color w:val="auto"/>
        </w:rPr>
        <w:t>012</w:t>
      </w:r>
      <w:r>
        <w:rPr>
          <w:rFonts w:hint="eastAsia"/>
          <w:color w:val="auto"/>
        </w:rPr>
        <w:t>年6月1日起实施）；</w:t>
      </w:r>
    </w:p>
    <w:p w14:paraId="69B16F06">
      <w:pPr>
        <w:pStyle w:val="34"/>
        <w:rPr>
          <w:color w:val="auto"/>
        </w:rPr>
      </w:pPr>
      <w:r>
        <w:rPr>
          <w:rFonts w:hint="eastAsia"/>
          <w:color w:val="auto"/>
        </w:rPr>
        <w:t>（8）《</w:t>
      </w:r>
      <w:bookmarkStart w:id="30" w:name="OLE_LINK41"/>
      <w:bookmarkStart w:id="31" w:name="OLE_LINK49"/>
      <w:bookmarkStart w:id="32" w:name="OLE_LINK42"/>
      <w:r>
        <w:rPr>
          <w:rFonts w:hint="eastAsia"/>
          <w:color w:val="auto"/>
        </w:rPr>
        <w:t>山西省突发事件应急管理办法</w:t>
      </w:r>
      <w:bookmarkEnd w:id="30"/>
      <w:bookmarkEnd w:id="31"/>
      <w:bookmarkEnd w:id="32"/>
      <w:r>
        <w:rPr>
          <w:rFonts w:hint="eastAsia"/>
          <w:color w:val="auto"/>
        </w:rPr>
        <w:t>》（</w:t>
      </w:r>
      <w:r>
        <w:rPr>
          <w:rFonts w:hint="eastAsia"/>
          <w:color w:val="auto"/>
          <w:szCs w:val="32"/>
          <w:shd w:val="clear" w:color="auto" w:fill="FFFFFF"/>
        </w:rPr>
        <w:t>2024年6月7日实施</w:t>
      </w:r>
      <w:r>
        <w:rPr>
          <w:rFonts w:hint="eastAsia"/>
          <w:color w:val="auto"/>
        </w:rPr>
        <w:t>）；</w:t>
      </w:r>
    </w:p>
    <w:p w14:paraId="3BF8355C">
      <w:pPr>
        <w:pStyle w:val="34"/>
        <w:rPr>
          <w:color w:val="auto"/>
        </w:rPr>
      </w:pPr>
      <w:r>
        <w:rPr>
          <w:rFonts w:hint="eastAsia"/>
          <w:color w:val="auto"/>
        </w:rPr>
        <w:t>（9）</w:t>
      </w:r>
      <w:bookmarkStart w:id="33" w:name="OLE_LINK98"/>
      <w:bookmarkStart w:id="34" w:name="OLE_LINK99"/>
      <w:r>
        <w:rPr>
          <w:rFonts w:hint="eastAsia"/>
          <w:color w:val="auto"/>
        </w:rPr>
        <w:t>山西省人民政府办公厅关于印发《山西省突发环境事件应急预案》的通知（晋政办发〔</w:t>
      </w:r>
      <w:r>
        <w:rPr>
          <w:color w:val="auto"/>
        </w:rPr>
        <w:t>2020</w:t>
      </w:r>
      <w:r>
        <w:rPr>
          <w:rFonts w:hint="eastAsia"/>
          <w:color w:val="auto"/>
        </w:rPr>
        <w:t>〕</w:t>
      </w:r>
      <w:r>
        <w:rPr>
          <w:color w:val="auto"/>
        </w:rPr>
        <w:t>104</w:t>
      </w:r>
      <w:r>
        <w:rPr>
          <w:rFonts w:hint="eastAsia"/>
          <w:color w:val="auto"/>
        </w:rPr>
        <w:t>号）；</w:t>
      </w:r>
      <w:bookmarkEnd w:id="33"/>
      <w:bookmarkEnd w:id="34"/>
    </w:p>
    <w:p w14:paraId="72C60E9C">
      <w:pPr>
        <w:pStyle w:val="34"/>
        <w:rPr>
          <w:color w:val="auto"/>
        </w:rPr>
      </w:pPr>
      <w:r>
        <w:rPr>
          <w:rFonts w:hint="eastAsia"/>
          <w:color w:val="auto"/>
        </w:rPr>
        <w:t>（</w:t>
      </w:r>
      <w:r>
        <w:rPr>
          <w:color w:val="auto"/>
        </w:rPr>
        <w:t>10</w:t>
      </w:r>
      <w:r>
        <w:rPr>
          <w:rFonts w:hint="eastAsia"/>
          <w:color w:val="auto"/>
        </w:rPr>
        <w:t>）</w:t>
      </w:r>
      <w:bookmarkStart w:id="35" w:name="OLE_LINK11"/>
      <w:bookmarkStart w:id="36" w:name="OLE_LINK6"/>
      <w:r>
        <w:rPr>
          <w:rFonts w:hint="eastAsia"/>
          <w:color w:val="auto"/>
        </w:rPr>
        <w:t>《</w:t>
      </w:r>
      <w:bookmarkStart w:id="37" w:name="OLE_LINK45"/>
      <w:bookmarkStart w:id="38" w:name="OLE_LINK46"/>
      <w:r>
        <w:rPr>
          <w:rFonts w:hint="eastAsia"/>
          <w:color w:val="auto"/>
        </w:rPr>
        <w:t>大同市突发事件应急预案管理办法</w:t>
      </w:r>
      <w:bookmarkEnd w:id="37"/>
      <w:bookmarkEnd w:id="38"/>
      <w:r>
        <w:rPr>
          <w:rFonts w:hint="eastAsia"/>
          <w:color w:val="auto"/>
        </w:rPr>
        <w:t>》（2</w:t>
      </w:r>
      <w:r>
        <w:rPr>
          <w:color w:val="auto"/>
        </w:rPr>
        <w:t>025</w:t>
      </w:r>
      <w:r>
        <w:rPr>
          <w:rFonts w:hint="eastAsia"/>
          <w:color w:val="auto"/>
        </w:rPr>
        <w:t>年4月1</w:t>
      </w:r>
      <w:r>
        <w:rPr>
          <w:color w:val="auto"/>
        </w:rPr>
        <w:t>5</w:t>
      </w:r>
      <w:r>
        <w:rPr>
          <w:rFonts w:hint="eastAsia"/>
          <w:color w:val="auto"/>
        </w:rPr>
        <w:t>日实施）。</w:t>
      </w:r>
      <w:bookmarkEnd w:id="35"/>
      <w:bookmarkEnd w:id="36"/>
    </w:p>
    <w:p w14:paraId="619EAA2F">
      <w:pPr>
        <w:pStyle w:val="31"/>
        <w:rPr>
          <w:color w:val="auto"/>
        </w:rPr>
      </w:pPr>
      <w:bookmarkStart w:id="39" w:name="_Toc213413168"/>
      <w:r>
        <w:rPr>
          <w:rFonts w:hint="eastAsia"/>
          <w:color w:val="auto"/>
        </w:rPr>
        <w:t>1</w:t>
      </w:r>
      <w:r>
        <w:rPr>
          <w:color w:val="auto"/>
        </w:rPr>
        <w:t>.3</w:t>
      </w:r>
      <w:r>
        <w:rPr>
          <w:rFonts w:hint="eastAsia"/>
          <w:color w:val="auto"/>
        </w:rPr>
        <w:t>工作原则</w:t>
      </w:r>
      <w:bookmarkEnd w:id="39"/>
    </w:p>
    <w:p w14:paraId="08403BAE">
      <w:pPr>
        <w:pStyle w:val="34"/>
        <w:rPr>
          <w:color w:val="auto"/>
        </w:rPr>
      </w:pPr>
      <w:r>
        <w:rPr>
          <w:rFonts w:hint="eastAsia"/>
          <w:color w:val="auto"/>
        </w:rPr>
        <w:t>（1）以人为本，预防为主。</w:t>
      </w:r>
    </w:p>
    <w:p w14:paraId="6202773C">
      <w:pPr>
        <w:pStyle w:val="34"/>
        <w:rPr>
          <w:color w:val="auto"/>
        </w:rPr>
      </w:pPr>
      <w:r>
        <w:rPr>
          <w:rFonts w:hint="eastAsia"/>
          <w:color w:val="auto"/>
        </w:rPr>
        <w:t>加强对环境污染危险源的监测，监控并实施监督管理，建立突发环境事件风险防范体系，积极预防、及时控制、消除隐患，提高防范和处理突发环境事件的能力，尽可能的避免或减少突发环境事件的发生，消除或减轻突发环境事件造成的影响，最大程度的保障公众健康，保护人民群众生命财产安全。</w:t>
      </w:r>
    </w:p>
    <w:p w14:paraId="620A4F1C">
      <w:pPr>
        <w:pStyle w:val="34"/>
        <w:rPr>
          <w:color w:val="auto"/>
        </w:rPr>
      </w:pPr>
      <w:r>
        <w:rPr>
          <w:rFonts w:hint="eastAsia"/>
          <w:color w:val="auto"/>
        </w:rPr>
        <w:t>（2）统一领导、分级负责。</w:t>
      </w:r>
    </w:p>
    <w:p w14:paraId="0FB69EE5">
      <w:pPr>
        <w:pStyle w:val="34"/>
        <w:rPr>
          <w:color w:val="auto"/>
        </w:rPr>
      </w:pPr>
      <w:r>
        <w:rPr>
          <w:rFonts w:hint="eastAsia"/>
          <w:color w:val="auto"/>
        </w:rPr>
        <w:t>在云冈区突发环境事件应急指挥部的统一领导下，建立健全应急机制，落实应急职责，各部门协同配合，做好应对突发环境事件的各项准备工作。</w:t>
      </w:r>
    </w:p>
    <w:p w14:paraId="73E8C2F1">
      <w:pPr>
        <w:pStyle w:val="34"/>
        <w:rPr>
          <w:color w:val="auto"/>
        </w:rPr>
      </w:pPr>
      <w:r>
        <w:rPr>
          <w:rFonts w:hint="eastAsia"/>
          <w:color w:val="auto"/>
        </w:rPr>
        <w:t>（3）属地为主、协调联动。</w:t>
      </w:r>
    </w:p>
    <w:p w14:paraId="01E29818">
      <w:pPr>
        <w:pStyle w:val="34"/>
        <w:rPr>
          <w:color w:val="auto"/>
        </w:rPr>
      </w:pPr>
      <w:r>
        <w:rPr>
          <w:rFonts w:hint="eastAsia"/>
          <w:color w:val="auto"/>
        </w:rPr>
        <w:t>依据国家现有的法律、法规、标准，建立健全分类管理、分级响应、条块结合的应急管理体制，使应急工作法制化、制度化、规范化。一旦发生突发环境事件，企业必须立即采取措施控制事态发展，实行企业自救与政府协助救援，并及时向地方政府和主管部门报告，迅速采取措施，第一时间对突发环境事件进行现场评估，先期处置，控制事态、减轻后果。</w:t>
      </w:r>
    </w:p>
    <w:p w14:paraId="4C200FD6">
      <w:pPr>
        <w:pStyle w:val="34"/>
        <w:rPr>
          <w:color w:val="auto"/>
        </w:rPr>
      </w:pPr>
      <w:r>
        <w:rPr>
          <w:rFonts w:hint="eastAsia"/>
          <w:color w:val="auto"/>
        </w:rPr>
        <w:t>（4）快速反应，科学处置。</w:t>
      </w:r>
    </w:p>
    <w:p w14:paraId="51BA6BF4">
      <w:pPr>
        <w:pStyle w:val="34"/>
        <w:rPr>
          <w:color w:val="auto"/>
        </w:rPr>
      </w:pPr>
      <w:r>
        <w:rPr>
          <w:rFonts w:hint="eastAsia"/>
          <w:color w:val="auto"/>
        </w:rPr>
        <w:t>突发环境事件发生时，能够迅速启动应急机制，采取科学有效的措施，控制事故发展，降低事故损失，确保各项措施落实到位。</w:t>
      </w:r>
    </w:p>
    <w:p w14:paraId="4BD4ABEF">
      <w:pPr>
        <w:pStyle w:val="34"/>
        <w:rPr>
          <w:color w:val="auto"/>
        </w:rPr>
      </w:pPr>
      <w:r>
        <w:rPr>
          <w:rFonts w:hint="eastAsia"/>
          <w:color w:val="auto"/>
        </w:rPr>
        <w:t>（5）资源共享，保障有力。</w:t>
      </w:r>
    </w:p>
    <w:p w14:paraId="20C3BDF2">
      <w:pPr>
        <w:pStyle w:val="34"/>
        <w:rPr>
          <w:color w:val="auto"/>
        </w:rPr>
      </w:pPr>
      <w:r>
        <w:rPr>
          <w:rFonts w:hint="eastAsia"/>
          <w:color w:val="auto"/>
        </w:rPr>
        <w:t>落实领导责任制，切实履行各部门监督、协调、服务职能，使措施与事故造成的危害范围和社会影响相适应。将日常管理工作和应急救援工作相结合，加强应急技能培训，提高应对突发环境事件的综合素质。建立健全区域联防、联动机制，充分利用政府、企业、社会等各方面的资源，确保应急物资、装备、技术、人才等方面的供应，当发生突发环境事件时能够对事发企业进行援助，最大限度地发挥区域应急能力。</w:t>
      </w:r>
    </w:p>
    <w:p w14:paraId="5C039AA3">
      <w:pPr>
        <w:pStyle w:val="31"/>
        <w:rPr>
          <w:color w:val="auto"/>
        </w:rPr>
      </w:pPr>
      <w:bookmarkStart w:id="40" w:name="_Toc213413169"/>
      <w:r>
        <w:rPr>
          <w:color w:val="auto"/>
        </w:rPr>
        <w:t>1.4适用范围</w:t>
      </w:r>
      <w:bookmarkEnd w:id="40"/>
    </w:p>
    <w:p w14:paraId="74A55EC7">
      <w:pPr>
        <w:pStyle w:val="34"/>
        <w:rPr>
          <w:color w:val="auto"/>
        </w:rPr>
      </w:pPr>
      <w:r>
        <w:rPr>
          <w:rFonts w:hint="eastAsia"/>
          <w:color w:val="auto"/>
        </w:rPr>
        <w:t>本预案适用于大同市云冈区行政区域内发生的突发环境事件应对工作。</w:t>
      </w:r>
    </w:p>
    <w:p w14:paraId="02A39E6D">
      <w:pPr>
        <w:pStyle w:val="34"/>
        <w:rPr>
          <w:color w:val="auto"/>
        </w:rPr>
      </w:pPr>
      <w:r>
        <w:rPr>
          <w:rFonts w:hint="eastAsia"/>
          <w:color w:val="auto"/>
        </w:rPr>
        <w:t>本预案所称突发环境事件，是指由于污染物排放或自然灾害、生产安全事故等因素，导致污染物等有毒有害物质进入大气、水体、土壤、地下水等环境介质，突然造成或可能造成环境质量下降，危及公众身体健康和财产安全，或造成生态环境破坏，或造成重大社会影响，需要采取紧急措施予以应对的事件，主要包括大气污染、水体污染、土壤污染、地下水污染、固体废物污染等突发性环境污染事件。主要适用于以下各类突发环境污染事件造成环境污染的应急响应：</w:t>
      </w:r>
    </w:p>
    <w:p w14:paraId="1AAABBC4">
      <w:pPr>
        <w:pStyle w:val="34"/>
        <w:rPr>
          <w:color w:val="auto"/>
        </w:rPr>
      </w:pPr>
      <w:r>
        <w:rPr>
          <w:rFonts w:hint="eastAsia"/>
          <w:color w:val="auto"/>
        </w:rPr>
        <w:t>（1）固定源突发环境事件：可能发生突发环境事件排放污染物企事业单位，生产、储存、运输、使用危险化学品的企业，产生、收集、贮存、运输、利用、处置危险废物的企业以及尾矿库等固定源，因自然灾害、生产安全事故、违法排污等原因，导致风险物质进入</w:t>
      </w:r>
      <w:bookmarkStart w:id="41" w:name="OLE_LINK58"/>
      <w:bookmarkStart w:id="42" w:name="OLE_LINK57"/>
      <w:r>
        <w:rPr>
          <w:rFonts w:hint="eastAsia"/>
          <w:color w:val="auto"/>
        </w:rPr>
        <w:t>大气、水体、土壤等环境介质，造成环境污染的事件；</w:t>
      </w:r>
    </w:p>
    <w:bookmarkEnd w:id="41"/>
    <w:bookmarkEnd w:id="42"/>
    <w:p w14:paraId="78922FAC">
      <w:pPr>
        <w:pStyle w:val="34"/>
        <w:rPr>
          <w:color w:val="auto"/>
        </w:rPr>
      </w:pPr>
      <w:r>
        <w:rPr>
          <w:rFonts w:hint="eastAsia"/>
          <w:color w:val="auto"/>
        </w:rPr>
        <w:t>（2）流动源突发环境事件：在公路和水路运输过程中，由于交通事故等原因，导致油品、化学品或其他有毒有害物质进入大气、水体、土壤等环境介质，造成环境污染的事件；</w:t>
      </w:r>
    </w:p>
    <w:p w14:paraId="1401EA8A">
      <w:pPr>
        <w:pStyle w:val="34"/>
        <w:rPr>
          <w:color w:val="auto"/>
        </w:rPr>
      </w:pPr>
      <w:r>
        <w:rPr>
          <w:rFonts w:hint="eastAsia"/>
          <w:color w:val="auto"/>
        </w:rPr>
        <w:t>（3）非点源突发环境事件：一是暴雨冲涮畜禽养殖废物、农田或果园土壤，导致大量细菌、农药、化肥等随地表或地下径流进入水体，造成环境污染的事件；二是闸坝调控等原因导致坝前污水短期内排放造成水体水质污染的事件；</w:t>
      </w:r>
    </w:p>
    <w:p w14:paraId="15DEECF5">
      <w:pPr>
        <w:pStyle w:val="34"/>
        <w:rPr>
          <w:color w:val="auto"/>
        </w:rPr>
      </w:pPr>
      <w:r>
        <w:rPr>
          <w:rFonts w:hint="eastAsia"/>
          <w:color w:val="auto"/>
        </w:rPr>
        <w:t>（4）水体的水华灾害事件；</w:t>
      </w:r>
    </w:p>
    <w:p w14:paraId="4DFF7C89">
      <w:pPr>
        <w:pStyle w:val="34"/>
        <w:rPr>
          <w:color w:val="auto"/>
        </w:rPr>
      </w:pPr>
      <w:r>
        <w:rPr>
          <w:rFonts w:hint="eastAsia"/>
          <w:color w:val="auto"/>
        </w:rPr>
        <w:t>（</w:t>
      </w:r>
      <w:r>
        <w:rPr>
          <w:color w:val="auto"/>
        </w:rPr>
        <w:t>5</w:t>
      </w:r>
      <w:r>
        <w:rPr>
          <w:rFonts w:hint="eastAsia"/>
          <w:color w:val="auto"/>
        </w:rPr>
        <w:t>）由于其他污染物排放或自然灾害、生产安全事故等因素，导致污染物或有毒有害物质进入大气、水体、土壤等环境介质，突然造成或可能造成环境质量下降，危及公众身体健康和财产安全，或造成生态破坏，或造成重大社会影响，需要采取紧急措施予以应对的事件。</w:t>
      </w:r>
    </w:p>
    <w:p w14:paraId="5F42985F">
      <w:pPr>
        <w:pStyle w:val="34"/>
        <w:rPr>
          <w:color w:val="auto"/>
        </w:rPr>
      </w:pPr>
      <w:r>
        <w:rPr>
          <w:rFonts w:hint="eastAsia"/>
          <w:color w:val="auto"/>
        </w:rPr>
        <w:t>区内放射性物质丢失、被盗、失控，或者放射性物质造成人员受到意外的异常照射或环境放射性污染的事件应对工作按照《辐射事故应急预案》执行。核设施及有关核活动发生的核事故所造成的辐射污染事件、船舶污染事件的应对工作按照其他相关应急规定执行。重污染天气应对工作按照《云冈区重污染天气应急预案》执行。如果有其他涉及突发环境事件的专项应急预案部门应急预案的</w:t>
      </w:r>
      <w:r>
        <w:rPr>
          <w:color w:val="auto"/>
        </w:rPr>
        <w:t>，按相关应急预案实施。</w:t>
      </w:r>
    </w:p>
    <w:p w14:paraId="7CB660AE">
      <w:pPr>
        <w:pStyle w:val="31"/>
        <w:rPr>
          <w:color w:val="auto"/>
        </w:rPr>
      </w:pPr>
      <w:bookmarkStart w:id="43" w:name="_Toc213413170"/>
      <w:r>
        <w:rPr>
          <w:rFonts w:hint="eastAsia"/>
          <w:color w:val="auto"/>
        </w:rPr>
        <w:t>1</w:t>
      </w:r>
      <w:r>
        <w:rPr>
          <w:color w:val="auto"/>
        </w:rPr>
        <w:t>.5</w:t>
      </w:r>
      <w:r>
        <w:rPr>
          <w:rFonts w:hint="eastAsia"/>
          <w:color w:val="auto"/>
        </w:rPr>
        <w:t>预案体系</w:t>
      </w:r>
      <w:bookmarkEnd w:id="43"/>
    </w:p>
    <w:p w14:paraId="65C3E913">
      <w:pPr>
        <w:pStyle w:val="36"/>
      </w:pPr>
      <w:bookmarkStart w:id="44" w:name="_Toc213413171"/>
      <w:r>
        <w:t>1.5.1与上位应急预案的衔接</w:t>
      </w:r>
      <w:bookmarkEnd w:id="44"/>
    </w:p>
    <w:p w14:paraId="37A756D1">
      <w:pPr>
        <w:pStyle w:val="34"/>
        <w:rPr>
          <w:color w:val="auto"/>
        </w:rPr>
      </w:pPr>
      <w:r>
        <w:rPr>
          <w:rFonts w:hint="eastAsia"/>
          <w:color w:val="auto"/>
        </w:rPr>
        <w:t>本预案规定了云冈区环境应急组织机构、危险源预防与预警措施及应急响应，为云冈区突发环境事件应急管理提出具体的要求。该应急预案以大同市突发环境事件应急预案为指导，在应急小组职责、预案内容以及预警程序等方面均与大同市应急预案有机衔接，确保该应急预案与大同市应急预案协调联动。同时本预案严格落实《山西省突发事件应对条例》第</w:t>
      </w:r>
      <w:r>
        <w:rPr>
          <w:color w:val="auto"/>
        </w:rPr>
        <w:t>12条关于风险评估与应急资源调查的要求，确保省级法规在云冈区层面的有效执行。</w:t>
      </w:r>
    </w:p>
    <w:p w14:paraId="49763641">
      <w:pPr>
        <w:pStyle w:val="36"/>
      </w:pPr>
      <w:bookmarkStart w:id="45" w:name="_Toc213413172"/>
      <w:r>
        <w:t>1.5.2与下位应急预案的衔接</w:t>
      </w:r>
      <w:bookmarkEnd w:id="45"/>
    </w:p>
    <w:p w14:paraId="6749DF3B">
      <w:pPr>
        <w:pStyle w:val="34"/>
        <w:rPr>
          <w:color w:val="auto"/>
        </w:rPr>
      </w:pPr>
      <w:r>
        <w:rPr>
          <w:rFonts w:hint="eastAsia"/>
          <w:color w:val="auto"/>
        </w:rPr>
        <w:t>该应急预案作为云冈区处理突发环境事件指导性文件，对行政区域内各企业编制突发环境事件应急预案也具有指导作用，各企业在修编突发环境事件应急预案时，也应该在应急小组职责、预案内容以及预警程序等方面均与本应急预案有机衔接，确保企业应急预案与本应急预案协调联动。</w:t>
      </w:r>
    </w:p>
    <w:p w14:paraId="7FB4E8AF">
      <w:pPr>
        <w:pStyle w:val="36"/>
      </w:pPr>
      <w:bookmarkStart w:id="46" w:name="_Toc213413173"/>
      <w:r>
        <w:t>1.5.3与其他专项应急预案的衔接</w:t>
      </w:r>
      <w:bookmarkEnd w:id="46"/>
    </w:p>
    <w:p w14:paraId="3E59F42D">
      <w:pPr>
        <w:pStyle w:val="34"/>
        <w:rPr>
          <w:color w:val="auto"/>
        </w:rPr>
      </w:pPr>
      <w:r>
        <w:rPr>
          <w:rFonts w:hint="eastAsia"/>
          <w:color w:val="auto"/>
        </w:rPr>
        <w:t>当发生爆炸、交通等安全事故，并且有环境污染的趋势时，需与交通、安监、应急管理等部门联动，做好与其他专项应急预案的衔接工作。</w:t>
      </w:r>
    </w:p>
    <w:p w14:paraId="3B695FC6">
      <w:pPr>
        <w:pStyle w:val="31"/>
        <w:rPr>
          <w:color w:val="auto"/>
        </w:rPr>
      </w:pPr>
      <w:bookmarkStart w:id="47" w:name="_Toc213413174"/>
      <w:r>
        <w:rPr>
          <w:color w:val="auto"/>
        </w:rPr>
        <w:t xml:space="preserve">1.6 </w:t>
      </w:r>
      <w:r>
        <w:rPr>
          <w:rFonts w:hint="eastAsia"/>
          <w:color w:val="auto"/>
        </w:rPr>
        <w:t>事件分级</w:t>
      </w:r>
      <w:bookmarkEnd w:id="47"/>
    </w:p>
    <w:p w14:paraId="737A4325">
      <w:pPr>
        <w:pStyle w:val="34"/>
        <w:rPr>
          <w:color w:val="auto"/>
        </w:rPr>
      </w:pPr>
      <w:r>
        <w:rPr>
          <w:rFonts w:hint="eastAsia"/>
          <w:color w:val="auto"/>
        </w:rPr>
        <w:t>按照事件严重程度，突发环境事件分为特别重大、重大、较大和一般四个等级。突发环境事件分级标准见附件2。</w:t>
      </w:r>
    </w:p>
    <w:p w14:paraId="122EBB34">
      <w:pPr>
        <w:pStyle w:val="34"/>
        <w:rPr>
          <w:color w:val="auto"/>
        </w:rPr>
        <w:sectPr>
          <w:pgSz w:w="11906" w:h="16838"/>
          <w:pgMar w:top="1440" w:right="1701" w:bottom="1440" w:left="1701" w:header="851" w:footer="992" w:gutter="0"/>
          <w:pgNumType w:start="1"/>
          <w:cols w:space="425" w:num="1"/>
          <w:docGrid w:type="lines" w:linePitch="312" w:charSpace="0"/>
        </w:sectPr>
      </w:pPr>
    </w:p>
    <w:p w14:paraId="0EA64307">
      <w:pPr>
        <w:pStyle w:val="30"/>
        <w:rPr>
          <w:color w:val="auto"/>
        </w:rPr>
      </w:pPr>
      <w:bookmarkStart w:id="48" w:name="_Toc213413175"/>
      <w:r>
        <w:rPr>
          <w:rFonts w:hint="eastAsia"/>
          <w:color w:val="auto"/>
        </w:rPr>
        <w:t>2应急组织指挥体系</w:t>
      </w:r>
      <w:bookmarkEnd w:id="48"/>
    </w:p>
    <w:p w14:paraId="76C75DDF">
      <w:pPr>
        <w:pStyle w:val="34"/>
        <w:rPr>
          <w:color w:val="auto"/>
        </w:rPr>
      </w:pPr>
      <w:r>
        <w:rPr>
          <w:rFonts w:hint="eastAsia"/>
          <w:color w:val="auto"/>
        </w:rPr>
        <w:t>云冈区突发环境事件应急组织指挥体系由应急指挥部及其办公室组成。</w:t>
      </w:r>
    </w:p>
    <w:p w14:paraId="0720665B">
      <w:pPr>
        <w:pStyle w:val="31"/>
        <w:rPr>
          <w:color w:val="auto"/>
        </w:rPr>
      </w:pPr>
      <w:bookmarkStart w:id="49" w:name="_Toc213413176"/>
      <w:r>
        <w:rPr>
          <w:rFonts w:hint="eastAsia"/>
          <w:color w:val="auto"/>
        </w:rPr>
        <w:t>2</w:t>
      </w:r>
      <w:r>
        <w:rPr>
          <w:color w:val="auto"/>
        </w:rPr>
        <w:t>.1指挥部</w:t>
      </w:r>
      <w:bookmarkEnd w:id="49"/>
    </w:p>
    <w:p w14:paraId="5695EE60">
      <w:pPr>
        <w:pStyle w:val="34"/>
        <w:rPr>
          <w:color w:val="auto"/>
        </w:rPr>
      </w:pPr>
      <w:r>
        <w:rPr>
          <w:rFonts w:hint="eastAsia"/>
          <w:color w:val="auto"/>
        </w:rPr>
        <w:t>云冈区政府成立区突发环境事件应急指挥部</w:t>
      </w:r>
      <w:r>
        <w:rPr>
          <w:color w:val="auto"/>
        </w:rPr>
        <w:t>（以下简称</w:t>
      </w:r>
      <w:r>
        <w:rPr>
          <w:rFonts w:hint="eastAsia"/>
          <w:color w:val="auto"/>
        </w:rPr>
        <w:t>区</w:t>
      </w:r>
      <w:r>
        <w:rPr>
          <w:color w:val="auto"/>
        </w:rPr>
        <w:t>指挥部）</w:t>
      </w:r>
      <w:r>
        <w:rPr>
          <w:rFonts w:hint="eastAsia"/>
          <w:color w:val="auto"/>
        </w:rPr>
        <w:t>。负责云冈区行政区域内Ⅳ级（一般）突发环境事件的应对工作，同时配合上级政府部门做好本行政区域内</w:t>
      </w:r>
      <w:r>
        <w:rPr>
          <w:color w:val="auto"/>
        </w:rPr>
        <w:t>III级（较大）、Ⅱ级（重大）、Ⅰ级（特别重大）突发环境事件应对工作。</w:t>
      </w:r>
    </w:p>
    <w:p w14:paraId="17C5010B">
      <w:pPr>
        <w:pStyle w:val="34"/>
        <w:rPr>
          <w:color w:val="auto"/>
        </w:rPr>
      </w:pPr>
      <w:r>
        <w:rPr>
          <w:rFonts w:hint="eastAsia"/>
          <w:color w:val="auto"/>
        </w:rPr>
        <w:t>总指挥由云冈区人民政府区长担任，副总指挥由分管应急工作的副区长担任，统一领导、组织和指挥应急处置工作。指挥部办公室设在大同市生态环境局云冈分局，大同市生态环境局云冈分局主要负责人担任办公室主任。</w:t>
      </w:r>
    </w:p>
    <w:p w14:paraId="71783971">
      <w:pPr>
        <w:pStyle w:val="34"/>
        <w:rPr>
          <w:color w:val="auto"/>
        </w:rPr>
      </w:pPr>
      <w:bookmarkStart w:id="50" w:name="OLE_LINK14"/>
      <w:bookmarkStart w:id="51" w:name="OLE_LINK13"/>
      <w:r>
        <w:rPr>
          <w:rFonts w:hint="eastAsia"/>
          <w:color w:val="auto"/>
        </w:rPr>
        <w:t>成员单位：区委宣传部、</w:t>
      </w:r>
      <w:r>
        <w:rPr>
          <w:color w:val="auto"/>
        </w:rPr>
        <w:t>区应急</w:t>
      </w:r>
      <w:r>
        <w:rPr>
          <w:rFonts w:hint="eastAsia"/>
          <w:color w:val="auto"/>
        </w:rPr>
        <w:t>管理</w:t>
      </w:r>
      <w:r>
        <w:rPr>
          <w:color w:val="auto"/>
        </w:rPr>
        <w:t>局、</w:t>
      </w:r>
      <w:r>
        <w:rPr>
          <w:rFonts w:hint="eastAsia"/>
          <w:color w:val="auto"/>
        </w:rPr>
        <w:t>区发改科技局</w:t>
      </w:r>
      <w:r>
        <w:rPr>
          <w:color w:val="auto"/>
        </w:rPr>
        <w:t>、</w:t>
      </w:r>
      <w:r>
        <w:rPr>
          <w:rFonts w:hint="eastAsia"/>
          <w:color w:val="auto"/>
        </w:rPr>
        <w:t>区</w:t>
      </w:r>
      <w:r>
        <w:rPr>
          <w:color w:val="auto"/>
        </w:rPr>
        <w:t>工信局、</w:t>
      </w:r>
      <w:bookmarkStart w:id="52" w:name="OLE_LINK77"/>
      <w:bookmarkStart w:id="53" w:name="OLE_LINK76"/>
      <w:r>
        <w:rPr>
          <w:rFonts w:hint="eastAsia"/>
          <w:color w:val="auto"/>
        </w:rPr>
        <w:t>市</w:t>
      </w:r>
      <w:r>
        <w:rPr>
          <w:color w:val="auto"/>
        </w:rPr>
        <w:t>公安局</w:t>
      </w:r>
      <w:r>
        <w:rPr>
          <w:rFonts w:hint="eastAsia"/>
          <w:color w:val="auto"/>
        </w:rPr>
        <w:t>云冈分局</w:t>
      </w:r>
      <w:bookmarkEnd w:id="52"/>
      <w:bookmarkEnd w:id="53"/>
      <w:r>
        <w:rPr>
          <w:color w:val="auto"/>
        </w:rPr>
        <w:t>、</w:t>
      </w:r>
      <w:bookmarkStart w:id="54" w:name="OLE_LINK79"/>
      <w:bookmarkStart w:id="55" w:name="OLE_LINK78"/>
      <w:r>
        <w:rPr>
          <w:rFonts w:hint="eastAsia"/>
          <w:color w:val="auto"/>
        </w:rPr>
        <w:t>区</w:t>
      </w:r>
      <w:r>
        <w:rPr>
          <w:color w:val="auto"/>
        </w:rPr>
        <w:t>财政局</w:t>
      </w:r>
      <w:bookmarkEnd w:id="54"/>
      <w:bookmarkEnd w:id="55"/>
      <w:r>
        <w:rPr>
          <w:color w:val="auto"/>
        </w:rPr>
        <w:t>、</w:t>
      </w:r>
      <w:bookmarkStart w:id="56" w:name="OLE_LINK80"/>
      <w:bookmarkStart w:id="57" w:name="OLE_LINK81"/>
      <w:r>
        <w:rPr>
          <w:rFonts w:hint="eastAsia"/>
          <w:color w:val="auto"/>
        </w:rPr>
        <w:t>区水务局</w:t>
      </w:r>
      <w:bookmarkEnd w:id="56"/>
      <w:bookmarkEnd w:id="57"/>
      <w:r>
        <w:rPr>
          <w:rFonts w:hint="eastAsia"/>
          <w:color w:val="auto"/>
        </w:rPr>
        <w:t>、</w:t>
      </w:r>
      <w:bookmarkStart w:id="58" w:name="OLE_LINK83"/>
      <w:bookmarkStart w:id="59" w:name="OLE_LINK82"/>
      <w:r>
        <w:rPr>
          <w:rFonts w:hint="eastAsia"/>
          <w:color w:val="auto"/>
        </w:rPr>
        <w:t>区农业农村局</w:t>
      </w:r>
      <w:bookmarkEnd w:id="58"/>
      <w:bookmarkEnd w:id="59"/>
      <w:r>
        <w:rPr>
          <w:rFonts w:hint="eastAsia"/>
          <w:color w:val="auto"/>
        </w:rPr>
        <w:t>、</w:t>
      </w:r>
      <w:bookmarkStart w:id="60" w:name="OLE_LINK85"/>
      <w:bookmarkStart w:id="61" w:name="OLE_LINK84"/>
      <w:r>
        <w:rPr>
          <w:color w:val="auto"/>
        </w:rPr>
        <w:t>区自然资源局</w:t>
      </w:r>
      <w:bookmarkEnd w:id="60"/>
      <w:bookmarkEnd w:id="61"/>
      <w:r>
        <w:rPr>
          <w:color w:val="auto"/>
        </w:rPr>
        <w:t>、</w:t>
      </w:r>
      <w:bookmarkStart w:id="62" w:name="OLE_LINK74"/>
      <w:bookmarkStart w:id="63" w:name="OLE_LINK75"/>
      <w:r>
        <w:rPr>
          <w:rFonts w:hint="eastAsia"/>
          <w:color w:val="auto"/>
        </w:rPr>
        <w:t>市生态环境局云冈分局</w:t>
      </w:r>
      <w:bookmarkEnd w:id="62"/>
      <w:bookmarkEnd w:id="63"/>
      <w:r>
        <w:rPr>
          <w:color w:val="auto"/>
        </w:rPr>
        <w:t>、</w:t>
      </w:r>
      <w:bookmarkStart w:id="64" w:name="OLE_LINK86"/>
      <w:bookmarkStart w:id="65" w:name="OLE_LINK87"/>
      <w:r>
        <w:rPr>
          <w:color w:val="auto"/>
        </w:rPr>
        <w:t>区住建局</w:t>
      </w:r>
      <w:bookmarkEnd w:id="64"/>
      <w:bookmarkEnd w:id="65"/>
      <w:r>
        <w:rPr>
          <w:color w:val="auto"/>
        </w:rPr>
        <w:t>、</w:t>
      </w:r>
      <w:bookmarkStart w:id="66" w:name="OLE_LINK88"/>
      <w:bookmarkStart w:id="67" w:name="OLE_LINK89"/>
      <w:r>
        <w:rPr>
          <w:color w:val="auto"/>
        </w:rPr>
        <w:t>区交通</w:t>
      </w:r>
      <w:r>
        <w:rPr>
          <w:rFonts w:hint="eastAsia"/>
          <w:color w:val="auto"/>
        </w:rPr>
        <w:t>运输</w:t>
      </w:r>
      <w:r>
        <w:rPr>
          <w:color w:val="auto"/>
        </w:rPr>
        <w:t>局</w:t>
      </w:r>
      <w:bookmarkEnd w:id="66"/>
      <w:bookmarkEnd w:id="67"/>
      <w:r>
        <w:rPr>
          <w:color w:val="auto"/>
        </w:rPr>
        <w:t>、</w:t>
      </w:r>
      <w:bookmarkStart w:id="68" w:name="OLE_LINK90"/>
      <w:bookmarkStart w:id="69" w:name="OLE_LINK91"/>
      <w:r>
        <w:rPr>
          <w:color w:val="auto"/>
        </w:rPr>
        <w:t>区卫</w:t>
      </w:r>
      <w:r>
        <w:rPr>
          <w:rFonts w:hint="eastAsia"/>
          <w:color w:val="auto"/>
        </w:rPr>
        <w:t>体</w:t>
      </w:r>
      <w:r>
        <w:rPr>
          <w:color w:val="auto"/>
        </w:rPr>
        <w:t>局</w:t>
      </w:r>
      <w:bookmarkEnd w:id="68"/>
      <w:bookmarkEnd w:id="69"/>
      <w:r>
        <w:rPr>
          <w:color w:val="auto"/>
        </w:rPr>
        <w:t>、区能源局、</w:t>
      </w:r>
      <w:bookmarkStart w:id="70" w:name="OLE_LINK92"/>
      <w:bookmarkStart w:id="71" w:name="OLE_LINK93"/>
      <w:r>
        <w:rPr>
          <w:rFonts w:hint="eastAsia"/>
          <w:color w:val="auto"/>
        </w:rPr>
        <w:t>区教育局</w:t>
      </w:r>
      <w:bookmarkEnd w:id="70"/>
      <w:bookmarkEnd w:id="71"/>
      <w:r>
        <w:rPr>
          <w:rFonts w:hint="eastAsia"/>
          <w:color w:val="auto"/>
        </w:rPr>
        <w:t>、</w:t>
      </w:r>
      <w:bookmarkStart w:id="72" w:name="OLE_LINK94"/>
      <w:bookmarkStart w:id="73" w:name="OLE_LINK95"/>
      <w:r>
        <w:rPr>
          <w:rFonts w:hint="eastAsia"/>
          <w:color w:val="auto"/>
        </w:rPr>
        <w:t>区市场监督管理局</w:t>
      </w:r>
      <w:bookmarkEnd w:id="72"/>
      <w:bookmarkEnd w:id="73"/>
      <w:r>
        <w:rPr>
          <w:rFonts w:hint="eastAsia"/>
          <w:color w:val="auto"/>
        </w:rPr>
        <w:t>、</w:t>
      </w:r>
      <w:bookmarkStart w:id="74" w:name="OLE_LINK97"/>
      <w:bookmarkStart w:id="75" w:name="OLE_LINK96"/>
      <w:r>
        <w:rPr>
          <w:rFonts w:hint="eastAsia"/>
          <w:color w:val="auto"/>
        </w:rPr>
        <w:t>区消防大队</w:t>
      </w:r>
      <w:bookmarkEnd w:id="50"/>
      <w:bookmarkEnd w:id="51"/>
      <w:bookmarkEnd w:id="74"/>
      <w:bookmarkEnd w:id="75"/>
      <w:r>
        <w:rPr>
          <w:rFonts w:hint="eastAsia"/>
          <w:color w:val="auto"/>
        </w:rPr>
        <w:t>、乡镇（街道）</w:t>
      </w:r>
      <w:r>
        <w:rPr>
          <w:color w:val="auto"/>
        </w:rPr>
        <w:t>等单位有关负责人。</w:t>
      </w:r>
    </w:p>
    <w:p w14:paraId="3AC497E4">
      <w:pPr>
        <w:pStyle w:val="34"/>
        <w:rPr>
          <w:color w:val="auto"/>
        </w:rPr>
      </w:pPr>
      <w:r>
        <w:rPr>
          <w:rFonts w:hint="eastAsia"/>
          <w:color w:val="auto"/>
        </w:rPr>
        <w:t>区及其他有关部门和单位必须服从区突发环境事件应急指挥部的指挥，根据应急处置工作需要，开展相应工作。</w:t>
      </w:r>
    </w:p>
    <w:p w14:paraId="18D2DDFF">
      <w:pPr>
        <w:pStyle w:val="34"/>
        <w:rPr>
          <w:color w:val="auto"/>
        </w:rPr>
      </w:pPr>
      <w:r>
        <w:rPr>
          <w:rFonts w:hint="eastAsia"/>
          <w:color w:val="auto"/>
        </w:rPr>
        <w:t>区指挥部及其办公室、成员单位职责见附件</w:t>
      </w:r>
      <w:r>
        <w:rPr>
          <w:color w:val="auto"/>
        </w:rPr>
        <w:t>3。</w:t>
      </w:r>
    </w:p>
    <w:p w14:paraId="39080451">
      <w:pPr>
        <w:pStyle w:val="31"/>
        <w:rPr>
          <w:color w:val="auto"/>
        </w:rPr>
      </w:pPr>
      <w:bookmarkStart w:id="76" w:name="_Toc213413177"/>
      <w:r>
        <w:rPr>
          <w:rFonts w:hint="eastAsia"/>
          <w:color w:val="auto"/>
        </w:rPr>
        <w:t>2</w:t>
      </w:r>
      <w:r>
        <w:rPr>
          <w:color w:val="auto"/>
        </w:rPr>
        <w:t>.2</w:t>
      </w:r>
      <w:r>
        <w:rPr>
          <w:rFonts w:hint="eastAsia"/>
          <w:color w:val="auto"/>
        </w:rPr>
        <w:t>应急指挥工作组</w:t>
      </w:r>
      <w:bookmarkEnd w:id="76"/>
    </w:p>
    <w:p w14:paraId="2CA22162">
      <w:pPr>
        <w:pStyle w:val="34"/>
        <w:rPr>
          <w:color w:val="auto"/>
        </w:rPr>
      </w:pPr>
      <w:r>
        <w:rPr>
          <w:rFonts w:hint="eastAsia"/>
          <w:color w:val="auto"/>
        </w:rPr>
        <w:t>为便于指挥，协调应对，确保我区处置突发环境</w:t>
      </w:r>
      <w:bookmarkStart w:id="196" w:name="_GoBack"/>
      <w:bookmarkEnd w:id="196"/>
      <w:r>
        <w:rPr>
          <w:rFonts w:hint="eastAsia"/>
          <w:color w:val="auto"/>
        </w:rPr>
        <w:t>事件工作顺利推进，区应急指挥部设立综合组、污染处置组、应急监测组、医疗救援组、应急保障组、新闻宣传组、社会稳定组、调查评估组、专家组等</w:t>
      </w:r>
      <w:r>
        <w:rPr>
          <w:color w:val="auto"/>
        </w:rPr>
        <w:t>9个工作组。</w:t>
      </w:r>
    </w:p>
    <w:p w14:paraId="66AF2D2F">
      <w:pPr>
        <w:pStyle w:val="34"/>
        <w:rPr>
          <w:color w:val="auto"/>
        </w:rPr>
      </w:pPr>
      <w:r>
        <w:rPr>
          <w:rFonts w:hint="eastAsia"/>
          <w:color w:val="auto"/>
        </w:rPr>
        <w:t>各工作组组成及职责见附件</w:t>
      </w:r>
      <w:r>
        <w:rPr>
          <w:color w:val="auto"/>
        </w:rPr>
        <w:t>4</w:t>
      </w:r>
      <w:r>
        <w:rPr>
          <w:rFonts w:hint="eastAsia"/>
          <w:color w:val="auto"/>
        </w:rPr>
        <w:t>。</w:t>
      </w:r>
    </w:p>
    <w:p w14:paraId="37ABC3F2">
      <w:pPr>
        <w:pStyle w:val="34"/>
        <w:rPr>
          <w:color w:val="auto"/>
        </w:rPr>
        <w:sectPr>
          <w:pgSz w:w="11906" w:h="16838"/>
          <w:pgMar w:top="1440" w:right="1701" w:bottom="1440" w:left="1701" w:header="851" w:footer="992" w:gutter="0"/>
          <w:cols w:space="425" w:num="1"/>
          <w:docGrid w:type="lines" w:linePitch="312" w:charSpace="0"/>
        </w:sectPr>
      </w:pPr>
    </w:p>
    <w:p w14:paraId="2DE2A61B">
      <w:pPr>
        <w:pStyle w:val="30"/>
        <w:rPr>
          <w:color w:val="auto"/>
        </w:rPr>
      </w:pPr>
      <w:bookmarkStart w:id="77" w:name="OLE_LINK65"/>
      <w:bookmarkStart w:id="78" w:name="OLE_LINK66"/>
      <w:bookmarkStart w:id="79" w:name="_Toc213413178"/>
      <w:r>
        <w:rPr>
          <w:rFonts w:hint="eastAsia"/>
          <w:color w:val="auto"/>
        </w:rPr>
        <w:t>3</w:t>
      </w:r>
      <w:bookmarkEnd w:id="77"/>
      <w:bookmarkEnd w:id="78"/>
      <w:r>
        <w:rPr>
          <w:rFonts w:hint="eastAsia"/>
          <w:color w:val="auto"/>
        </w:rPr>
        <w:t>风险防控</w:t>
      </w:r>
      <w:bookmarkEnd w:id="79"/>
    </w:p>
    <w:p w14:paraId="02F3CAD2">
      <w:pPr>
        <w:pStyle w:val="34"/>
        <w:rPr>
          <w:color w:val="auto"/>
        </w:rPr>
      </w:pPr>
      <w:bookmarkStart w:id="80" w:name="OLE_LINK21"/>
      <w:bookmarkStart w:id="81" w:name="OLE_LINK22"/>
      <w:r>
        <w:rPr>
          <w:rFonts w:hint="eastAsia"/>
          <w:color w:val="auto"/>
        </w:rPr>
        <w:t>在云冈区人民政府领导下，生态环境部门会同相关部门依法对行政区域、环境风险源进行调查、登记、风险评估</w:t>
      </w:r>
      <w:r>
        <w:rPr>
          <w:color w:val="auto"/>
        </w:rPr>
        <w:t>，采取风险防范措施，建立环境污染监测预警机制，健全突发环境事件风险防控体系，防范化解重、特大突发环境事件风险。</w:t>
      </w:r>
    </w:p>
    <w:p w14:paraId="49C532CC">
      <w:pPr>
        <w:pStyle w:val="31"/>
        <w:rPr>
          <w:color w:val="auto"/>
        </w:rPr>
      </w:pPr>
      <w:bookmarkStart w:id="82" w:name="_Toc213413179"/>
      <w:r>
        <w:rPr>
          <w:rFonts w:hint="eastAsia"/>
          <w:color w:val="auto"/>
        </w:rPr>
        <w:t>3</w:t>
      </w:r>
      <w:r>
        <w:rPr>
          <w:color w:val="auto"/>
        </w:rPr>
        <w:t>.1</w:t>
      </w:r>
      <w:r>
        <w:rPr>
          <w:rFonts w:hint="eastAsia"/>
          <w:color w:val="auto"/>
        </w:rPr>
        <w:t>风险源调查</w:t>
      </w:r>
      <w:bookmarkEnd w:id="82"/>
    </w:p>
    <w:p w14:paraId="28EC5480">
      <w:pPr>
        <w:pStyle w:val="34"/>
        <w:rPr>
          <w:color w:val="auto"/>
        </w:rPr>
      </w:pPr>
      <w:r>
        <w:rPr>
          <w:rFonts w:hint="eastAsia"/>
          <w:color w:val="auto"/>
        </w:rPr>
        <w:t>根据《行政区域突发环境事件风险评估推荐方法》</w:t>
      </w:r>
      <w:r>
        <w:rPr>
          <w:color w:val="auto"/>
        </w:rPr>
        <w:t>（环办应急</w:t>
      </w:r>
      <w:bookmarkStart w:id="83" w:name="OLE_LINK51"/>
      <w:r>
        <w:rPr>
          <w:rFonts w:hint="eastAsia"/>
          <w:color w:val="auto"/>
        </w:rPr>
        <w:t>〔</w:t>
      </w:r>
      <w:bookmarkEnd w:id="83"/>
      <w:r>
        <w:rPr>
          <w:color w:val="auto"/>
        </w:rPr>
        <w:t>2018</w:t>
      </w:r>
      <w:bookmarkStart w:id="84" w:name="OLE_LINK53"/>
      <w:bookmarkStart w:id="85" w:name="OLE_LINK52"/>
      <w:r>
        <w:rPr>
          <w:rFonts w:hint="eastAsia"/>
          <w:color w:val="auto"/>
        </w:rPr>
        <w:t>〕</w:t>
      </w:r>
      <w:bookmarkEnd w:id="84"/>
      <w:bookmarkEnd w:id="85"/>
      <w:r>
        <w:rPr>
          <w:color w:val="auto"/>
        </w:rPr>
        <w:t>19号），</w:t>
      </w:r>
      <w:r>
        <w:rPr>
          <w:rFonts w:hint="eastAsia"/>
          <w:color w:val="auto"/>
        </w:rPr>
        <w:t>指行政区域内可能造成突发环境事件的各类环境风险源，包括生产、使用、存储或释放涉及突发环境事件风险物质的企业，存储和装卸环境风险物质的港口码头，环境风险物质内陆水运及道路运输载具，尾矿库，石油天然气开采设施，集中式污水处理厂，危险废物经营单位，集中式垃圾处理设施，加油站，加气站，石油天然气及成品油长输管道等。</w:t>
      </w:r>
    </w:p>
    <w:p w14:paraId="22FF8D0C">
      <w:pPr>
        <w:pStyle w:val="34"/>
        <w:rPr>
          <w:color w:val="auto"/>
        </w:rPr>
      </w:pPr>
      <w:r>
        <w:rPr>
          <w:rFonts w:hint="eastAsia"/>
          <w:color w:val="auto"/>
        </w:rPr>
        <w:t>经核查，云冈区行政区域内不涉及环境风险物质装卸运输的港口码头及成品油长输管道、尾矿库、无石油天然气开采设施、无石油天然气长输管道。</w:t>
      </w:r>
    </w:p>
    <w:p w14:paraId="58FCC928">
      <w:pPr>
        <w:pStyle w:val="34"/>
        <w:rPr>
          <w:color w:val="auto"/>
        </w:rPr>
      </w:pPr>
      <w:r>
        <w:rPr>
          <w:rFonts w:hint="eastAsia"/>
          <w:color w:val="auto"/>
        </w:rPr>
        <w:t>包括生产、使用、存储或释放涉及突发环境事件风险物质的企业，集中式污水处理厂，危险废物经营单位，集中式垃圾处理设施，加油站等。</w:t>
      </w:r>
    </w:p>
    <w:p w14:paraId="7A5B52CA">
      <w:pPr>
        <w:pStyle w:val="34"/>
        <w:rPr>
          <w:color w:val="auto"/>
        </w:rPr>
      </w:pPr>
      <w:r>
        <w:rPr>
          <w:rFonts w:hint="eastAsia"/>
          <w:color w:val="auto"/>
        </w:rPr>
        <w:t>云冈区涉及到的行业类别有：烟煤和无烟煤开采洗选、污水处理及其再生利用、固体废物治理、机动车燃油零售、火力发电、其他基础化学原料制造、耐火陶瓷制品及其他耐火材料制造、危险废物治理、其他煤炭加工、水泥制造、热电联产、非金属废料和碎屑加工处理、汽车车身挂车制造、有色金属铸造、黑色金属铸造、生物质能发电</w:t>
      </w:r>
      <w:r>
        <w:rPr>
          <w:color w:val="auto"/>
        </w:rPr>
        <w:t>-生活垃圾焚烧发电</w:t>
      </w:r>
      <w:r>
        <w:rPr>
          <w:rFonts w:hint="eastAsia"/>
          <w:color w:val="auto"/>
        </w:rPr>
        <w:t>、环境卫生管理、粘土及其他土砂石开采、殡葬服务、其他非金属矿物制品制造、油气仓储、隔热和隔音材料制造、矿山机械制造、有机化学原料制造、粘土砖瓦及建筑砌块制造、金属废料和碎屑加工处理、有色金属铸造、涂料制造、有机化学原料制造、采矿冶金建筑专用设备制造、其他建筑材料制造、液体乳制造、有机肥料及微生物肥料制造、酱油食醋及类似制品制造、石灰和石膏制造、复混肥料制造、煤制液体燃料生产、牲畜屠宰等。</w:t>
      </w:r>
    </w:p>
    <w:p w14:paraId="3D5B3A99">
      <w:pPr>
        <w:pStyle w:val="31"/>
        <w:rPr>
          <w:color w:val="auto"/>
        </w:rPr>
      </w:pPr>
      <w:bookmarkStart w:id="86" w:name="_Toc213413180"/>
      <w:r>
        <w:rPr>
          <w:rFonts w:hint="eastAsia"/>
          <w:color w:val="auto"/>
        </w:rPr>
        <w:t>3</w:t>
      </w:r>
      <w:r>
        <w:rPr>
          <w:color w:val="auto"/>
        </w:rPr>
        <w:t>.2</w:t>
      </w:r>
      <w:r>
        <w:rPr>
          <w:rFonts w:hint="eastAsia"/>
          <w:color w:val="auto"/>
        </w:rPr>
        <w:t>风险评估</w:t>
      </w:r>
      <w:bookmarkEnd w:id="86"/>
    </w:p>
    <w:p w14:paraId="02D6F117">
      <w:pPr>
        <w:pStyle w:val="34"/>
        <w:rPr>
          <w:color w:val="auto"/>
        </w:rPr>
      </w:pPr>
      <w:r>
        <w:rPr>
          <w:rFonts w:hint="eastAsia"/>
          <w:color w:val="auto"/>
        </w:rPr>
        <w:t>云冈区环境风险源主要来源于各个企业，企业生产过程中可能涉及到</w:t>
      </w:r>
      <w:r>
        <w:rPr>
          <w:color w:val="auto"/>
        </w:rPr>
        <w:t>易燃易爆、有毒</w:t>
      </w:r>
      <w:r>
        <w:rPr>
          <w:rFonts w:hint="eastAsia"/>
          <w:color w:val="auto"/>
        </w:rPr>
        <w:t>有害</w:t>
      </w:r>
      <w:r>
        <w:rPr>
          <w:color w:val="auto"/>
        </w:rPr>
        <w:t>、强氧化性、腐蚀性等危险化学品，</w:t>
      </w:r>
      <w:r>
        <w:rPr>
          <w:rFonts w:hint="eastAsia"/>
          <w:color w:val="auto"/>
        </w:rPr>
        <w:t>这些化学品发生爆炸或泄漏进入环境，可能会对大气、土壤、水体等造成污染。</w:t>
      </w:r>
      <w:r>
        <w:rPr>
          <w:color w:val="auto"/>
        </w:rPr>
        <w:t xml:space="preserve"> </w:t>
      </w:r>
    </w:p>
    <w:p w14:paraId="28BE94E8">
      <w:pPr>
        <w:pStyle w:val="31"/>
        <w:rPr>
          <w:color w:val="auto"/>
        </w:rPr>
      </w:pPr>
      <w:bookmarkStart w:id="87" w:name="_Toc213413181"/>
      <w:r>
        <w:rPr>
          <w:color w:val="auto"/>
        </w:rPr>
        <w:t>3.3应急能力建设</w:t>
      </w:r>
      <w:bookmarkEnd w:id="87"/>
    </w:p>
    <w:p w14:paraId="1AEA7588">
      <w:pPr>
        <w:pStyle w:val="36"/>
      </w:pPr>
      <w:bookmarkStart w:id="88" w:name="_Toc213413182"/>
      <w:r>
        <w:t>3.3.1环境风险管理制度建设</w:t>
      </w:r>
      <w:bookmarkEnd w:id="88"/>
    </w:p>
    <w:p w14:paraId="116414D7">
      <w:pPr>
        <w:pStyle w:val="34"/>
        <w:rPr>
          <w:color w:val="auto"/>
        </w:rPr>
      </w:pPr>
      <w:r>
        <w:rPr>
          <w:rFonts w:hint="eastAsia"/>
          <w:color w:val="auto"/>
        </w:rPr>
        <w:t>（1）以本应急预案为基础，督促云冈区区域内重点和主要环境风险企业编制或修订企业突发环境事件应急预案。企业应在预案修订完成后</w:t>
      </w:r>
      <w:r>
        <w:rPr>
          <w:color w:val="auto"/>
        </w:rPr>
        <w:t>20个工作日内报市生态环境局备案</w:t>
      </w:r>
      <w:r>
        <w:rPr>
          <w:rFonts w:hint="eastAsia"/>
          <w:color w:val="auto"/>
        </w:rPr>
        <w:t>，</w:t>
      </w:r>
      <w:r>
        <w:rPr>
          <w:color w:val="auto"/>
        </w:rPr>
        <w:t>逾期未备案的，依据《突发环境事件应急管理办法》第25条予以处罚。</w:t>
      </w:r>
    </w:p>
    <w:p w14:paraId="1EB76925">
      <w:pPr>
        <w:pStyle w:val="34"/>
        <w:rPr>
          <w:color w:val="auto"/>
        </w:rPr>
      </w:pPr>
      <w:r>
        <w:rPr>
          <w:rFonts w:hint="eastAsia"/>
          <w:color w:val="auto"/>
        </w:rPr>
        <w:t>（2）不断建立健全环境风险隐患排查制度及日常监管制度等环境风险管理制度，加强对行政区域内重点风险源的巡检，从源头控制风险，减少突发环境事件的发生。</w:t>
      </w:r>
    </w:p>
    <w:p w14:paraId="48271FB9">
      <w:pPr>
        <w:pStyle w:val="36"/>
      </w:pPr>
      <w:bookmarkStart w:id="89" w:name="_Toc213413183"/>
      <w:r>
        <w:t>3.3.2企业环境风险防范措施</w:t>
      </w:r>
      <w:bookmarkEnd w:id="89"/>
    </w:p>
    <w:p w14:paraId="195AC335">
      <w:pPr>
        <w:pStyle w:val="34"/>
        <w:rPr>
          <w:color w:val="auto"/>
        </w:rPr>
      </w:pPr>
      <w:r>
        <w:rPr>
          <w:rFonts w:hint="eastAsia"/>
          <w:color w:val="auto"/>
        </w:rPr>
        <w:t>将重金属、危险废物、持久性有机污染物、危险化学品等作为防范环境风险的重点，预先考虑企业建设及生产过程中环境安全保障问题，维护环境安全。</w:t>
      </w:r>
    </w:p>
    <w:p w14:paraId="15358117">
      <w:pPr>
        <w:pStyle w:val="34"/>
        <w:rPr>
          <w:color w:val="auto"/>
        </w:rPr>
      </w:pPr>
      <w:r>
        <w:rPr>
          <w:rFonts w:hint="eastAsia"/>
          <w:color w:val="auto"/>
        </w:rPr>
        <w:t>有关部门应加强事故管理，要求企业严格执行《危险化学品安全管理条例》（2</w:t>
      </w:r>
      <w:r>
        <w:rPr>
          <w:color w:val="auto"/>
        </w:rPr>
        <w:t>013</w:t>
      </w:r>
      <w:r>
        <w:rPr>
          <w:rFonts w:hint="eastAsia"/>
          <w:color w:val="auto"/>
        </w:rPr>
        <w:t>年修正）等规定。对企业危险化学品的储存、使用和废弃处理都要执行严格的监管。涉及危险化学品的企业须向有关部门备案，定期报告危险化学品的种类、数量、状态、储存方式、使用量、废物量、处置去向和危废转移联单执行情况等，防范泄漏、爆炸等事故的发生。生产过程中各企业必须严格按相关规程进行安全生产，防止由于操作不当导致设备故障引发突发环境事件。</w:t>
      </w:r>
    </w:p>
    <w:p w14:paraId="7609E908">
      <w:pPr>
        <w:pStyle w:val="34"/>
        <w:rPr>
          <w:color w:val="auto"/>
        </w:rPr>
      </w:pPr>
      <w:r>
        <w:rPr>
          <w:rFonts w:hint="eastAsia"/>
          <w:color w:val="auto"/>
        </w:rPr>
        <w:t>有关部门应监督涉及危险化学品的生产企业应根据建筑格局、物料性质及贮存方式、建筑耐火等级、建筑体积等，严格遵守《建筑设计防火规范》（2</w:t>
      </w:r>
      <w:r>
        <w:rPr>
          <w:color w:val="auto"/>
        </w:rPr>
        <w:t>018</w:t>
      </w:r>
      <w:r>
        <w:rPr>
          <w:rFonts w:hint="eastAsia"/>
          <w:color w:val="auto"/>
        </w:rPr>
        <w:t>修订版）等有关规定，按照同一时间内火灾次数、灭火时间及最大用水量确定消防用水量，设置足够容积的消防水收集池。按照当地暴雨强度特点，对初期雨水量进行合理计算，确定足够容积的初期雨水收集池。涉及危险化学品的风险工序应通过导流系统连接事故池，要求事故池平时必须是空置的。</w:t>
      </w:r>
    </w:p>
    <w:p w14:paraId="3479DD88">
      <w:pPr>
        <w:pStyle w:val="36"/>
      </w:pPr>
      <w:bookmarkStart w:id="90" w:name="_Toc213413184"/>
      <w:r>
        <w:rPr>
          <w:rFonts w:hint="eastAsia"/>
        </w:rPr>
        <w:t>3</w:t>
      </w:r>
      <w:r>
        <w:t>.3.3</w:t>
      </w:r>
      <w:r>
        <w:rPr>
          <w:rFonts w:hint="eastAsia"/>
        </w:rPr>
        <w:t>应急物资建设</w:t>
      </w:r>
      <w:bookmarkEnd w:id="90"/>
    </w:p>
    <w:p w14:paraId="6F1154C6">
      <w:pPr>
        <w:pStyle w:val="34"/>
        <w:rPr>
          <w:color w:val="auto"/>
        </w:rPr>
      </w:pPr>
      <w:r>
        <w:rPr>
          <w:rFonts w:hint="eastAsia"/>
          <w:color w:val="auto"/>
        </w:rPr>
        <w:t>云冈区现有应急物资主要为消防、安全救援类物资，缺少环境应急物资，因此，应加强事件应急监测、优化应急物资储备、健全应急联动机制，持续加强应急准备。涉危企业须依据《危险化学品单位应急物资配备标准》（</w:t>
      </w:r>
      <w:r>
        <w:rPr>
          <w:color w:val="auto"/>
        </w:rPr>
        <w:t>GB300772023）储备防化服、堵漏器材、吸附材料等物资，每季度向生态环境分局报备清单，并接受随机抽查。</w:t>
      </w:r>
    </w:p>
    <w:p w14:paraId="55621193">
      <w:pPr>
        <w:pStyle w:val="36"/>
      </w:pPr>
      <w:bookmarkStart w:id="91" w:name="_Toc213413185"/>
      <w:r>
        <w:t>3.3.4建立数据库</w:t>
      </w:r>
      <w:bookmarkEnd w:id="91"/>
    </w:p>
    <w:p w14:paraId="477B9A0F">
      <w:pPr>
        <w:pStyle w:val="34"/>
        <w:rPr>
          <w:color w:val="auto"/>
        </w:rPr>
      </w:pPr>
      <w:r>
        <w:rPr>
          <w:rFonts w:hint="eastAsia"/>
          <w:color w:val="auto"/>
        </w:rPr>
        <w:t>对本行政区域内突发环境事件进行风险评估，有条件的情况下对环境风险管理相关数据进行集成管理，形成集成数据库。应急数据内容及集成数据库形式可参考以下内容：</w:t>
      </w:r>
    </w:p>
    <w:p w14:paraId="00463956">
      <w:pPr>
        <w:pStyle w:val="34"/>
        <w:rPr>
          <w:color w:val="auto"/>
        </w:rPr>
      </w:pPr>
      <w:r>
        <w:rPr>
          <w:rFonts w:hint="eastAsia"/>
          <w:color w:val="auto"/>
        </w:rPr>
        <w:t>（</w:t>
      </w:r>
      <w:r>
        <w:rPr>
          <w:color w:val="auto"/>
        </w:rPr>
        <w:t>1）行政区域内企业基本情况、风险物质、重点风险源、移动风险源等动态管理信息库。</w:t>
      </w:r>
    </w:p>
    <w:p w14:paraId="18B60FC9">
      <w:pPr>
        <w:pStyle w:val="34"/>
        <w:rPr>
          <w:color w:val="auto"/>
        </w:rPr>
      </w:pPr>
      <w:r>
        <w:rPr>
          <w:rFonts w:hint="eastAsia"/>
          <w:color w:val="auto"/>
        </w:rPr>
        <w:t>对行政区域内各企业生产经营情况进行定期统计；采取企业申报和不定期抽查等形式，对各企业风险物质的购入、生产、消耗、外售等环节进行动态管理。企业在涉及环境风险物质的生产经营活动之前，应向主管部门进行申报，对环境风险物质的名称、性质、数量进行登记；主管部门负责对企业环境风险物质的名称、数量、使用和储存情况以及企业环境风险源和移动风险源运行管理情况进行不定期抽查。</w:t>
      </w:r>
    </w:p>
    <w:p w14:paraId="4F801991">
      <w:pPr>
        <w:pStyle w:val="34"/>
        <w:rPr>
          <w:color w:val="auto"/>
        </w:rPr>
      </w:pPr>
      <w:r>
        <w:rPr>
          <w:rFonts w:hint="eastAsia"/>
          <w:color w:val="auto"/>
        </w:rPr>
        <w:t>（</w:t>
      </w:r>
      <w:r>
        <w:rPr>
          <w:color w:val="auto"/>
        </w:rPr>
        <w:t>2）建立应急救援力量动态管理信息库。</w:t>
      </w:r>
    </w:p>
    <w:p w14:paraId="2ED81E5C">
      <w:pPr>
        <w:pStyle w:val="34"/>
        <w:rPr>
          <w:color w:val="auto"/>
        </w:rPr>
      </w:pPr>
      <w:r>
        <w:rPr>
          <w:rFonts w:hint="eastAsia"/>
          <w:color w:val="auto"/>
        </w:rPr>
        <w:t>对行政区域内各类应急救援力量（医疗救护、应急消防、治安和应急环境监测、社会专业救援队等）进行动态跟踪，对各类应急救援机构的联系方式、救援力量的储备状态进行动态管理。</w:t>
      </w:r>
    </w:p>
    <w:p w14:paraId="449B9298">
      <w:pPr>
        <w:pStyle w:val="34"/>
        <w:rPr>
          <w:color w:val="auto"/>
        </w:rPr>
      </w:pPr>
      <w:r>
        <w:rPr>
          <w:rFonts w:hint="eastAsia"/>
          <w:color w:val="auto"/>
        </w:rPr>
        <w:t>（</w:t>
      </w:r>
      <w:r>
        <w:rPr>
          <w:color w:val="auto"/>
        </w:rPr>
        <w:t>3）建立应急救援物资和设施（备）数据库。</w:t>
      </w:r>
    </w:p>
    <w:p w14:paraId="6671F1AC">
      <w:pPr>
        <w:pStyle w:val="34"/>
        <w:rPr>
          <w:color w:val="auto"/>
        </w:rPr>
      </w:pPr>
      <w:r>
        <w:rPr>
          <w:rFonts w:hint="eastAsia"/>
          <w:color w:val="auto"/>
        </w:rPr>
        <w:t>对政府部门及各企业事业单位储备的应急救援物资和设施（备）分别进行统计并建立数据库，数据库应包括应急救援物资和设施（备）名称、数量、型号大小、存放地点、负责人和调动方式。在企业应急预案编制及应急预案演练过程中进行核查，采取不定期抽查等形式进行检查，落实应急救援物资和设施（备）数量及状态，并进行动态管理。</w:t>
      </w:r>
    </w:p>
    <w:p w14:paraId="0B75B3C8">
      <w:pPr>
        <w:pStyle w:val="34"/>
        <w:rPr>
          <w:color w:val="auto"/>
        </w:rPr>
      </w:pPr>
      <w:r>
        <w:rPr>
          <w:rFonts w:hint="eastAsia"/>
          <w:color w:val="auto"/>
        </w:rPr>
        <w:t>（</w:t>
      </w:r>
      <w:r>
        <w:rPr>
          <w:color w:val="auto"/>
        </w:rPr>
        <w:t>4）建立主要风险源示意图。</w:t>
      </w:r>
    </w:p>
    <w:p w14:paraId="6858AC99">
      <w:pPr>
        <w:pStyle w:val="34"/>
        <w:rPr>
          <w:color w:val="auto"/>
        </w:rPr>
      </w:pPr>
      <w:r>
        <w:rPr>
          <w:rFonts w:hint="eastAsia"/>
          <w:color w:val="auto"/>
        </w:rPr>
        <w:t>调查行政区域内主要风险源分布情况，并在示意图中注明存放风险物质的地点，重大危险源的位置与周边地区的位置关系等。</w:t>
      </w:r>
    </w:p>
    <w:p w14:paraId="5B01D949">
      <w:pPr>
        <w:pStyle w:val="34"/>
        <w:rPr>
          <w:color w:val="auto"/>
        </w:rPr>
      </w:pPr>
    </w:p>
    <w:p w14:paraId="41367B80">
      <w:pPr>
        <w:pStyle w:val="34"/>
        <w:rPr>
          <w:color w:val="auto"/>
        </w:rPr>
      </w:pPr>
    </w:p>
    <w:p w14:paraId="10C29241">
      <w:pPr>
        <w:pStyle w:val="34"/>
        <w:rPr>
          <w:color w:val="auto"/>
        </w:rPr>
      </w:pPr>
    </w:p>
    <w:p w14:paraId="22F4509E">
      <w:pPr>
        <w:pStyle w:val="34"/>
        <w:rPr>
          <w:color w:val="auto"/>
        </w:rPr>
        <w:sectPr>
          <w:pgSz w:w="11906" w:h="16838"/>
          <w:pgMar w:top="1440" w:right="1701" w:bottom="1440" w:left="1701" w:header="851" w:footer="850" w:gutter="0"/>
          <w:cols w:space="425" w:num="1"/>
          <w:docGrid w:type="lines" w:linePitch="312" w:charSpace="0"/>
        </w:sectPr>
      </w:pPr>
    </w:p>
    <w:bookmarkEnd w:id="80"/>
    <w:bookmarkEnd w:id="81"/>
    <w:p w14:paraId="3061BE22">
      <w:pPr>
        <w:pStyle w:val="30"/>
        <w:rPr>
          <w:color w:val="auto"/>
        </w:rPr>
      </w:pPr>
      <w:bookmarkStart w:id="92" w:name="_Toc213413186"/>
      <w:r>
        <w:rPr>
          <w:rFonts w:hint="eastAsia"/>
          <w:color w:val="auto"/>
        </w:rPr>
        <w:t>4监测和预警</w:t>
      </w:r>
      <w:bookmarkEnd w:id="92"/>
    </w:p>
    <w:p w14:paraId="17257E1A">
      <w:pPr>
        <w:pStyle w:val="31"/>
        <w:rPr>
          <w:color w:val="auto"/>
        </w:rPr>
      </w:pPr>
      <w:bookmarkStart w:id="93" w:name="_Toc213413187"/>
      <w:r>
        <w:rPr>
          <w:rFonts w:hint="eastAsia"/>
          <w:color w:val="auto"/>
        </w:rPr>
        <w:t>4</w:t>
      </w:r>
      <w:r>
        <w:rPr>
          <w:color w:val="auto"/>
        </w:rPr>
        <w:t>.1</w:t>
      </w:r>
      <w:r>
        <w:rPr>
          <w:rFonts w:hint="eastAsia"/>
          <w:color w:val="auto"/>
        </w:rPr>
        <w:t>监测和风险分析</w:t>
      </w:r>
      <w:bookmarkEnd w:id="93"/>
    </w:p>
    <w:p w14:paraId="711CACE7">
      <w:pPr>
        <w:pStyle w:val="34"/>
        <w:rPr>
          <w:color w:val="auto"/>
        </w:rPr>
      </w:pPr>
      <w:r>
        <w:rPr>
          <w:rFonts w:hint="eastAsia"/>
          <w:color w:val="auto"/>
        </w:rPr>
        <w:t>突发环境事件应急指挥部有关成员单位按照早发现、早报告、早处置原则，</w:t>
      </w:r>
      <w:r>
        <w:rPr>
          <w:color w:val="auto"/>
        </w:rPr>
        <w:t>加强日常环境监测</w:t>
      </w:r>
      <w:r>
        <w:rPr>
          <w:rFonts w:hint="eastAsia"/>
          <w:color w:val="auto"/>
        </w:rPr>
        <w:t>，</w:t>
      </w:r>
      <w:r>
        <w:rPr>
          <w:color w:val="auto"/>
        </w:rPr>
        <w:t>并对可能导致突发环境事件的风险信息加强收集、分析和研判。指挥部有关成员单位和负有监测职责的有关部门按照职责分工</w:t>
      </w:r>
      <w:r>
        <w:rPr>
          <w:rFonts w:hint="eastAsia"/>
          <w:color w:val="auto"/>
        </w:rPr>
        <w:t>，</w:t>
      </w:r>
      <w:r>
        <w:rPr>
          <w:color w:val="auto"/>
        </w:rPr>
        <w:t>加强日常突发环境事件信息监测</w:t>
      </w:r>
      <w:r>
        <w:rPr>
          <w:rFonts w:hint="eastAsia"/>
          <w:color w:val="auto"/>
        </w:rPr>
        <w:t>，</w:t>
      </w:r>
      <w:r>
        <w:rPr>
          <w:color w:val="auto"/>
        </w:rPr>
        <w:t>发现可能导致突发环境事件的信息时，及时向同级生态环境部门通报。各部门之间建立突发环境事件的信息获取及共享</w:t>
      </w:r>
      <w:r>
        <w:rPr>
          <w:rFonts w:hint="eastAsia"/>
          <w:color w:val="auto"/>
        </w:rPr>
        <w:t>机制。</w:t>
      </w:r>
    </w:p>
    <w:p w14:paraId="1FB42EEF">
      <w:pPr>
        <w:pStyle w:val="34"/>
        <w:rPr>
          <w:color w:val="auto"/>
        </w:rPr>
      </w:pPr>
      <w:r>
        <w:rPr>
          <w:color w:val="auto"/>
        </w:rPr>
        <w:t>企业事业单位和其他生产经营者应当落实环境安全主</w:t>
      </w:r>
      <w:r>
        <w:rPr>
          <w:rFonts w:hint="eastAsia"/>
          <w:color w:val="auto"/>
        </w:rPr>
        <w:t>体责任，定期排查环境安全隐患，开展环境风险评估，健全风险防控措施，按照相关规定编制突发环境事件应急预案并向所在地区生态环境部门报备。当出现可能导致突发环境事件的情况时，要立即报告区生态环境部门。</w:t>
      </w:r>
    </w:p>
    <w:p w14:paraId="15713AB8">
      <w:pPr>
        <w:pStyle w:val="31"/>
        <w:rPr>
          <w:color w:val="auto"/>
        </w:rPr>
      </w:pPr>
      <w:bookmarkStart w:id="94" w:name="_Toc213413188"/>
      <w:r>
        <w:rPr>
          <w:rFonts w:hint="eastAsia"/>
          <w:color w:val="auto"/>
        </w:rPr>
        <w:t>4</w:t>
      </w:r>
      <w:r>
        <w:rPr>
          <w:color w:val="auto"/>
        </w:rPr>
        <w:t>.2</w:t>
      </w:r>
      <w:r>
        <w:rPr>
          <w:rFonts w:hint="eastAsia"/>
          <w:color w:val="auto"/>
        </w:rPr>
        <w:t>预防</w:t>
      </w:r>
      <w:r>
        <w:rPr>
          <w:color w:val="auto"/>
        </w:rPr>
        <w:t>工作</w:t>
      </w:r>
      <w:bookmarkEnd w:id="94"/>
    </w:p>
    <w:p w14:paraId="3ACD5BEE">
      <w:pPr>
        <w:pStyle w:val="34"/>
        <w:rPr>
          <w:color w:val="auto"/>
        </w:rPr>
      </w:pPr>
      <w:r>
        <w:rPr>
          <w:rFonts w:hint="eastAsia"/>
          <w:color w:val="auto"/>
        </w:rPr>
        <w:t>（1）开展污染源调查，建立环境风险源数据库。开展对生产、贮存、运输、销毁或处置废弃化学品、危险废物的普查，掌握云冈区范围内环境污染源的产生、种类、级别、数量及分布情况，建立环境污染源档案及数据库，并对重点单位、重点部位进行监测监控。</w:t>
      </w:r>
    </w:p>
    <w:p w14:paraId="5E43B646">
      <w:pPr>
        <w:pStyle w:val="34"/>
        <w:rPr>
          <w:color w:val="auto"/>
        </w:rPr>
      </w:pPr>
      <w:r>
        <w:rPr>
          <w:rFonts w:hint="eastAsia"/>
          <w:color w:val="auto"/>
        </w:rPr>
        <w:t>（2）完善应急预案体系。完善云冈区的突发环境事件应急预案体系，建立健全环境风险防范体系，及时消除环境隐患。</w:t>
      </w:r>
    </w:p>
    <w:p w14:paraId="6A1C332A">
      <w:pPr>
        <w:pStyle w:val="34"/>
        <w:rPr>
          <w:color w:val="auto"/>
        </w:rPr>
      </w:pPr>
      <w:r>
        <w:rPr>
          <w:rFonts w:hint="eastAsia"/>
          <w:color w:val="auto"/>
        </w:rPr>
        <w:t>（3）建立健全环境风险评估机制。对云冈区</w:t>
      </w:r>
      <w:r>
        <w:rPr>
          <w:color w:val="auto"/>
        </w:rPr>
        <w:t>区域内</w:t>
      </w:r>
      <w:r>
        <w:rPr>
          <w:rFonts w:hint="eastAsia"/>
          <w:color w:val="auto"/>
        </w:rPr>
        <w:t>各生产企业主要环境风险源进行定量、定性分析，开展突发环境事件的假设、分析和风险评估工作，对事件发生的可能性和发生后的严重性进行认识及评价。</w:t>
      </w:r>
    </w:p>
    <w:p w14:paraId="54C8CC62">
      <w:pPr>
        <w:pStyle w:val="34"/>
        <w:rPr>
          <w:color w:val="auto"/>
        </w:rPr>
      </w:pPr>
      <w:r>
        <w:rPr>
          <w:rFonts w:hint="eastAsia"/>
          <w:color w:val="auto"/>
        </w:rPr>
        <w:t>（4）加强重点河段、水源地、人群聚集区等环境敏感区周边企业风险源和交通运输的监管，划定防护范围，并在环境敏感区域设立地理界标和警示标志，减少突发环境污染事故的损失和影响。</w:t>
      </w:r>
    </w:p>
    <w:p w14:paraId="44615F54">
      <w:pPr>
        <w:pStyle w:val="34"/>
        <w:rPr>
          <w:color w:val="auto"/>
        </w:rPr>
      </w:pPr>
      <w:r>
        <w:rPr>
          <w:rFonts w:hint="eastAsia"/>
          <w:color w:val="auto"/>
        </w:rPr>
        <w:t>（5）建立风险源监控预警平台，重点风险源</w:t>
      </w:r>
      <w:r>
        <w:rPr>
          <w:color w:val="auto"/>
        </w:rPr>
        <w:t>周边道路</w:t>
      </w:r>
      <w:r>
        <w:rPr>
          <w:rFonts w:hint="eastAsia"/>
          <w:color w:val="auto"/>
        </w:rPr>
        <w:t>设置视频监控设施及大气监测点。在各企业雨污排口设置视频监控设施，重点企业污水处理设施排口安装在线监测仪器。</w:t>
      </w:r>
    </w:p>
    <w:p w14:paraId="02B311E5">
      <w:pPr>
        <w:pStyle w:val="31"/>
        <w:rPr>
          <w:color w:val="auto"/>
        </w:rPr>
      </w:pPr>
      <w:bookmarkStart w:id="95" w:name="_Toc213413189"/>
      <w:r>
        <w:rPr>
          <w:rFonts w:hint="eastAsia"/>
          <w:color w:val="auto"/>
        </w:rPr>
        <w:t>4</w:t>
      </w:r>
      <w:r>
        <w:rPr>
          <w:color w:val="auto"/>
        </w:rPr>
        <w:t>.3</w:t>
      </w:r>
      <w:r>
        <w:rPr>
          <w:rFonts w:hint="eastAsia"/>
          <w:color w:val="auto"/>
        </w:rPr>
        <w:t>预警</w:t>
      </w:r>
      <w:bookmarkEnd w:id="95"/>
    </w:p>
    <w:p w14:paraId="35B76CEE">
      <w:pPr>
        <w:pStyle w:val="36"/>
      </w:pPr>
      <w:bookmarkStart w:id="96" w:name="_Toc213413190"/>
      <w:r>
        <w:rPr>
          <w:rFonts w:hint="eastAsia"/>
        </w:rPr>
        <w:t>4</w:t>
      </w:r>
      <w:r>
        <w:t>.3.1</w:t>
      </w:r>
      <w:r>
        <w:rPr>
          <w:rFonts w:hint="eastAsia"/>
        </w:rPr>
        <w:t>预警分级</w:t>
      </w:r>
      <w:bookmarkEnd w:id="96"/>
    </w:p>
    <w:p w14:paraId="591E129F">
      <w:pPr>
        <w:pStyle w:val="34"/>
        <w:rPr>
          <w:color w:val="auto"/>
        </w:rPr>
      </w:pPr>
      <w:r>
        <w:rPr>
          <w:rFonts w:hint="eastAsia"/>
          <w:color w:val="auto"/>
        </w:rPr>
        <w:t>根据《山西省突发环境事件应急预案》按照突发环境事件的可能性大小、紧急程度和可能造成的危害程度，将预警分为四级，由高到低分别为Ⅰ级（特别严重）、Ⅱ级（严重）、Ⅲ级（较重）和</w:t>
      </w:r>
      <w:bookmarkStart w:id="97" w:name="OLE_LINK7"/>
      <w:bookmarkStart w:id="98" w:name="OLE_LINK8"/>
      <w:r>
        <w:rPr>
          <w:rFonts w:hint="eastAsia"/>
          <w:color w:val="auto"/>
        </w:rPr>
        <w:t>Ⅳ级（一般）</w:t>
      </w:r>
      <w:bookmarkEnd w:id="97"/>
      <w:bookmarkEnd w:id="98"/>
      <w:r>
        <w:rPr>
          <w:rFonts w:hint="eastAsia"/>
          <w:color w:val="auto"/>
        </w:rPr>
        <w:t>，依次用红色、橙色、黄色和蓝色表示。</w:t>
      </w:r>
    </w:p>
    <w:p w14:paraId="3D50BF4E">
      <w:pPr>
        <w:pStyle w:val="36"/>
      </w:pPr>
      <w:bookmarkStart w:id="99" w:name="_Toc213413191"/>
      <w:r>
        <w:rPr>
          <w:rFonts w:hint="eastAsia"/>
        </w:rPr>
        <w:t>4</w:t>
      </w:r>
      <w:r>
        <w:t>.3.2</w:t>
      </w:r>
      <w:r>
        <w:rPr>
          <w:rFonts w:hint="eastAsia"/>
        </w:rPr>
        <w:t>预警信息发布</w:t>
      </w:r>
      <w:bookmarkEnd w:id="99"/>
    </w:p>
    <w:p w14:paraId="5A7FEB61">
      <w:pPr>
        <w:pStyle w:val="34"/>
        <w:rPr>
          <w:color w:val="auto"/>
        </w:rPr>
      </w:pPr>
      <w:r>
        <w:rPr>
          <w:rFonts w:hint="eastAsia"/>
          <w:color w:val="auto"/>
        </w:rPr>
        <w:t>应急指挥部办公室根据环境监测信息或相关部门、单位的信息报告、通报，研判可能发生特、重、较大突发环境事件时，应及时向区应急指挥部汇报，由区应急指挥部向市指挥部报告相关情况，同时通报区指挥部相关成员单位。</w:t>
      </w:r>
    </w:p>
    <w:p w14:paraId="24F81DF4">
      <w:pPr>
        <w:pStyle w:val="34"/>
        <w:rPr>
          <w:color w:val="auto"/>
        </w:rPr>
      </w:pPr>
      <w:r>
        <w:rPr>
          <w:rFonts w:hint="eastAsia"/>
          <w:color w:val="auto"/>
        </w:rPr>
        <w:t>应急指挥部办公室根据环境监测信息或相关部门、单位的信息报告、通报</w:t>
      </w:r>
      <w:r>
        <w:rPr>
          <w:color w:val="auto"/>
        </w:rPr>
        <w:t>，研判可能</w:t>
      </w:r>
      <w:r>
        <w:rPr>
          <w:rFonts w:hint="eastAsia"/>
          <w:color w:val="auto"/>
        </w:rPr>
        <w:t>发生一般突发环境事件</w:t>
      </w:r>
      <w:r>
        <w:rPr>
          <w:color w:val="auto"/>
        </w:rPr>
        <w:t>时，及时</w:t>
      </w:r>
      <w:r>
        <w:rPr>
          <w:rFonts w:hint="eastAsia"/>
          <w:color w:val="auto"/>
        </w:rPr>
        <w:t>向应急指挥部</w:t>
      </w:r>
      <w:r>
        <w:rPr>
          <w:color w:val="auto"/>
        </w:rPr>
        <w:t>提出预警信息发布建议，同时通报指挥部相关成员单位</w:t>
      </w:r>
      <w:r>
        <w:rPr>
          <w:rFonts w:hint="eastAsia"/>
          <w:color w:val="auto"/>
        </w:rPr>
        <w:t>；</w:t>
      </w:r>
      <w:r>
        <w:rPr>
          <w:color w:val="auto"/>
        </w:rPr>
        <w:t>指挥部或其授权的相关部门，及时通过电视、广播、报纸、互联网、手机短信、当面告知等方式向本行政区域公众发布预警信息，并通报可能影响到的相关地区。</w:t>
      </w:r>
    </w:p>
    <w:p w14:paraId="1E6BD280">
      <w:pPr>
        <w:pStyle w:val="36"/>
      </w:pPr>
      <w:bookmarkStart w:id="100" w:name="_Toc213413192"/>
      <w:bookmarkStart w:id="101" w:name="OLE_LINK23"/>
      <w:bookmarkStart w:id="102" w:name="OLE_LINK24"/>
      <w:r>
        <w:rPr>
          <w:rFonts w:hint="eastAsia"/>
        </w:rPr>
        <w:t>4</w:t>
      </w:r>
      <w:r>
        <w:t>.3.3</w:t>
      </w:r>
      <w:r>
        <w:rPr>
          <w:rFonts w:hint="eastAsia"/>
        </w:rPr>
        <w:t>预警行动</w:t>
      </w:r>
      <w:bookmarkEnd w:id="100"/>
    </w:p>
    <w:p w14:paraId="6C7DDC83">
      <w:pPr>
        <w:pStyle w:val="34"/>
        <w:rPr>
          <w:color w:val="auto"/>
        </w:rPr>
      </w:pPr>
      <w:r>
        <w:rPr>
          <w:rFonts w:hint="eastAsia"/>
          <w:color w:val="auto"/>
        </w:rPr>
        <w:t>预警信息发布后，云冈区人民政府及其有关部门视情采取以下措</w:t>
      </w:r>
      <w:r>
        <w:rPr>
          <w:color w:val="auto"/>
        </w:rPr>
        <w:t>施</w:t>
      </w:r>
      <w:r>
        <w:rPr>
          <w:rFonts w:hint="eastAsia"/>
          <w:color w:val="auto"/>
        </w:rPr>
        <w:t>：</w:t>
      </w:r>
    </w:p>
    <w:p w14:paraId="2DC6B9F7">
      <w:pPr>
        <w:pStyle w:val="34"/>
        <w:rPr>
          <w:color w:val="auto"/>
        </w:rPr>
      </w:pPr>
      <w:r>
        <w:rPr>
          <w:rFonts w:hint="eastAsia"/>
          <w:color w:val="auto"/>
        </w:rPr>
        <w:t>（1）</w:t>
      </w:r>
      <w:r>
        <w:rPr>
          <w:color w:val="auto"/>
        </w:rPr>
        <w:t>分析研判。组织有关部门和机构、专业技术人员及专家</w:t>
      </w:r>
      <w:r>
        <w:rPr>
          <w:rFonts w:hint="eastAsia"/>
          <w:color w:val="auto"/>
        </w:rPr>
        <w:t>，</w:t>
      </w:r>
      <w:r>
        <w:rPr>
          <w:color w:val="auto"/>
        </w:rPr>
        <w:t>及时对预警信息进行分析研判，预估可能的影响范围和危害程度</w:t>
      </w:r>
      <w:r>
        <w:rPr>
          <w:rFonts w:hint="eastAsia"/>
          <w:color w:val="auto"/>
        </w:rPr>
        <w:t>。</w:t>
      </w:r>
    </w:p>
    <w:p w14:paraId="2E702F91">
      <w:pPr>
        <w:pStyle w:val="34"/>
        <w:rPr>
          <w:color w:val="auto"/>
        </w:rPr>
      </w:pPr>
      <w:r>
        <w:rPr>
          <w:rFonts w:hint="eastAsia"/>
          <w:color w:val="auto"/>
        </w:rPr>
        <w:t>（2）</w:t>
      </w:r>
      <w:r>
        <w:rPr>
          <w:color w:val="auto"/>
        </w:rPr>
        <w:t>防范处置。迅速采取有效处置措施</w:t>
      </w:r>
      <w:r>
        <w:rPr>
          <w:rFonts w:hint="eastAsia"/>
          <w:color w:val="auto"/>
        </w:rPr>
        <w:t>，</w:t>
      </w:r>
      <w:r>
        <w:rPr>
          <w:color w:val="auto"/>
        </w:rPr>
        <w:t>控制事件苗头。在涉险区域设置注意事项提示或事件危害警告标志</w:t>
      </w:r>
      <w:r>
        <w:rPr>
          <w:rFonts w:hint="eastAsia"/>
          <w:color w:val="auto"/>
        </w:rPr>
        <w:t>，</w:t>
      </w:r>
      <w:r>
        <w:rPr>
          <w:color w:val="auto"/>
        </w:rPr>
        <w:t>利用各种渠道增加宣传频次，告知公众避险和减轻危害的常识、需采取的必要的健康防护措施。可能威胁饮用水安全时</w:t>
      </w:r>
      <w:r>
        <w:rPr>
          <w:rFonts w:hint="eastAsia"/>
          <w:color w:val="auto"/>
        </w:rPr>
        <w:t>，</w:t>
      </w:r>
      <w:r>
        <w:rPr>
          <w:color w:val="auto"/>
        </w:rPr>
        <w:t>应及时启动饮用水水源地应急预案，做好启用备用水源的准备工作。</w:t>
      </w:r>
    </w:p>
    <w:p w14:paraId="73FAD473">
      <w:pPr>
        <w:pStyle w:val="34"/>
        <w:rPr>
          <w:color w:val="auto"/>
        </w:rPr>
      </w:pPr>
      <w:r>
        <w:rPr>
          <w:rFonts w:hint="eastAsia"/>
          <w:color w:val="auto"/>
        </w:rPr>
        <w:t>（3）</w:t>
      </w:r>
      <w:r>
        <w:rPr>
          <w:color w:val="auto"/>
        </w:rPr>
        <w:t>应急准备。提前疏散、转移可能受到危害的人员</w:t>
      </w:r>
      <w:r>
        <w:rPr>
          <w:rFonts w:hint="eastAsia"/>
          <w:color w:val="auto"/>
        </w:rPr>
        <w:t>，</w:t>
      </w:r>
      <w:r>
        <w:rPr>
          <w:color w:val="auto"/>
        </w:rPr>
        <w:t>并进行妥善安置。指令应急救援队伍、负有应急监测等特定职责的人员进入待命状态，动员后备人员做好参加应急救援和处置工作的准备</w:t>
      </w:r>
      <w:r>
        <w:rPr>
          <w:rFonts w:hint="eastAsia"/>
          <w:color w:val="auto"/>
        </w:rPr>
        <w:t>，</w:t>
      </w:r>
      <w:r>
        <w:rPr>
          <w:color w:val="auto"/>
        </w:rPr>
        <w:t>调集应急所需物资和设备</w:t>
      </w:r>
      <w:r>
        <w:rPr>
          <w:rFonts w:hint="eastAsia"/>
          <w:color w:val="auto"/>
        </w:rPr>
        <w:t>，</w:t>
      </w:r>
      <w:r>
        <w:rPr>
          <w:color w:val="auto"/>
        </w:rPr>
        <w:t>做好应急保障工作。对可能导致突发环境事件发生的相关企业事业单位和其他生产经营者加强环境监管。</w:t>
      </w:r>
    </w:p>
    <w:p w14:paraId="6F9B787B">
      <w:pPr>
        <w:pStyle w:val="34"/>
        <w:rPr>
          <w:color w:val="auto"/>
        </w:rPr>
      </w:pPr>
      <w:r>
        <w:rPr>
          <w:rFonts w:hint="eastAsia"/>
          <w:color w:val="auto"/>
        </w:rPr>
        <w:t>（4）</w:t>
      </w:r>
      <w:r>
        <w:rPr>
          <w:color w:val="auto"/>
        </w:rPr>
        <w:t>舆论引导。及时准确发布事态最新情况，公布咨询电话</w:t>
      </w:r>
      <w:r>
        <w:rPr>
          <w:rFonts w:hint="eastAsia"/>
          <w:color w:val="auto"/>
        </w:rPr>
        <w:t>，组织专家解读。加强相关舆情监测，做好舆论引导工作。</w:t>
      </w:r>
    </w:p>
    <w:bookmarkEnd w:id="101"/>
    <w:bookmarkEnd w:id="102"/>
    <w:p w14:paraId="6FE266F3">
      <w:pPr>
        <w:pStyle w:val="36"/>
      </w:pPr>
      <w:bookmarkStart w:id="103" w:name="_Toc213413193"/>
      <w:bookmarkStart w:id="104" w:name="OLE_LINK26"/>
      <w:bookmarkStart w:id="105" w:name="OLE_LINK25"/>
      <w:r>
        <w:rPr>
          <w:rFonts w:hint="eastAsia"/>
        </w:rPr>
        <w:t>4</w:t>
      </w:r>
      <w:r>
        <w:t>.3.4</w:t>
      </w:r>
      <w:r>
        <w:rPr>
          <w:rFonts w:hint="eastAsia"/>
        </w:rPr>
        <w:t>预警级别调整和解除</w:t>
      </w:r>
      <w:bookmarkEnd w:id="103"/>
    </w:p>
    <w:p w14:paraId="4B35E8C3">
      <w:pPr>
        <w:pStyle w:val="34"/>
        <w:rPr>
          <w:color w:val="auto"/>
        </w:rPr>
      </w:pPr>
      <w:r>
        <w:rPr>
          <w:rFonts w:hint="eastAsia"/>
          <w:color w:val="auto"/>
        </w:rPr>
        <w:t>发布突发环境事件预警信息的人民政府或有关部门，应当根据事态发展情况和采取措施的效果适时调整预警级别；</w:t>
      </w:r>
      <w:r>
        <w:rPr>
          <w:color w:val="auto"/>
        </w:rPr>
        <w:t>当判定突发环境事件危险已经消除时，宣布预警解除</w:t>
      </w:r>
      <w:r>
        <w:rPr>
          <w:rFonts w:hint="eastAsia"/>
          <w:color w:val="auto"/>
        </w:rPr>
        <w:t>。</w:t>
      </w:r>
    </w:p>
    <w:p w14:paraId="410A9C6F">
      <w:pPr>
        <w:pStyle w:val="34"/>
        <w:rPr>
          <w:color w:val="auto"/>
        </w:rPr>
      </w:pPr>
      <w:r>
        <w:rPr>
          <w:color w:val="auto"/>
        </w:rPr>
        <w:t>专家组提交污染消除评估报告→区应急指挥部总指挥签字批准→通过原发布渠道（广播、电视、官网）向社会公告解除信息，并报市生态环境局备案。</w:t>
      </w:r>
    </w:p>
    <w:p w14:paraId="4249611A">
      <w:pPr>
        <w:pStyle w:val="34"/>
        <w:rPr>
          <w:color w:val="auto"/>
        </w:rPr>
      </w:pPr>
    </w:p>
    <w:p w14:paraId="0ED791FA">
      <w:pPr>
        <w:pStyle w:val="34"/>
        <w:rPr>
          <w:color w:val="auto"/>
        </w:rPr>
        <w:sectPr>
          <w:pgSz w:w="11906" w:h="16838"/>
          <w:pgMar w:top="1440" w:right="1701" w:bottom="1440" w:left="1701" w:header="851" w:footer="992" w:gutter="0"/>
          <w:cols w:space="425" w:num="1"/>
          <w:docGrid w:type="lines" w:linePitch="312" w:charSpace="0"/>
        </w:sectPr>
      </w:pPr>
    </w:p>
    <w:bookmarkEnd w:id="104"/>
    <w:bookmarkEnd w:id="105"/>
    <w:p w14:paraId="4F5A6D2A">
      <w:pPr>
        <w:pStyle w:val="30"/>
        <w:rPr>
          <w:color w:val="auto"/>
        </w:rPr>
      </w:pPr>
      <w:bookmarkStart w:id="106" w:name="_Toc213413194"/>
      <w:r>
        <w:rPr>
          <w:rFonts w:hint="eastAsia"/>
          <w:color w:val="auto"/>
        </w:rPr>
        <w:t>5应急处置与救援</w:t>
      </w:r>
      <w:bookmarkEnd w:id="106"/>
    </w:p>
    <w:p w14:paraId="675C7383">
      <w:pPr>
        <w:pStyle w:val="31"/>
        <w:rPr>
          <w:color w:val="auto"/>
        </w:rPr>
      </w:pPr>
      <w:bookmarkStart w:id="107" w:name="_Toc213413195"/>
      <w:r>
        <w:rPr>
          <w:rFonts w:hint="eastAsia"/>
          <w:color w:val="auto"/>
        </w:rPr>
        <w:t>5</w:t>
      </w:r>
      <w:r>
        <w:rPr>
          <w:color w:val="auto"/>
        </w:rPr>
        <w:t>.1</w:t>
      </w:r>
      <w:r>
        <w:rPr>
          <w:rFonts w:hint="eastAsia"/>
          <w:color w:val="auto"/>
        </w:rPr>
        <w:t>信息报告与通报</w:t>
      </w:r>
      <w:bookmarkEnd w:id="107"/>
    </w:p>
    <w:p w14:paraId="10CB1908">
      <w:pPr>
        <w:pStyle w:val="36"/>
      </w:pPr>
      <w:bookmarkStart w:id="108" w:name="_Toc213413196"/>
      <w:r>
        <w:rPr>
          <w:rFonts w:hint="eastAsia"/>
        </w:rPr>
        <w:t>5</w:t>
      </w:r>
      <w:r>
        <w:t>.1.1</w:t>
      </w:r>
      <w:r>
        <w:rPr>
          <w:rFonts w:hint="eastAsia"/>
        </w:rPr>
        <w:t>信息报告</w:t>
      </w:r>
      <w:bookmarkEnd w:id="108"/>
    </w:p>
    <w:p w14:paraId="05C331A6">
      <w:pPr>
        <w:pStyle w:val="34"/>
        <w:rPr>
          <w:color w:val="auto"/>
        </w:rPr>
      </w:pPr>
      <w:bookmarkStart w:id="109" w:name="OLE_LINK28"/>
      <w:bookmarkStart w:id="110" w:name="OLE_LINK27"/>
      <w:r>
        <w:rPr>
          <w:rFonts w:hint="eastAsia"/>
          <w:color w:val="auto"/>
        </w:rPr>
        <w:t>（1）</w:t>
      </w:r>
      <w:r>
        <w:rPr>
          <w:color w:val="auto"/>
        </w:rPr>
        <w:t>突发环境事件发生后，涉事企事业单位或其他生产经营者采取应对措施，并立即向</w:t>
      </w:r>
      <w:r>
        <w:rPr>
          <w:rFonts w:hint="eastAsia"/>
          <w:color w:val="auto"/>
        </w:rPr>
        <w:t>市生态环境局云冈分局</w:t>
      </w:r>
      <w:r>
        <w:rPr>
          <w:color w:val="auto"/>
        </w:rPr>
        <w:t>和相关部门报告，同时通报可能受到污染危害的单位和居民。</w:t>
      </w:r>
    </w:p>
    <w:p w14:paraId="2FF802D5">
      <w:pPr>
        <w:pStyle w:val="34"/>
        <w:rPr>
          <w:color w:val="auto"/>
        </w:rPr>
      </w:pPr>
      <w:r>
        <w:rPr>
          <w:rFonts w:hint="eastAsia"/>
          <w:color w:val="auto"/>
        </w:rPr>
        <w:t>（</w:t>
      </w:r>
      <w:r>
        <w:rPr>
          <w:color w:val="auto"/>
        </w:rPr>
        <w:t>2</w:t>
      </w:r>
      <w:r>
        <w:rPr>
          <w:rFonts w:hint="eastAsia"/>
          <w:color w:val="auto"/>
        </w:rPr>
        <w:t>）市生态环境局云冈分局</w:t>
      </w:r>
      <w:r>
        <w:rPr>
          <w:color w:val="auto"/>
        </w:rPr>
        <w:t>接到突发环境事件信息报告通报或监测到相关信息后，立即进行核实，对突发环境事件的性质和类别作出初步认定，并按以下要求进行报告:</w:t>
      </w:r>
    </w:p>
    <w:p w14:paraId="65A6F100">
      <w:pPr>
        <w:pStyle w:val="34"/>
        <w:rPr>
          <w:color w:val="auto"/>
        </w:rPr>
      </w:pPr>
      <w:r>
        <w:rPr>
          <w:rFonts w:hint="eastAsia"/>
          <w:color w:val="auto"/>
        </w:rPr>
        <w:t>①对初步认定为一般突发环境事件的，市生态环境局云冈分局应当在</w:t>
      </w:r>
      <w:r>
        <w:rPr>
          <w:color w:val="auto"/>
        </w:rPr>
        <w:t>3小时内向</w:t>
      </w:r>
      <w:r>
        <w:rPr>
          <w:rFonts w:hint="eastAsia"/>
          <w:color w:val="auto"/>
        </w:rPr>
        <w:t>云冈区</w:t>
      </w:r>
      <w:r>
        <w:rPr>
          <w:color w:val="auto"/>
        </w:rPr>
        <w:t>人民政府和</w:t>
      </w:r>
      <w:r>
        <w:rPr>
          <w:rFonts w:hint="eastAsia"/>
          <w:color w:val="auto"/>
        </w:rPr>
        <w:t>大同</w:t>
      </w:r>
      <w:r>
        <w:rPr>
          <w:color w:val="auto"/>
        </w:rPr>
        <w:t>市生态环境局报告；</w:t>
      </w:r>
    </w:p>
    <w:p w14:paraId="04368BDB">
      <w:pPr>
        <w:pStyle w:val="34"/>
        <w:rPr>
          <w:color w:val="auto"/>
        </w:rPr>
      </w:pPr>
      <w:r>
        <w:rPr>
          <w:rFonts w:hint="eastAsia"/>
          <w:color w:val="auto"/>
        </w:rPr>
        <w:t>②对初步认定为较大突发环境事件的，市生态环境局云冈分局应当在</w:t>
      </w:r>
      <w:r>
        <w:rPr>
          <w:color w:val="auto"/>
        </w:rPr>
        <w:t>1小时内向云冈区人民政府和大同市生态环境局报告</w:t>
      </w:r>
      <w:r>
        <w:rPr>
          <w:rFonts w:hint="eastAsia"/>
          <w:color w:val="auto"/>
        </w:rPr>
        <w:t>；</w:t>
      </w:r>
    </w:p>
    <w:p w14:paraId="10688E46">
      <w:pPr>
        <w:pStyle w:val="34"/>
        <w:rPr>
          <w:color w:val="auto"/>
        </w:rPr>
      </w:pPr>
      <w:r>
        <w:rPr>
          <w:rFonts w:hint="eastAsia"/>
          <w:color w:val="auto"/>
        </w:rPr>
        <w:t>③对初步认定为重大或者特别重大突发环境事件的，市生态环境局云冈分局应当在</w:t>
      </w:r>
      <w:r>
        <w:rPr>
          <w:color w:val="auto"/>
        </w:rPr>
        <w:t>1小时内向</w:t>
      </w:r>
      <w:r>
        <w:rPr>
          <w:rFonts w:hint="eastAsia"/>
          <w:color w:val="auto"/>
        </w:rPr>
        <w:t>云冈区</w:t>
      </w:r>
      <w:r>
        <w:rPr>
          <w:color w:val="auto"/>
        </w:rPr>
        <w:t>人民政府和省生态环境厅报告，同时上报生态环境部。</w:t>
      </w:r>
    </w:p>
    <w:p w14:paraId="42E30F6D">
      <w:pPr>
        <w:pStyle w:val="34"/>
        <w:rPr>
          <w:color w:val="auto"/>
        </w:rPr>
      </w:pPr>
      <w:r>
        <w:rPr>
          <w:rFonts w:hint="eastAsia"/>
          <w:color w:val="auto"/>
        </w:rPr>
        <w:t>（3）</w:t>
      </w:r>
      <w:r>
        <w:rPr>
          <w:color w:val="auto"/>
        </w:rPr>
        <w:t>发生下列情形之一时，对无法判明等级的突发环境事件，</w:t>
      </w:r>
      <w:bookmarkStart w:id="111" w:name="OLE_LINK60"/>
      <w:bookmarkStart w:id="112" w:name="OLE_LINK56"/>
      <w:r>
        <w:rPr>
          <w:rFonts w:hint="eastAsia"/>
          <w:color w:val="auto"/>
        </w:rPr>
        <w:t>市生态环境局云冈分局</w:t>
      </w:r>
      <w:bookmarkEnd w:id="111"/>
      <w:bookmarkEnd w:id="112"/>
      <w:r>
        <w:rPr>
          <w:color w:val="auto"/>
        </w:rPr>
        <w:t>应当按照III级（较大）</w:t>
      </w:r>
      <w:r>
        <w:rPr>
          <w:rFonts w:hint="eastAsia"/>
          <w:color w:val="auto"/>
        </w:rPr>
        <w:t>及以上</w:t>
      </w:r>
      <w:r>
        <w:rPr>
          <w:color w:val="auto"/>
        </w:rPr>
        <w:t>突发环境事件的报告程序上报</w:t>
      </w:r>
      <w:r>
        <w:rPr>
          <w:rFonts w:hint="eastAsia"/>
          <w:color w:val="auto"/>
        </w:rPr>
        <w:t>：</w:t>
      </w:r>
    </w:p>
    <w:p w14:paraId="162BCCFE">
      <w:pPr>
        <w:pStyle w:val="34"/>
        <w:rPr>
          <w:color w:val="auto"/>
        </w:rPr>
      </w:pPr>
      <w:r>
        <w:rPr>
          <w:rFonts w:hint="eastAsia"/>
          <w:color w:val="auto"/>
        </w:rPr>
        <w:t>①对饮用水水源保护区造成或者可能造成影响的；</w:t>
      </w:r>
    </w:p>
    <w:p w14:paraId="72677821">
      <w:pPr>
        <w:pStyle w:val="34"/>
        <w:rPr>
          <w:color w:val="auto"/>
        </w:rPr>
      </w:pPr>
      <w:r>
        <w:rPr>
          <w:rFonts w:hint="eastAsia"/>
          <w:color w:val="auto"/>
        </w:rPr>
        <w:t>②涉及居民聚居区、学校、医院等敏感区域和敏感人群的；</w:t>
      </w:r>
    </w:p>
    <w:p w14:paraId="7C98FA0F">
      <w:pPr>
        <w:pStyle w:val="34"/>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color w:val="auto"/>
        </w:rPr>
        <w:t>涉及重金属或类金属污染的</w:t>
      </w:r>
      <w:r>
        <w:rPr>
          <w:rFonts w:hint="eastAsia"/>
          <w:color w:val="auto"/>
        </w:rPr>
        <w:t>；</w:t>
      </w:r>
    </w:p>
    <w:p w14:paraId="3977DA16">
      <w:pPr>
        <w:pStyle w:val="34"/>
        <w:rPr>
          <w:color w:val="auto"/>
        </w:rPr>
      </w:pPr>
      <w:r>
        <w:rPr>
          <w:rFonts w:hint="eastAsia"/>
          <w:color w:val="auto"/>
        </w:rPr>
        <w:t>④有可能产生跨省的；</w:t>
      </w:r>
    </w:p>
    <w:p w14:paraId="758655F4">
      <w:pPr>
        <w:pStyle w:val="34"/>
        <w:rPr>
          <w:color w:val="auto"/>
        </w:rPr>
      </w:pPr>
      <w:r>
        <w:rPr>
          <w:rFonts w:hint="eastAsia"/>
          <w:color w:val="auto"/>
        </w:rPr>
        <w:t>⑤因环境污染引发群体性事件，或者社会影响较大的；</w:t>
      </w:r>
    </w:p>
    <w:p w14:paraId="6A8CD958">
      <w:pPr>
        <w:pStyle w:val="34"/>
        <w:rPr>
          <w:color w:val="auto"/>
        </w:rPr>
      </w:pPr>
      <w:r>
        <w:rPr>
          <w:color w:val="auto"/>
        </w:rPr>
        <w:fldChar w:fldCharType="begin"/>
      </w:r>
      <w:r>
        <w:rPr>
          <w:color w:val="auto"/>
        </w:rPr>
        <w:instrText xml:space="preserve"> </w:instrText>
      </w:r>
      <w:r>
        <w:rPr>
          <w:rFonts w:hint="eastAsia"/>
          <w:color w:val="auto"/>
        </w:rPr>
        <w:instrText xml:space="preserve">= 6 \* GB3</w:instrText>
      </w:r>
      <w:r>
        <w:rPr>
          <w:color w:val="auto"/>
        </w:rPr>
        <w:instrText xml:space="preserve"> </w:instrText>
      </w:r>
      <w:r>
        <w:rPr>
          <w:color w:val="auto"/>
        </w:rPr>
        <w:fldChar w:fldCharType="separate"/>
      </w:r>
      <w:r>
        <w:rPr>
          <w:rFonts w:hint="eastAsia"/>
          <w:color w:val="auto"/>
        </w:rPr>
        <w:t>⑥</w:t>
      </w:r>
      <w:r>
        <w:rPr>
          <w:color w:val="auto"/>
        </w:rPr>
        <w:fldChar w:fldCharType="end"/>
      </w:r>
      <w:r>
        <w:rPr>
          <w:rFonts w:hint="eastAsia"/>
          <w:color w:val="auto"/>
        </w:rPr>
        <w:t>市生态环境局云冈分局认为有必要报告的其他突发环境事件。</w:t>
      </w:r>
    </w:p>
    <w:p w14:paraId="37493AAF">
      <w:pPr>
        <w:pStyle w:val="34"/>
        <w:rPr>
          <w:color w:val="auto"/>
        </w:rPr>
      </w:pPr>
      <w:r>
        <w:rPr>
          <w:rFonts w:hint="eastAsia"/>
          <w:color w:val="auto"/>
        </w:rPr>
        <w:t>（4）</w:t>
      </w:r>
      <w:r>
        <w:rPr>
          <w:color w:val="auto"/>
        </w:rPr>
        <w:t>特别重大、重大、较大和暂时无法判明等级的突发环境事件发生后，</w:t>
      </w:r>
      <w:r>
        <w:rPr>
          <w:rFonts w:hint="eastAsia"/>
          <w:color w:val="auto"/>
        </w:rPr>
        <w:t>云冈区人民政府</w:t>
      </w:r>
      <w:r>
        <w:rPr>
          <w:color w:val="auto"/>
        </w:rPr>
        <w:t>应当及时逐级上报，必要时可越级上报</w:t>
      </w:r>
      <w:r>
        <w:rPr>
          <w:rFonts w:hint="eastAsia"/>
          <w:color w:val="auto"/>
        </w:rPr>
        <w:t>；大同</w:t>
      </w:r>
      <w:r>
        <w:rPr>
          <w:color w:val="auto"/>
        </w:rPr>
        <w:t>市人民政府、省人民政府有关部门和单位应当在2</w:t>
      </w:r>
      <w:r>
        <w:rPr>
          <w:rFonts w:hint="eastAsia"/>
          <w:color w:val="auto"/>
        </w:rPr>
        <w:t>小时内报告省人民政府。紧急情况下，大同市人民政府、大同市人民政府有关部门和单位可以先通过电话口头报告省人民政府，并在</w:t>
      </w:r>
      <w:r>
        <w:rPr>
          <w:color w:val="auto"/>
        </w:rPr>
        <w:t>30分钟内报送书面</w:t>
      </w:r>
      <w:r>
        <w:rPr>
          <w:rFonts w:hint="eastAsia"/>
          <w:color w:val="auto"/>
        </w:rPr>
        <w:t>信息。</w:t>
      </w:r>
    </w:p>
    <w:p w14:paraId="64F943F0">
      <w:pPr>
        <w:pStyle w:val="34"/>
        <w:rPr>
          <w:color w:val="auto"/>
        </w:rPr>
      </w:pPr>
      <w:r>
        <w:rPr>
          <w:rFonts w:hint="eastAsia"/>
          <w:color w:val="auto"/>
        </w:rPr>
        <w:t>（</w:t>
      </w:r>
      <w:r>
        <w:rPr>
          <w:color w:val="auto"/>
        </w:rPr>
        <w:t>5</w:t>
      </w:r>
      <w:r>
        <w:rPr>
          <w:rFonts w:hint="eastAsia"/>
          <w:color w:val="auto"/>
        </w:rPr>
        <w:t>）</w:t>
      </w:r>
      <w:r>
        <w:rPr>
          <w:color w:val="auto"/>
        </w:rPr>
        <w:t>突发环境事件处置过程中事件级别发生变化的，应当按照变化后的级别报告信息</w:t>
      </w:r>
      <w:r>
        <w:rPr>
          <w:rFonts w:hint="eastAsia"/>
          <w:color w:val="auto"/>
        </w:rPr>
        <w:t>。</w:t>
      </w:r>
    </w:p>
    <w:p w14:paraId="28BA86A1">
      <w:pPr>
        <w:pStyle w:val="34"/>
        <w:rPr>
          <w:color w:val="auto"/>
        </w:rPr>
      </w:pPr>
      <w:r>
        <w:rPr>
          <w:rFonts w:hint="eastAsia"/>
          <w:color w:val="auto"/>
        </w:rPr>
        <w:t>报告内容包括事件发生时间、地点、单位名称、信息来源、事件类别、主要污染物种类和数量、伤亡或者经济损失的初步评估，饮用水源地等环境敏感点受影响情况、影响范围，</w:t>
      </w:r>
      <w:r>
        <w:rPr>
          <w:color w:val="auto"/>
        </w:rPr>
        <w:t>事件发展态势及处置情况等</w:t>
      </w:r>
      <w:r>
        <w:rPr>
          <w:rFonts w:hint="eastAsia"/>
          <w:color w:val="auto"/>
        </w:rPr>
        <w:t>。</w:t>
      </w:r>
      <w:bookmarkEnd w:id="109"/>
      <w:bookmarkEnd w:id="110"/>
    </w:p>
    <w:p w14:paraId="2C0E4144">
      <w:pPr>
        <w:pStyle w:val="36"/>
      </w:pPr>
      <w:bookmarkStart w:id="113" w:name="_Toc213413197"/>
      <w:r>
        <w:rPr>
          <w:rFonts w:hint="eastAsia"/>
        </w:rPr>
        <w:t>5</w:t>
      </w:r>
      <w:r>
        <w:t>.1.2</w:t>
      </w:r>
      <w:r>
        <w:rPr>
          <w:rFonts w:hint="eastAsia"/>
        </w:rPr>
        <w:t>信息共享</w:t>
      </w:r>
      <w:bookmarkEnd w:id="113"/>
    </w:p>
    <w:p w14:paraId="1D6433F2">
      <w:pPr>
        <w:pStyle w:val="34"/>
        <w:rPr>
          <w:color w:val="auto"/>
        </w:rPr>
      </w:pPr>
      <w:bookmarkStart w:id="114" w:name="OLE_LINK30"/>
      <w:bookmarkStart w:id="115" w:name="OLE_LINK29"/>
      <w:r>
        <w:rPr>
          <w:rFonts w:hint="eastAsia"/>
          <w:color w:val="auto"/>
        </w:rPr>
        <w:t>大同市生态环境局云冈分局通过互联网信息监测、环境污染举报热线等多种渠道</w:t>
      </w:r>
      <w:r>
        <w:rPr>
          <w:color w:val="auto"/>
        </w:rPr>
        <w:t>，加强对突发环境事件的信息收集，及时掌握突发环境事件发生情况，并通报同级相关部门。</w:t>
      </w:r>
    </w:p>
    <w:p w14:paraId="6C1BB0ED">
      <w:pPr>
        <w:pStyle w:val="34"/>
        <w:rPr>
          <w:color w:val="auto"/>
        </w:rPr>
      </w:pPr>
      <w:r>
        <w:rPr>
          <w:color w:val="auto"/>
        </w:rPr>
        <w:t>因生产安全事故、危险化学品运输等交通事故、自然灾害等其他事件导致或可能导致突发环境事件的，公安、自然资源、住建、交通、水利、农业农村、卫生健康、应急管理、气象等有关部门或其他负有安全监管职责的部门接报后，应当及时通报同级生态环境部门。应急指挥部其他成员单位在大气、水体、土壤监测过程中获得环境污染事件信息的，应当及时向同级生态环境部门通报</w:t>
      </w:r>
      <w:r>
        <w:rPr>
          <w:rFonts w:hint="eastAsia"/>
          <w:color w:val="auto"/>
        </w:rPr>
        <w:t>。</w:t>
      </w:r>
    </w:p>
    <w:p w14:paraId="0FA81FA9">
      <w:pPr>
        <w:pStyle w:val="36"/>
      </w:pPr>
      <w:bookmarkStart w:id="116" w:name="_Toc213413198"/>
      <w:r>
        <w:rPr>
          <w:rFonts w:hint="eastAsia"/>
        </w:rPr>
        <w:t>5</w:t>
      </w:r>
      <w:r>
        <w:t>.1.3</w:t>
      </w:r>
      <w:r>
        <w:rPr>
          <w:rFonts w:hint="eastAsia"/>
        </w:rPr>
        <w:t>跨区域的信息通报</w:t>
      </w:r>
      <w:bookmarkEnd w:id="116"/>
    </w:p>
    <w:p w14:paraId="1C319EB8">
      <w:pPr>
        <w:pStyle w:val="34"/>
        <w:rPr>
          <w:color w:val="auto"/>
        </w:rPr>
      </w:pPr>
      <w:r>
        <w:rPr>
          <w:color w:val="auto"/>
        </w:rPr>
        <w:t>确认事件涉及相邻行政区域后，区应急指挥部须在30分钟内通过书面传真和政务协同系统同步通报相邻县区人民政府及生态环境部门，并电话确认接收。</w:t>
      </w:r>
    </w:p>
    <w:bookmarkEnd w:id="114"/>
    <w:bookmarkEnd w:id="115"/>
    <w:p w14:paraId="51CF1440">
      <w:pPr>
        <w:pStyle w:val="31"/>
        <w:rPr>
          <w:color w:val="auto"/>
        </w:rPr>
      </w:pPr>
      <w:bookmarkStart w:id="117" w:name="_Toc213413199"/>
      <w:r>
        <w:rPr>
          <w:rFonts w:hint="eastAsia"/>
          <w:color w:val="auto"/>
        </w:rPr>
        <w:t>5</w:t>
      </w:r>
      <w:r>
        <w:rPr>
          <w:color w:val="auto"/>
        </w:rPr>
        <w:t>.2</w:t>
      </w:r>
      <w:r>
        <w:rPr>
          <w:rFonts w:hint="eastAsia"/>
          <w:color w:val="auto"/>
        </w:rPr>
        <w:t>先期处置</w:t>
      </w:r>
      <w:bookmarkEnd w:id="117"/>
    </w:p>
    <w:p w14:paraId="614508EA">
      <w:pPr>
        <w:pStyle w:val="34"/>
        <w:rPr>
          <w:color w:val="auto"/>
        </w:rPr>
      </w:pPr>
      <w:bookmarkStart w:id="118" w:name="OLE_LINK32"/>
      <w:bookmarkStart w:id="119" w:name="OLE_LINK31"/>
      <w:r>
        <w:rPr>
          <w:rFonts w:hint="eastAsia"/>
          <w:color w:val="auto"/>
        </w:rPr>
        <w:t>突发环境事件发生后，云冈区人民政府及其有关部门和事发单位要立即采取措施，组织处置，防止事件扩大。当事件态势超出处理能力时，报请大同市人民政府及相关部门。</w:t>
      </w:r>
    </w:p>
    <w:bookmarkEnd w:id="118"/>
    <w:bookmarkEnd w:id="119"/>
    <w:p w14:paraId="3BF162EF">
      <w:pPr>
        <w:pStyle w:val="31"/>
        <w:rPr>
          <w:color w:val="auto"/>
        </w:rPr>
      </w:pPr>
      <w:bookmarkStart w:id="120" w:name="_Toc213413200"/>
      <w:r>
        <w:rPr>
          <w:rFonts w:hint="eastAsia"/>
          <w:color w:val="auto"/>
        </w:rPr>
        <w:t>5</w:t>
      </w:r>
      <w:r>
        <w:rPr>
          <w:color w:val="auto"/>
        </w:rPr>
        <w:t>.3</w:t>
      </w:r>
      <w:r>
        <w:rPr>
          <w:rFonts w:hint="eastAsia"/>
          <w:color w:val="auto"/>
        </w:rPr>
        <w:t>应急响应</w:t>
      </w:r>
      <w:bookmarkEnd w:id="120"/>
    </w:p>
    <w:p w14:paraId="15967466">
      <w:pPr>
        <w:pStyle w:val="36"/>
        <w:spacing w:before="156" w:after="156"/>
      </w:pPr>
      <w:bookmarkStart w:id="121" w:name="_Toc213413201"/>
      <w:bookmarkStart w:id="122" w:name="OLE_LINK33"/>
      <w:bookmarkStart w:id="123" w:name="OLE_LINK34"/>
      <w:r>
        <w:t>5.3.1分级响应</w:t>
      </w:r>
      <w:bookmarkEnd w:id="121"/>
    </w:p>
    <w:p w14:paraId="7DB51FCD">
      <w:pPr>
        <w:pStyle w:val="34"/>
        <w:rPr>
          <w:color w:val="auto"/>
        </w:rPr>
      </w:pPr>
      <w:r>
        <w:rPr>
          <w:rFonts w:hint="eastAsia"/>
          <w:color w:val="auto"/>
        </w:rPr>
        <w:t>根据突发环境事件的严重程度和发展态势，应急响应由低到高设定为四级、三级、二级和一级四个等级。突发环境事件发生后，按照职责权限，启动相应等级的应急响应。</w:t>
      </w:r>
    </w:p>
    <w:p w14:paraId="6162B13C">
      <w:pPr>
        <w:pStyle w:val="40"/>
        <w:rPr>
          <w:color w:val="auto"/>
        </w:rPr>
      </w:pPr>
      <w:r>
        <w:rPr>
          <w:color w:val="auto"/>
        </w:rPr>
        <w:t>5.3.1.1</w:t>
      </w:r>
      <w:r>
        <w:rPr>
          <w:rFonts w:hint="eastAsia"/>
          <w:color w:val="auto"/>
        </w:rPr>
        <w:t>四</w:t>
      </w:r>
      <w:r>
        <w:rPr>
          <w:color w:val="auto"/>
        </w:rPr>
        <w:t>级（一般）响应</w:t>
      </w:r>
    </w:p>
    <w:p w14:paraId="13090302">
      <w:pPr>
        <w:pStyle w:val="34"/>
        <w:rPr>
          <w:color w:val="auto"/>
        </w:rPr>
      </w:pPr>
      <w:r>
        <w:rPr>
          <w:rFonts w:hint="eastAsia"/>
          <w:color w:val="auto"/>
        </w:rPr>
        <w:t>初判发生一般突发环境事件后，由区应急指挥部启动四级应急响应。区指挥部应立即开展以下工作：</w:t>
      </w:r>
    </w:p>
    <w:p w14:paraId="1BC02906">
      <w:pPr>
        <w:pStyle w:val="34"/>
        <w:rPr>
          <w:color w:val="auto"/>
        </w:rPr>
      </w:pPr>
      <w:r>
        <w:rPr>
          <w:rFonts w:hint="eastAsia"/>
          <w:color w:val="auto"/>
        </w:rPr>
        <w:t>（1）立即赶赴事发现场，成立现场指挥部，组织开展应对工作；</w:t>
      </w:r>
    </w:p>
    <w:p w14:paraId="6020B7FA">
      <w:pPr>
        <w:pStyle w:val="34"/>
        <w:rPr>
          <w:color w:val="auto"/>
        </w:rPr>
      </w:pPr>
      <w:r>
        <w:rPr>
          <w:rFonts w:hint="eastAsia"/>
          <w:color w:val="auto"/>
        </w:rPr>
        <w:t>（2）指挥部成员单位、专家组会商，分析研究事态、指定应急处置方案，部署应急处置工作；</w:t>
      </w:r>
    </w:p>
    <w:p w14:paraId="380BE75C">
      <w:pPr>
        <w:pStyle w:val="34"/>
        <w:rPr>
          <w:color w:val="auto"/>
        </w:rPr>
      </w:pPr>
      <w:r>
        <w:rPr>
          <w:rFonts w:hint="eastAsia"/>
          <w:color w:val="auto"/>
        </w:rPr>
        <w:t>（3）上报大同市环境应急指挥部；</w:t>
      </w:r>
    </w:p>
    <w:p w14:paraId="6AE2103B">
      <w:pPr>
        <w:pStyle w:val="34"/>
        <w:rPr>
          <w:color w:val="auto"/>
        </w:rPr>
      </w:pPr>
      <w:r>
        <w:rPr>
          <w:rFonts w:hint="eastAsia"/>
          <w:color w:val="auto"/>
        </w:rPr>
        <w:t>（4）市生态环境局云冈分局主要负责人立即赶赴事发现场指导督促开展污染源调查、应急监测、应急处置等工作；</w:t>
      </w:r>
    </w:p>
    <w:p w14:paraId="75700848">
      <w:pPr>
        <w:pStyle w:val="34"/>
        <w:rPr>
          <w:color w:val="auto"/>
        </w:rPr>
      </w:pPr>
      <w:r>
        <w:rPr>
          <w:rFonts w:hint="eastAsia"/>
          <w:color w:val="auto"/>
        </w:rPr>
        <w:t>（5）必要时，区环境应急指挥部负责向市生态环境局及市人民政府提出物资、技术、设备等支援请求。</w:t>
      </w:r>
    </w:p>
    <w:p w14:paraId="4CC3258B">
      <w:pPr>
        <w:pStyle w:val="40"/>
        <w:rPr>
          <w:color w:val="auto"/>
        </w:rPr>
      </w:pPr>
      <w:bookmarkStart w:id="124" w:name="OLE_LINK2"/>
      <w:bookmarkStart w:id="125" w:name="OLE_LINK1"/>
      <w:bookmarkStart w:id="126" w:name="OLE_LINK62"/>
      <w:bookmarkStart w:id="127" w:name="OLE_LINK61"/>
      <w:r>
        <w:rPr>
          <w:color w:val="auto"/>
        </w:rPr>
        <w:t>5.3.1.2</w:t>
      </w:r>
      <w:r>
        <w:rPr>
          <w:rFonts w:hint="eastAsia"/>
          <w:color w:val="auto"/>
        </w:rPr>
        <w:t>三</w:t>
      </w:r>
      <w:r>
        <w:rPr>
          <w:color w:val="auto"/>
        </w:rPr>
        <w:t>级（较大）</w:t>
      </w:r>
      <w:r>
        <w:rPr>
          <w:rFonts w:hint="eastAsia"/>
          <w:color w:val="auto"/>
        </w:rPr>
        <w:t>及以上</w:t>
      </w:r>
      <w:bookmarkEnd w:id="124"/>
      <w:bookmarkEnd w:id="125"/>
      <w:r>
        <w:rPr>
          <w:color w:val="auto"/>
        </w:rPr>
        <w:t>响应</w:t>
      </w:r>
    </w:p>
    <w:bookmarkEnd w:id="126"/>
    <w:bookmarkEnd w:id="127"/>
    <w:p w14:paraId="392F81D3">
      <w:pPr>
        <w:pStyle w:val="34"/>
        <w:rPr>
          <w:color w:val="auto"/>
        </w:rPr>
      </w:pPr>
      <w:r>
        <w:rPr>
          <w:color w:val="auto"/>
        </w:rPr>
        <w:t>发生</w:t>
      </w:r>
      <w:r>
        <w:rPr>
          <w:rFonts w:hint="eastAsia"/>
          <w:color w:val="auto"/>
        </w:rPr>
        <w:t>三</w:t>
      </w:r>
      <w:r>
        <w:rPr>
          <w:color w:val="auto"/>
        </w:rPr>
        <w:t>级（较大）及以上突发环境事件，区应急指挥部及其办公室在了解事件情况的基础上，立即指令相关单位赶赴现场，展开先期应急处置。</w:t>
      </w:r>
    </w:p>
    <w:p w14:paraId="3CADA78B">
      <w:pPr>
        <w:pStyle w:val="34"/>
        <w:rPr>
          <w:color w:val="auto"/>
        </w:rPr>
      </w:pPr>
      <w:r>
        <w:rPr>
          <w:rFonts w:hint="eastAsia"/>
          <w:color w:val="auto"/>
        </w:rPr>
        <w:t>区应急指挥部迅速汇集信息，向上级政府报告情况，包括事件等级、相应的应急响应建议，请求上级支援事项等，服从上级部门的指挥。</w:t>
      </w:r>
    </w:p>
    <w:p w14:paraId="3FA3B80F">
      <w:pPr>
        <w:pStyle w:val="36"/>
      </w:pPr>
      <w:bookmarkStart w:id="128" w:name="_Toc213413202"/>
      <w:r>
        <w:rPr>
          <w:rFonts w:hint="eastAsia"/>
        </w:rPr>
        <w:t>5.3.</w:t>
      </w:r>
      <w:r>
        <w:t>2</w:t>
      </w:r>
      <w:r>
        <w:rPr>
          <w:rFonts w:hint="eastAsia"/>
        </w:rPr>
        <w:t>响应程序</w:t>
      </w:r>
      <w:bookmarkEnd w:id="128"/>
    </w:p>
    <w:p w14:paraId="02193FD5">
      <w:pPr>
        <w:pStyle w:val="34"/>
        <w:rPr>
          <w:color w:val="auto"/>
        </w:rPr>
      </w:pPr>
      <w:r>
        <w:rPr>
          <w:rFonts w:hint="eastAsia"/>
          <w:color w:val="auto"/>
        </w:rPr>
        <w:t>（1）区应急救援总指挥部办公室通过有关信息平台和各类通信手段，立即向指挥部成员应急组发布事故现场信息，通知各部门进入应急状态。</w:t>
      </w:r>
    </w:p>
    <w:p w14:paraId="2F39E5B5">
      <w:pPr>
        <w:pStyle w:val="34"/>
        <w:rPr>
          <w:color w:val="auto"/>
        </w:rPr>
      </w:pPr>
      <w:r>
        <w:rPr>
          <w:rFonts w:hint="eastAsia"/>
          <w:color w:val="auto"/>
        </w:rPr>
        <w:t>（2）区急救援总指挥部办公室立即向总指挥请示报告，确定赶赴事故现场的前线指挥部成员和专家。确定赶赴现场的人员后，通过有关信息平台和各类通信手段，发布赶赴事故现场信息。相关人员收到指令后，立即赶赴现场。</w:t>
      </w:r>
    </w:p>
    <w:p w14:paraId="2BB97CFE">
      <w:pPr>
        <w:pStyle w:val="34"/>
        <w:rPr>
          <w:color w:val="auto"/>
        </w:rPr>
      </w:pPr>
      <w:r>
        <w:rPr>
          <w:rFonts w:hint="eastAsia"/>
          <w:color w:val="auto"/>
        </w:rPr>
        <w:t>（3）现场指挥部成员赶赴现场后立即开展事故会商，分析研判事故形势，研究制定事故抢险方案和保障方案，并根据事故发展态势及时调整抢救方案。</w:t>
      </w:r>
    </w:p>
    <w:p w14:paraId="64CDB65B">
      <w:pPr>
        <w:pStyle w:val="34"/>
        <w:rPr>
          <w:color w:val="auto"/>
        </w:rPr>
      </w:pPr>
      <w:r>
        <w:rPr>
          <w:rFonts w:hint="eastAsia"/>
          <w:color w:val="auto"/>
        </w:rPr>
        <w:t>（4）根据事故情况及发展态势，现场指挥部协调增调救援力量。根据实际需要，请求市指挥部调派应急专业队伍、专用工具增援，调拨抢救物资。</w:t>
      </w:r>
    </w:p>
    <w:p w14:paraId="688AFC22">
      <w:pPr>
        <w:pStyle w:val="34"/>
        <w:rPr>
          <w:color w:val="auto"/>
        </w:rPr>
      </w:pPr>
      <w:r>
        <w:rPr>
          <w:rFonts w:hint="eastAsia"/>
          <w:color w:val="auto"/>
        </w:rPr>
        <w:t>（5）进一步做好交通、通讯、测绘、电力等应急保障工作。</w:t>
      </w:r>
    </w:p>
    <w:p w14:paraId="0A241CE1">
      <w:pPr>
        <w:pStyle w:val="34"/>
        <w:rPr>
          <w:color w:val="auto"/>
        </w:rPr>
      </w:pPr>
      <w:r>
        <w:rPr>
          <w:rFonts w:hint="eastAsia"/>
          <w:color w:val="auto"/>
        </w:rPr>
        <w:t>（6）加强对重要目标物和重大危险源的排查和安全处置工作，防范次生灾害。</w:t>
      </w:r>
    </w:p>
    <w:p w14:paraId="3C60D252">
      <w:pPr>
        <w:pStyle w:val="34"/>
        <w:rPr>
          <w:color w:val="auto"/>
        </w:rPr>
      </w:pPr>
      <w:r>
        <w:rPr>
          <w:rFonts w:hint="eastAsia"/>
          <w:color w:val="auto"/>
        </w:rPr>
        <w:t>（7）进一步加强与气象部门的联动，根据事故现场气象条件，视情况组织实施人工作业。</w:t>
      </w:r>
    </w:p>
    <w:p w14:paraId="2B1DFFFC">
      <w:pPr>
        <w:pStyle w:val="34"/>
        <w:rPr>
          <w:color w:val="auto"/>
        </w:rPr>
      </w:pPr>
      <w:r>
        <w:rPr>
          <w:rFonts w:hint="eastAsia"/>
          <w:color w:val="auto"/>
        </w:rPr>
        <w:t>（8）协调媒体加强事故救灾宣传报道，统一发布事故信息；收集分析舆情，做好事故抢救宣传报道及舆论引导工作。</w:t>
      </w:r>
    </w:p>
    <w:p w14:paraId="4C945243">
      <w:pPr>
        <w:pStyle w:val="34"/>
        <w:rPr>
          <w:color w:val="auto"/>
        </w:rPr>
      </w:pPr>
      <w:r>
        <w:rPr>
          <w:rFonts w:hint="eastAsia"/>
          <w:color w:val="auto"/>
        </w:rPr>
        <w:t>（9）根据现场指挥部设立工作组情况，落实相应的工作。</w:t>
      </w:r>
    </w:p>
    <w:p w14:paraId="37699EC7">
      <w:pPr>
        <w:pStyle w:val="34"/>
        <w:rPr>
          <w:color w:val="auto"/>
        </w:rPr>
      </w:pPr>
      <w:r>
        <w:rPr>
          <w:rFonts w:hint="eastAsia"/>
          <w:color w:val="auto"/>
        </w:rPr>
        <w:t>（10）认真贯彻落实国家、应急管理部、省委省政府、市委市政府主要领导的指示批示精神。</w:t>
      </w:r>
    </w:p>
    <w:p w14:paraId="0305D1C5">
      <w:pPr>
        <w:pStyle w:val="34"/>
        <w:rPr>
          <w:color w:val="auto"/>
        </w:rPr>
      </w:pPr>
      <w:r>
        <w:rPr>
          <w:rFonts w:hint="eastAsia"/>
          <w:color w:val="auto"/>
        </w:rPr>
        <w:t>当发生特别重大、重大、较大等级的突发事件时，在做好上述1-10项重点工作的基础上，积极配合国家、省、市指挥部工作组，认真落实相应的工作。当发生一般性突发事件，按上述1-10项开展工作。</w:t>
      </w:r>
    </w:p>
    <w:bookmarkEnd w:id="122"/>
    <w:bookmarkEnd w:id="123"/>
    <w:p w14:paraId="54EBB29A">
      <w:pPr>
        <w:pStyle w:val="31"/>
        <w:rPr>
          <w:color w:val="auto"/>
        </w:rPr>
      </w:pPr>
      <w:bookmarkStart w:id="129" w:name="_Toc213413203"/>
      <w:r>
        <w:rPr>
          <w:rFonts w:hint="eastAsia"/>
          <w:color w:val="auto"/>
        </w:rPr>
        <w:t>5</w:t>
      </w:r>
      <w:r>
        <w:rPr>
          <w:color w:val="auto"/>
        </w:rPr>
        <w:t>.4</w:t>
      </w:r>
      <w:r>
        <w:rPr>
          <w:rFonts w:hint="eastAsia"/>
          <w:color w:val="auto"/>
        </w:rPr>
        <w:t>应急措施</w:t>
      </w:r>
      <w:bookmarkEnd w:id="129"/>
    </w:p>
    <w:p w14:paraId="6E4D658B">
      <w:pPr>
        <w:pStyle w:val="34"/>
        <w:rPr>
          <w:color w:val="auto"/>
        </w:rPr>
      </w:pPr>
      <w:bookmarkStart w:id="130" w:name="OLE_LINK36"/>
      <w:bookmarkStart w:id="131" w:name="OLE_LINK35"/>
      <w:r>
        <w:rPr>
          <w:rFonts w:hint="eastAsia"/>
          <w:color w:val="auto"/>
        </w:rPr>
        <w:t>突发环境事件发生后，云冈区人民政府及相关部门根据工作需要，组织采取以下措施。</w:t>
      </w:r>
    </w:p>
    <w:bookmarkEnd w:id="130"/>
    <w:bookmarkEnd w:id="131"/>
    <w:p w14:paraId="6FB7F1DB">
      <w:pPr>
        <w:pStyle w:val="36"/>
      </w:pPr>
      <w:bookmarkStart w:id="132" w:name="_Toc213413204"/>
      <w:r>
        <w:rPr>
          <w:rFonts w:hint="eastAsia"/>
        </w:rPr>
        <w:t>5</w:t>
      </w:r>
      <w:r>
        <w:t>.4.1</w:t>
      </w:r>
      <w:r>
        <w:rPr>
          <w:rFonts w:hint="eastAsia"/>
        </w:rPr>
        <w:t>现场污染处置措施</w:t>
      </w:r>
      <w:bookmarkEnd w:id="132"/>
    </w:p>
    <w:p w14:paraId="04AD8ED8">
      <w:pPr>
        <w:pStyle w:val="34"/>
        <w:rPr>
          <w:color w:val="auto"/>
        </w:rPr>
      </w:pPr>
      <w:r>
        <w:rPr>
          <w:rFonts w:hint="eastAsia"/>
          <w:color w:val="auto"/>
        </w:rPr>
        <w:t>（</w:t>
      </w:r>
      <w:r>
        <w:rPr>
          <w:color w:val="auto"/>
        </w:rPr>
        <w:t>1）涉事企业事业单位或其他生产经营者要立即采取关闭、停产封堵、围挡、喷淋、导截、收容、转移等措施，切断和控制污染源，防止污染蔓延扩散。</w:t>
      </w:r>
    </w:p>
    <w:p w14:paraId="408BD8FA">
      <w:pPr>
        <w:pStyle w:val="34"/>
        <w:rPr>
          <w:color w:val="auto"/>
        </w:rPr>
      </w:pPr>
      <w:r>
        <w:rPr>
          <w:rFonts w:hint="eastAsia"/>
          <w:color w:val="auto"/>
        </w:rPr>
        <w:t>（</w:t>
      </w:r>
      <w:r>
        <w:rPr>
          <w:color w:val="auto"/>
        </w:rPr>
        <w:t>2）迅速控制危险源，标明危险区域，封锁危险场所，划定警戒区，实行交通管制、限制人员流动、封闭管理以及其他控制措施。</w:t>
      </w:r>
    </w:p>
    <w:p w14:paraId="56B14FBD">
      <w:pPr>
        <w:pStyle w:val="34"/>
        <w:rPr>
          <w:color w:val="auto"/>
        </w:rPr>
      </w:pPr>
      <w:r>
        <w:rPr>
          <w:rFonts w:hint="eastAsia"/>
          <w:color w:val="auto"/>
        </w:rPr>
        <w:t>（</w:t>
      </w:r>
      <w:r>
        <w:rPr>
          <w:color w:val="auto"/>
        </w:rPr>
        <w:t>3）立即抢修被损坏的交通、通信、供水、排水、供电、供气、供热、医疗卫生、广播电视、气象等公共设施，向受到危害的人员提供避难场所和生活必需品，实施医疗救护和卫生防疫以及其他保障措施。</w:t>
      </w:r>
    </w:p>
    <w:p w14:paraId="10D852BE">
      <w:pPr>
        <w:pStyle w:val="34"/>
        <w:rPr>
          <w:color w:val="auto"/>
        </w:rPr>
      </w:pPr>
      <w:r>
        <w:rPr>
          <w:rFonts w:hint="eastAsia"/>
          <w:color w:val="auto"/>
        </w:rPr>
        <w:t>（</w:t>
      </w:r>
      <w:r>
        <w:rPr>
          <w:color w:val="auto"/>
        </w:rPr>
        <w:t>4）禁止或限制使用有关设备、设施，关闭或者限制使用有关场所，中止人员密集的活动或者可能导致危害扩大的生产经营活动以及采取其他保护措施。</w:t>
      </w:r>
    </w:p>
    <w:p w14:paraId="02D891DB">
      <w:pPr>
        <w:pStyle w:val="34"/>
        <w:rPr>
          <w:color w:val="auto"/>
        </w:rPr>
      </w:pPr>
      <w:r>
        <w:rPr>
          <w:rFonts w:hint="eastAsia"/>
          <w:color w:val="auto"/>
        </w:rPr>
        <w:t>（</w:t>
      </w:r>
      <w:r>
        <w:rPr>
          <w:color w:val="auto"/>
        </w:rPr>
        <w:t>5）做好有毒有害物质和消防废水、废液等的收集、清理和安全处置工作。</w:t>
      </w:r>
    </w:p>
    <w:p w14:paraId="25D93FB6">
      <w:pPr>
        <w:pStyle w:val="34"/>
        <w:rPr>
          <w:color w:val="auto"/>
        </w:rPr>
      </w:pPr>
      <w:r>
        <w:rPr>
          <w:rFonts w:hint="eastAsia"/>
          <w:color w:val="auto"/>
        </w:rPr>
        <w:t>（</w:t>
      </w:r>
      <w:r>
        <w:rPr>
          <w:color w:val="auto"/>
        </w:rPr>
        <w:t>6）当涉事企业事业单位或其他生产经营者不明时，在做好应急处置与应急监测的同时，当地生态环境部门立即组织力量对污染来源开展调查，查明涉事单位，确定污染物种类和污染范围，协调应急处置队伍切断污染源。</w:t>
      </w:r>
    </w:p>
    <w:p w14:paraId="2BAE0DD7">
      <w:pPr>
        <w:pStyle w:val="34"/>
        <w:rPr>
          <w:color w:val="auto"/>
        </w:rPr>
      </w:pPr>
      <w:r>
        <w:rPr>
          <w:rFonts w:hint="eastAsia"/>
          <w:color w:val="auto"/>
        </w:rPr>
        <w:t>（</w:t>
      </w:r>
      <w:r>
        <w:rPr>
          <w:color w:val="auto"/>
        </w:rPr>
        <w:t>7）事发地人民政府应组织制定综合治污方案，采用监测和模拟等手段追踪并分析污染气体扩散途径和范围。</w:t>
      </w:r>
    </w:p>
    <w:p w14:paraId="78251A72">
      <w:pPr>
        <w:pStyle w:val="34"/>
        <w:rPr>
          <w:color w:val="auto"/>
        </w:rPr>
      </w:pPr>
      <w:r>
        <w:rPr>
          <w:rFonts w:hint="eastAsia"/>
          <w:color w:val="auto"/>
        </w:rPr>
        <w:t>（</w:t>
      </w:r>
      <w:r>
        <w:rPr>
          <w:color w:val="auto"/>
        </w:rPr>
        <w:t>8）采取拦截、导流、疏浚等形式防止水体污染扩大；采取隔离、吸附、打捞、氧化还原、中和、沉淀、消毒、去污洗消、临时收贮、微生物消解、调水稀释、转移异地处置、临时改造污染处置工艺或临时建设污染处置工程等方法处置污染物。</w:t>
      </w:r>
    </w:p>
    <w:p w14:paraId="722744BD">
      <w:pPr>
        <w:pStyle w:val="34"/>
        <w:rPr>
          <w:color w:val="auto"/>
        </w:rPr>
      </w:pPr>
      <w:r>
        <w:rPr>
          <w:rFonts w:hint="eastAsia"/>
          <w:color w:val="auto"/>
        </w:rPr>
        <w:t>（</w:t>
      </w:r>
      <w:r>
        <w:rPr>
          <w:color w:val="auto"/>
        </w:rPr>
        <w:t>9）必要时，要求其他排污单位停产、限产、限排，减轻环境污染负荷。</w:t>
      </w:r>
    </w:p>
    <w:p w14:paraId="654B410D">
      <w:pPr>
        <w:pStyle w:val="34"/>
        <w:rPr>
          <w:color w:val="auto"/>
        </w:rPr>
      </w:pPr>
      <w:r>
        <w:rPr>
          <w:rFonts w:hint="eastAsia"/>
          <w:color w:val="auto"/>
        </w:rPr>
        <w:t>（</w:t>
      </w:r>
      <w:r>
        <w:rPr>
          <w:color w:val="auto"/>
        </w:rPr>
        <w:t>10）物资供应组根据现场抢险需要，组织抢险物资的供应以及组织车辆运送抢险物质，保障食品、饮用水、药品、燃料等基本生活必需品的供应。</w:t>
      </w:r>
    </w:p>
    <w:p w14:paraId="169726EB">
      <w:pPr>
        <w:pStyle w:val="34"/>
        <w:rPr>
          <w:color w:val="auto"/>
        </w:rPr>
      </w:pPr>
      <w:r>
        <w:rPr>
          <w:rFonts w:hint="eastAsia"/>
          <w:color w:val="auto"/>
        </w:rPr>
        <w:t>（</w:t>
      </w:r>
      <w:r>
        <w:rPr>
          <w:color w:val="auto"/>
        </w:rPr>
        <w:t>11）治安组应对现场及周围人员进行防护指导，开展人员疏散、周围物质转移、事故现场秩序维持及现场交通疏导和管理等相关工作；负责布置安全警戒，禁止无关人员和车辆进入危险区域，在人员疏散区域进行治安巡逻。</w:t>
      </w:r>
    </w:p>
    <w:p w14:paraId="5C132161">
      <w:pPr>
        <w:pStyle w:val="34"/>
        <w:rPr>
          <w:color w:val="auto"/>
        </w:rPr>
      </w:pPr>
      <w:r>
        <w:rPr>
          <w:rFonts w:hint="eastAsia"/>
          <w:color w:val="auto"/>
        </w:rPr>
        <w:t>（</w:t>
      </w:r>
      <w:r>
        <w:rPr>
          <w:color w:val="auto"/>
        </w:rPr>
        <w:t>12）立即联系专家组，征询应对方案。突发环境事件得到控制后，根据现场监测调查的结果和专家咨询意见，确定科学的污染处置方案。</w:t>
      </w:r>
    </w:p>
    <w:p w14:paraId="084A3739">
      <w:pPr>
        <w:pStyle w:val="36"/>
      </w:pPr>
      <w:bookmarkStart w:id="133" w:name="_Toc213413205"/>
      <w:r>
        <w:rPr>
          <w:rFonts w:hint="eastAsia"/>
        </w:rPr>
        <w:t>5</w:t>
      </w:r>
      <w:r>
        <w:t>.4.2</w:t>
      </w:r>
      <w:r>
        <w:rPr>
          <w:rFonts w:hint="eastAsia"/>
        </w:rPr>
        <w:t>转移安置人员</w:t>
      </w:r>
      <w:bookmarkEnd w:id="133"/>
    </w:p>
    <w:p w14:paraId="67E154AF">
      <w:pPr>
        <w:pStyle w:val="34"/>
        <w:rPr>
          <w:color w:val="auto"/>
        </w:rPr>
      </w:pPr>
      <w:r>
        <w:rPr>
          <w:rFonts w:hint="eastAsia"/>
          <w:color w:val="auto"/>
        </w:rPr>
        <w:t>（1）区政府及相关部门根据突发环境事件影响及事发当地的气象、地理环境、人员密集度等</w:t>
      </w:r>
      <w:r>
        <w:rPr>
          <w:color w:val="auto"/>
        </w:rPr>
        <w:t>，划定现场警戒、交通管制和重点防护区域</w:t>
      </w:r>
      <w:r>
        <w:rPr>
          <w:rFonts w:hint="eastAsia"/>
          <w:color w:val="auto"/>
        </w:rPr>
        <w:t>，</w:t>
      </w:r>
      <w:r>
        <w:rPr>
          <w:color w:val="auto"/>
        </w:rPr>
        <w:t>确定受威胁人员疏散的方式和途径</w:t>
      </w:r>
      <w:r>
        <w:rPr>
          <w:rFonts w:hint="eastAsia"/>
          <w:color w:val="auto"/>
        </w:rPr>
        <w:t>，</w:t>
      </w:r>
      <w:r>
        <w:rPr>
          <w:color w:val="auto"/>
        </w:rPr>
        <w:t>有组织、有秩序</w:t>
      </w:r>
      <w:r>
        <w:rPr>
          <w:rFonts w:hint="eastAsia"/>
          <w:color w:val="auto"/>
        </w:rPr>
        <w:t>地及时疏散转移受威胁人员和可能受影响地区居民，确保生命安全。</w:t>
      </w:r>
    </w:p>
    <w:p w14:paraId="34A4A1A7">
      <w:pPr>
        <w:pStyle w:val="34"/>
        <w:rPr>
          <w:color w:val="auto"/>
        </w:rPr>
      </w:pPr>
      <w:r>
        <w:rPr>
          <w:rFonts w:hint="eastAsia"/>
          <w:color w:val="auto"/>
        </w:rPr>
        <w:t>（2）妥善做好转移人员安置工作，保障受事件影响人员的基本生活需求与必要医疗条件。</w:t>
      </w:r>
    </w:p>
    <w:p w14:paraId="0A4C9F86">
      <w:pPr>
        <w:pStyle w:val="36"/>
      </w:pPr>
      <w:bookmarkStart w:id="134" w:name="_Toc213413206"/>
      <w:r>
        <w:rPr>
          <w:rFonts w:hint="eastAsia"/>
        </w:rPr>
        <w:t>5</w:t>
      </w:r>
      <w:r>
        <w:t>.4.3</w:t>
      </w:r>
      <w:r>
        <w:rPr>
          <w:rFonts w:hint="eastAsia"/>
        </w:rPr>
        <w:t>医学救援</w:t>
      </w:r>
      <w:bookmarkEnd w:id="134"/>
    </w:p>
    <w:p w14:paraId="4B821F8E">
      <w:pPr>
        <w:pStyle w:val="34"/>
        <w:rPr>
          <w:color w:val="auto"/>
        </w:rPr>
      </w:pPr>
      <w:r>
        <w:rPr>
          <w:rFonts w:hint="eastAsia"/>
          <w:color w:val="auto"/>
        </w:rPr>
        <w:t>（1）区政府及相关部门迅速组织当地医疗资源和力量，</w:t>
      </w:r>
      <w:r>
        <w:rPr>
          <w:color w:val="auto"/>
        </w:rPr>
        <w:t>对伤病员进行诊断治疗，根据需要及时、安全地将重症伤病员转运到有条件的医疗机构加强救治</w:t>
      </w:r>
      <w:r>
        <w:rPr>
          <w:rFonts w:hint="eastAsia"/>
          <w:color w:val="auto"/>
        </w:rPr>
        <w:t>。</w:t>
      </w:r>
    </w:p>
    <w:p w14:paraId="5E06EE27">
      <w:pPr>
        <w:pStyle w:val="34"/>
        <w:rPr>
          <w:color w:val="auto"/>
        </w:rPr>
      </w:pPr>
      <w:r>
        <w:rPr>
          <w:rFonts w:hint="eastAsia"/>
          <w:color w:val="auto"/>
        </w:rPr>
        <w:t>（2）</w:t>
      </w:r>
      <w:r>
        <w:rPr>
          <w:color w:val="auto"/>
        </w:rPr>
        <w:t>指导和协助开展受污染人员的去污洗消工作</w:t>
      </w:r>
      <w:r>
        <w:rPr>
          <w:rFonts w:hint="eastAsia"/>
          <w:color w:val="auto"/>
        </w:rPr>
        <w:t>，</w:t>
      </w:r>
      <w:r>
        <w:rPr>
          <w:color w:val="auto"/>
        </w:rPr>
        <w:t>提出保护公众健康的措施</w:t>
      </w:r>
      <w:r>
        <w:rPr>
          <w:rFonts w:hint="eastAsia"/>
          <w:color w:val="auto"/>
        </w:rPr>
        <w:t>建议。</w:t>
      </w:r>
    </w:p>
    <w:p w14:paraId="2F5645A8">
      <w:pPr>
        <w:pStyle w:val="34"/>
        <w:rPr>
          <w:color w:val="auto"/>
        </w:rPr>
      </w:pPr>
      <w:r>
        <w:rPr>
          <w:rFonts w:hint="eastAsia"/>
          <w:color w:val="auto"/>
        </w:rPr>
        <w:t>（3）视情增派医疗卫生专家和卫生应急队伍，</w:t>
      </w:r>
      <w:r>
        <w:rPr>
          <w:color w:val="auto"/>
        </w:rPr>
        <w:t>调配急需医药物资</w:t>
      </w:r>
      <w:r>
        <w:rPr>
          <w:rFonts w:hint="eastAsia"/>
          <w:color w:val="auto"/>
        </w:rPr>
        <w:t>，</w:t>
      </w:r>
      <w:r>
        <w:rPr>
          <w:color w:val="auto"/>
        </w:rPr>
        <w:t>支持事发地医学救援工作</w:t>
      </w:r>
      <w:r>
        <w:rPr>
          <w:rFonts w:hint="eastAsia"/>
          <w:color w:val="auto"/>
        </w:rPr>
        <w:t>，</w:t>
      </w:r>
      <w:r>
        <w:rPr>
          <w:color w:val="auto"/>
        </w:rPr>
        <w:t>做好受影响人员的心理援助及安抚工作。</w:t>
      </w:r>
    </w:p>
    <w:p w14:paraId="5958F397">
      <w:pPr>
        <w:pStyle w:val="36"/>
      </w:pPr>
      <w:bookmarkStart w:id="135" w:name="_Toc213413207"/>
      <w:r>
        <w:t>5.4.4</w:t>
      </w:r>
      <w:r>
        <w:rPr>
          <w:rFonts w:hint="eastAsia"/>
        </w:rPr>
        <w:t>应急监测</w:t>
      </w:r>
      <w:bookmarkEnd w:id="135"/>
    </w:p>
    <w:p w14:paraId="6A3646C5">
      <w:pPr>
        <w:pStyle w:val="34"/>
        <w:rPr>
          <w:color w:val="auto"/>
        </w:rPr>
      </w:pPr>
      <w:r>
        <w:rPr>
          <w:rFonts w:hint="eastAsia"/>
          <w:color w:val="auto"/>
        </w:rPr>
        <w:t>开展生态环境应急监测，保护集中式饮用水水源地等环境敏感目标，控制和处置污染物。区政府及相关部门加强大气、水体、土壤等应急监测工作。根据突发环境事件污染物种类、性质以及当地自然、社会环境状况等</w:t>
      </w:r>
      <w:r>
        <w:rPr>
          <w:color w:val="auto"/>
        </w:rPr>
        <w:t>，制定科学有效的应急监测方案，确定监测方法、点位和频次，调配应急监测设备、车辆，及时准确监测，为突发环境事件应急决策提供依据。视污染物的扩散情况和监测结果的变化趋势，经咨询专家，可对监测方案进行适时调整。</w:t>
      </w:r>
    </w:p>
    <w:p w14:paraId="0687573D">
      <w:pPr>
        <w:pStyle w:val="36"/>
      </w:pPr>
      <w:bookmarkStart w:id="136" w:name="_Toc213413208"/>
      <w:r>
        <w:rPr>
          <w:rFonts w:hint="eastAsia"/>
        </w:rPr>
        <w:t>5</w:t>
      </w:r>
      <w:r>
        <w:t>.4.5</w:t>
      </w:r>
      <w:r>
        <w:rPr>
          <w:rFonts w:hint="eastAsia"/>
        </w:rPr>
        <w:t>市场监管和调控</w:t>
      </w:r>
      <w:bookmarkEnd w:id="136"/>
    </w:p>
    <w:p w14:paraId="5A221579">
      <w:pPr>
        <w:pStyle w:val="34"/>
        <w:rPr>
          <w:color w:val="auto"/>
        </w:rPr>
      </w:pPr>
      <w:r>
        <w:rPr>
          <w:rFonts w:hint="eastAsia"/>
          <w:color w:val="auto"/>
        </w:rPr>
        <w:t>（1）区政府及相关部门密切关注受事件影响地区市场供应情况及公众反应</w:t>
      </w:r>
      <w:r>
        <w:rPr>
          <w:color w:val="auto"/>
        </w:rPr>
        <w:t>，加强对重要生活必需品等商品的市场监管和调控。</w:t>
      </w:r>
    </w:p>
    <w:p w14:paraId="106C2359">
      <w:pPr>
        <w:pStyle w:val="34"/>
        <w:rPr>
          <w:color w:val="auto"/>
        </w:rPr>
      </w:pPr>
      <w:r>
        <w:rPr>
          <w:rFonts w:hint="eastAsia"/>
          <w:color w:val="auto"/>
        </w:rPr>
        <w:t>（2）</w:t>
      </w:r>
      <w:r>
        <w:rPr>
          <w:color w:val="auto"/>
        </w:rPr>
        <w:t>禁止或限制受污染食品和饮用水的生产、加工、流通和食用，防范因突发环境事件造成的集体中毒等。</w:t>
      </w:r>
    </w:p>
    <w:p w14:paraId="47FE6B7E">
      <w:pPr>
        <w:pStyle w:val="34"/>
        <w:rPr>
          <w:color w:val="auto"/>
        </w:rPr>
      </w:pPr>
      <w:r>
        <w:rPr>
          <w:rFonts w:hint="eastAsia"/>
          <w:color w:val="auto"/>
        </w:rPr>
        <w:t>（3）依法从严惩处囤积居奇、哄抬物价、牟取暴利、制假售假等扰乱市场秩序的行为，维护市场秩序。</w:t>
      </w:r>
    </w:p>
    <w:p w14:paraId="09728BB1">
      <w:pPr>
        <w:pStyle w:val="34"/>
        <w:rPr>
          <w:color w:val="auto"/>
        </w:rPr>
      </w:pPr>
      <w:r>
        <w:rPr>
          <w:rFonts w:hint="eastAsia"/>
          <w:color w:val="auto"/>
        </w:rPr>
        <w:t>（4）依法从严惩处哄抢财物、干扰破坏应急处置工作等扰乱社会秩序的行为，维护社会治安。</w:t>
      </w:r>
    </w:p>
    <w:p w14:paraId="103A2A2A">
      <w:pPr>
        <w:pStyle w:val="36"/>
      </w:pPr>
      <w:bookmarkStart w:id="137" w:name="_Toc213413209"/>
      <w:r>
        <w:rPr>
          <w:rFonts w:hint="eastAsia"/>
        </w:rPr>
        <w:t>5</w:t>
      </w:r>
      <w:r>
        <w:t>.4.6</w:t>
      </w:r>
      <w:r>
        <w:rPr>
          <w:rFonts w:hint="eastAsia"/>
        </w:rPr>
        <w:t>信息发布和舆论引导</w:t>
      </w:r>
      <w:bookmarkEnd w:id="137"/>
    </w:p>
    <w:p w14:paraId="765D6D0A">
      <w:pPr>
        <w:pStyle w:val="34"/>
        <w:rPr>
          <w:color w:val="auto"/>
        </w:rPr>
      </w:pPr>
      <w:r>
        <w:rPr>
          <w:rFonts w:hint="eastAsia"/>
          <w:color w:val="auto"/>
        </w:rPr>
        <w:t>云冈区人民政府组织有关部门通过发新闻稿、接受记者采访、举行新闻发布会、组织专家解读等方式，借助电视、广播、报纸、互联网、移动网络等多种途径，主动、及时、客观向社会发布突发环境事件和应对工作信息，回应社会关切，澄清不实信息，正确引导社会舆论。</w:t>
      </w:r>
    </w:p>
    <w:p w14:paraId="60C218C0">
      <w:pPr>
        <w:pStyle w:val="34"/>
        <w:rPr>
          <w:color w:val="auto"/>
        </w:rPr>
      </w:pPr>
      <w:r>
        <w:rPr>
          <w:color w:val="auto"/>
        </w:rPr>
        <w:t>信息发布内容包括事件原因、污染程度、影响范围、应对措施、需要公众配合采取的措施、公众防范常识和事件调查处理进展情况等</w:t>
      </w:r>
      <w:r>
        <w:rPr>
          <w:rFonts w:hint="eastAsia"/>
          <w:color w:val="auto"/>
        </w:rPr>
        <w:t>。</w:t>
      </w:r>
    </w:p>
    <w:p w14:paraId="72A8E3FC">
      <w:pPr>
        <w:pStyle w:val="34"/>
        <w:rPr>
          <w:color w:val="auto"/>
        </w:rPr>
      </w:pPr>
      <w:r>
        <w:rPr>
          <w:rFonts w:hint="eastAsia"/>
          <w:color w:val="auto"/>
        </w:rPr>
        <w:t>发生跨省突发环境事件时，应向市、省政府通报应急处置情况，同时上报生态环境部，及时按要求和权限发布信息。</w:t>
      </w:r>
    </w:p>
    <w:p w14:paraId="476A170E">
      <w:pPr>
        <w:pStyle w:val="36"/>
      </w:pPr>
      <w:bookmarkStart w:id="138" w:name="_Toc213413210"/>
      <w:r>
        <w:rPr>
          <w:rFonts w:hint="eastAsia"/>
        </w:rPr>
        <w:t>5</w:t>
      </w:r>
      <w:r>
        <w:t>.4.7</w:t>
      </w:r>
      <w:r>
        <w:rPr>
          <w:rFonts w:hint="eastAsia"/>
        </w:rPr>
        <w:t>维护社会稳定</w:t>
      </w:r>
      <w:bookmarkEnd w:id="138"/>
    </w:p>
    <w:p w14:paraId="5CE50023">
      <w:pPr>
        <w:pStyle w:val="34"/>
        <w:rPr>
          <w:color w:val="auto"/>
        </w:rPr>
      </w:pPr>
      <w:bookmarkStart w:id="139" w:name="OLE_LINK38"/>
      <w:bookmarkStart w:id="140" w:name="OLE_LINK37"/>
      <w:r>
        <w:rPr>
          <w:rFonts w:hint="eastAsia"/>
          <w:color w:val="auto"/>
        </w:rPr>
        <w:t>区政府及相关部门要加强受影响地区社会治安管理，</w:t>
      </w:r>
      <w:r>
        <w:rPr>
          <w:color w:val="auto"/>
        </w:rPr>
        <w:t>严厉打击借机传播谣言制造社会恐慌、哄抢救灾物资等违法犯罪行为</w:t>
      </w:r>
      <w:r>
        <w:rPr>
          <w:rFonts w:hint="eastAsia"/>
          <w:color w:val="auto"/>
        </w:rPr>
        <w:t>；</w:t>
      </w:r>
      <w:r>
        <w:rPr>
          <w:color w:val="auto"/>
        </w:rPr>
        <w:t>加强转移人员安置点、救灾物资存放点等重点地区治安管控</w:t>
      </w:r>
      <w:r>
        <w:rPr>
          <w:rFonts w:hint="eastAsia"/>
          <w:color w:val="auto"/>
        </w:rPr>
        <w:t>；</w:t>
      </w:r>
      <w:r>
        <w:rPr>
          <w:color w:val="auto"/>
        </w:rPr>
        <w:t>做好受影响人员与涉事单位</w:t>
      </w:r>
      <w:r>
        <w:rPr>
          <w:rFonts w:hint="eastAsia"/>
          <w:color w:val="auto"/>
        </w:rPr>
        <w:t>，</w:t>
      </w:r>
      <w:r>
        <w:rPr>
          <w:color w:val="auto"/>
        </w:rPr>
        <w:t>与</w:t>
      </w:r>
      <w:r>
        <w:rPr>
          <w:rFonts w:hint="eastAsia"/>
          <w:color w:val="auto"/>
        </w:rPr>
        <w:t>大同市、云冈区人民</w:t>
      </w:r>
      <w:r>
        <w:rPr>
          <w:color w:val="auto"/>
        </w:rPr>
        <w:t>政府及有关部门矛盾纠纷化解和法律服务</w:t>
      </w:r>
      <w:r>
        <w:rPr>
          <w:rFonts w:hint="eastAsia"/>
          <w:color w:val="auto"/>
        </w:rPr>
        <w:t>工作，</w:t>
      </w:r>
      <w:r>
        <w:rPr>
          <w:color w:val="auto"/>
        </w:rPr>
        <w:t>防止出现群体性事件</w:t>
      </w:r>
      <w:r>
        <w:rPr>
          <w:rFonts w:hint="eastAsia"/>
          <w:color w:val="auto"/>
        </w:rPr>
        <w:t>，</w:t>
      </w:r>
      <w:r>
        <w:rPr>
          <w:color w:val="auto"/>
        </w:rPr>
        <w:t>维护社会稳定。</w:t>
      </w:r>
    </w:p>
    <w:bookmarkEnd w:id="139"/>
    <w:bookmarkEnd w:id="140"/>
    <w:p w14:paraId="454D591E">
      <w:pPr>
        <w:pStyle w:val="31"/>
        <w:rPr>
          <w:color w:val="auto"/>
        </w:rPr>
      </w:pPr>
      <w:bookmarkStart w:id="141" w:name="_Toc213413211"/>
      <w:r>
        <w:rPr>
          <w:rFonts w:hint="eastAsia"/>
          <w:color w:val="auto"/>
        </w:rPr>
        <w:t>5</w:t>
      </w:r>
      <w:r>
        <w:rPr>
          <w:color w:val="auto"/>
        </w:rPr>
        <w:t>.5</w:t>
      </w:r>
      <w:r>
        <w:rPr>
          <w:rFonts w:hint="eastAsia"/>
          <w:color w:val="auto"/>
        </w:rPr>
        <w:t>响应终止</w:t>
      </w:r>
      <w:bookmarkEnd w:id="141"/>
    </w:p>
    <w:p w14:paraId="1ECA57D5">
      <w:pPr>
        <w:pStyle w:val="34"/>
        <w:rPr>
          <w:color w:val="auto"/>
        </w:rPr>
      </w:pPr>
      <w:r>
        <w:rPr>
          <w:rFonts w:hint="eastAsia"/>
          <w:color w:val="auto"/>
        </w:rPr>
        <w:t>应急终止须同时满足以下条件：</w:t>
      </w:r>
    </w:p>
    <w:p w14:paraId="498485CD">
      <w:pPr>
        <w:pStyle w:val="34"/>
        <w:rPr>
          <w:color w:val="auto"/>
        </w:rPr>
      </w:pPr>
      <w:r>
        <w:rPr>
          <w:rFonts w:hint="eastAsia"/>
          <w:color w:val="auto"/>
        </w:rPr>
        <w:t>①污染源已完全切断；</w:t>
      </w:r>
    </w:p>
    <w:p w14:paraId="2027A075">
      <w:pPr>
        <w:pStyle w:val="34"/>
        <w:rPr>
          <w:color w:val="auto"/>
        </w:rPr>
      </w:pPr>
      <w:r>
        <w:rPr>
          <w:rFonts w:hint="eastAsia"/>
          <w:color w:val="auto"/>
        </w:rPr>
        <w:t>②特征污染物连续</w:t>
      </w:r>
      <w:r>
        <w:rPr>
          <w:color w:val="auto"/>
        </w:rPr>
        <w:t>48小时监测浓度低于事件前环境本底值；</w:t>
      </w:r>
    </w:p>
    <w:p w14:paraId="504975EC">
      <w:pPr>
        <w:pStyle w:val="34"/>
        <w:rPr>
          <w:color w:val="auto"/>
        </w:rPr>
      </w:pPr>
      <w:r>
        <w:rPr>
          <w:color w:val="auto"/>
        </w:rPr>
        <w:t>③专家组出具书面评估报告确认无次生风险。</w:t>
      </w:r>
    </w:p>
    <w:p w14:paraId="5633C9FE">
      <w:pPr>
        <w:pStyle w:val="34"/>
        <w:rPr>
          <w:color w:val="auto"/>
        </w:rPr>
      </w:pPr>
      <w:r>
        <w:rPr>
          <w:rFonts w:hint="eastAsia"/>
          <w:color w:val="auto"/>
        </w:rPr>
        <w:t>符合终止条件时，由启动应急响应的人民政府终止应急响应。</w:t>
      </w:r>
    </w:p>
    <w:p w14:paraId="358058CC">
      <w:pPr>
        <w:pStyle w:val="34"/>
        <w:rPr>
          <w:color w:val="auto"/>
        </w:rPr>
        <w:sectPr>
          <w:pgSz w:w="11906" w:h="16838"/>
          <w:pgMar w:top="1440" w:right="1701" w:bottom="1440" w:left="1701" w:header="851" w:footer="992" w:gutter="0"/>
          <w:cols w:space="425" w:num="1"/>
          <w:docGrid w:type="lines" w:linePitch="312" w:charSpace="0"/>
        </w:sectPr>
      </w:pPr>
    </w:p>
    <w:p w14:paraId="1650823E">
      <w:pPr>
        <w:pStyle w:val="30"/>
        <w:rPr>
          <w:color w:val="auto"/>
        </w:rPr>
      </w:pPr>
      <w:bookmarkStart w:id="142" w:name="_Toc213413212"/>
      <w:r>
        <w:rPr>
          <w:color w:val="auto"/>
        </w:rPr>
        <w:t>6</w:t>
      </w:r>
      <w:r>
        <w:rPr>
          <w:rFonts w:hint="eastAsia"/>
          <w:color w:val="auto"/>
        </w:rPr>
        <w:t>后期处置</w:t>
      </w:r>
      <w:bookmarkEnd w:id="142"/>
    </w:p>
    <w:p w14:paraId="62595519">
      <w:pPr>
        <w:pStyle w:val="31"/>
        <w:rPr>
          <w:color w:val="auto"/>
        </w:rPr>
      </w:pPr>
      <w:bookmarkStart w:id="143" w:name="_Toc213413213"/>
      <w:r>
        <w:rPr>
          <w:rFonts w:hint="eastAsia"/>
          <w:color w:val="auto"/>
        </w:rPr>
        <w:t>6</w:t>
      </w:r>
      <w:r>
        <w:rPr>
          <w:color w:val="auto"/>
        </w:rPr>
        <w:t>.1</w:t>
      </w:r>
      <w:r>
        <w:rPr>
          <w:rFonts w:hint="eastAsia"/>
          <w:color w:val="auto"/>
        </w:rPr>
        <w:t>损害评估</w:t>
      </w:r>
      <w:bookmarkEnd w:id="143"/>
    </w:p>
    <w:p w14:paraId="4F684C4D">
      <w:pPr>
        <w:pStyle w:val="34"/>
        <w:rPr>
          <w:color w:val="auto"/>
        </w:rPr>
      </w:pPr>
      <w:r>
        <w:rPr>
          <w:rFonts w:hint="eastAsia"/>
          <w:color w:val="auto"/>
        </w:rPr>
        <w:t>突发环境事件应急响应终止后，应急指挥部要及时组织开展污染损害评估，并将评估结果向社会公布。评估结论作为事件调查处理、损害赔偿、环境修复和生态恢复重建的依据。</w:t>
      </w:r>
    </w:p>
    <w:p w14:paraId="78D693E4">
      <w:pPr>
        <w:pStyle w:val="34"/>
        <w:rPr>
          <w:color w:val="auto"/>
        </w:rPr>
      </w:pPr>
      <w:r>
        <w:rPr>
          <w:rFonts w:hint="eastAsia"/>
          <w:color w:val="auto"/>
        </w:rPr>
        <w:t>损害评估按照原环境保护部《突发环境事件应急处置阶段污染损害评估工作程序规定》《突发环境事件应急处置阶段环境损害评估推荐方法》《环境损害鉴定评估推荐方法（第</w:t>
      </w:r>
      <w:r>
        <w:rPr>
          <w:color w:val="auto"/>
        </w:rPr>
        <w:t>II</w:t>
      </w:r>
      <w:r>
        <w:rPr>
          <w:rFonts w:hint="eastAsia"/>
          <w:color w:val="auto"/>
        </w:rPr>
        <w:t>版）》等相关规定执行。</w:t>
      </w:r>
    </w:p>
    <w:p w14:paraId="4D85A7E0">
      <w:pPr>
        <w:pStyle w:val="31"/>
        <w:rPr>
          <w:color w:val="auto"/>
        </w:rPr>
      </w:pPr>
      <w:bookmarkStart w:id="144" w:name="_Toc213413214"/>
      <w:r>
        <w:rPr>
          <w:rFonts w:hint="eastAsia"/>
          <w:color w:val="auto"/>
        </w:rPr>
        <w:t>6</w:t>
      </w:r>
      <w:r>
        <w:rPr>
          <w:color w:val="auto"/>
        </w:rPr>
        <w:t>.2</w:t>
      </w:r>
      <w:r>
        <w:rPr>
          <w:rFonts w:hint="eastAsia"/>
          <w:color w:val="auto"/>
        </w:rPr>
        <w:t>事件调查</w:t>
      </w:r>
      <w:bookmarkEnd w:id="144"/>
    </w:p>
    <w:p w14:paraId="563EB681">
      <w:pPr>
        <w:pStyle w:val="34"/>
        <w:rPr>
          <w:color w:val="auto"/>
        </w:rPr>
      </w:pPr>
      <w:r>
        <w:rPr>
          <w:rFonts w:hint="eastAsia"/>
          <w:color w:val="auto"/>
        </w:rPr>
        <w:t>突发环境事件应急处置工作结束后，根据《突发环境事件调查处理办法》等有关规定，由生态环境主管部门牵头，可会会同公安、交通运输、水利、农业、卫生、安全监管、林业、地震等有关部门，同时邀请应急管理、环境监测、环境影响评价管理、环境监察等相关机构的有关人员，组织开展事件调查，查明事件原因和性质，提出整改防范措施和处理建议。</w:t>
      </w:r>
    </w:p>
    <w:p w14:paraId="03C40248">
      <w:pPr>
        <w:pStyle w:val="34"/>
        <w:rPr>
          <w:color w:val="auto"/>
        </w:rPr>
      </w:pPr>
      <w:r>
        <w:rPr>
          <w:rFonts w:hint="eastAsia"/>
          <w:color w:val="auto"/>
        </w:rPr>
        <w:t>生态环境部负责组织重大和特别重大突发环境事件的调查处理；省级环境保护主管部门负责组织较大突发环境事件的调查处理；事发地设区的市级环境保护主管部门视情况组织一般突发环境事件的调查处理。市生态环境局云冈分局对上级的调查处理予以配合。</w:t>
      </w:r>
    </w:p>
    <w:p w14:paraId="57E30B07">
      <w:pPr>
        <w:pStyle w:val="31"/>
        <w:rPr>
          <w:color w:val="auto"/>
        </w:rPr>
      </w:pPr>
      <w:bookmarkStart w:id="145" w:name="_Toc213413215"/>
      <w:r>
        <w:rPr>
          <w:rFonts w:hint="eastAsia"/>
          <w:color w:val="auto"/>
        </w:rPr>
        <w:t>6</w:t>
      </w:r>
      <w:r>
        <w:rPr>
          <w:color w:val="auto"/>
        </w:rPr>
        <w:t>.3</w:t>
      </w:r>
      <w:r>
        <w:rPr>
          <w:rFonts w:hint="eastAsia"/>
          <w:color w:val="auto"/>
        </w:rPr>
        <w:t>善后处置</w:t>
      </w:r>
      <w:bookmarkEnd w:id="145"/>
    </w:p>
    <w:p w14:paraId="226585B7">
      <w:pPr>
        <w:pStyle w:val="34"/>
        <w:rPr>
          <w:color w:val="auto"/>
        </w:rPr>
      </w:pPr>
      <w:r>
        <w:rPr>
          <w:rFonts w:hint="eastAsia"/>
          <w:color w:val="auto"/>
        </w:rPr>
        <w:t>事发地人民政府要组织专家对受影响地区进行科学评估，及时制定补助、补偿、抚慰、抚恤、安置和环境恢复等善后工作方案并组织实施。</w:t>
      </w:r>
      <w:r>
        <w:rPr>
          <w:color w:val="auto"/>
        </w:rPr>
        <w:t>已承担涉事企业环境污染责任保险、人员意外伤害保险的保险机构及时开展相关理赔工作。</w:t>
      </w:r>
    </w:p>
    <w:p w14:paraId="01F7904E">
      <w:pPr>
        <w:pStyle w:val="36"/>
      </w:pPr>
      <w:bookmarkStart w:id="146" w:name="_Toc213413216"/>
      <w:r>
        <w:t>6.3.1伤亡人员的安置与抚恤</w:t>
      </w:r>
      <w:bookmarkEnd w:id="146"/>
    </w:p>
    <w:p w14:paraId="7EA50E03">
      <w:pPr>
        <w:pStyle w:val="34"/>
        <w:rPr>
          <w:color w:val="auto"/>
        </w:rPr>
      </w:pPr>
      <w:r>
        <w:rPr>
          <w:rFonts w:hint="eastAsia"/>
          <w:color w:val="auto"/>
        </w:rPr>
        <w:t>（</w:t>
      </w:r>
      <w:r>
        <w:rPr>
          <w:color w:val="auto"/>
        </w:rPr>
        <w:t>1）做好受灾人员及家属的救治抚恤工作，做好精神安抚工作，对受伤严重人员继续治疗，以保证人心稳定，快速投入正常生产。</w:t>
      </w:r>
    </w:p>
    <w:p w14:paraId="1E907CFA">
      <w:pPr>
        <w:pStyle w:val="34"/>
        <w:rPr>
          <w:color w:val="auto"/>
        </w:rPr>
      </w:pPr>
      <w:r>
        <w:rPr>
          <w:rFonts w:hint="eastAsia"/>
          <w:color w:val="auto"/>
        </w:rPr>
        <w:t>（</w:t>
      </w:r>
      <w:r>
        <w:rPr>
          <w:color w:val="auto"/>
        </w:rPr>
        <w:t>2）对周围单位及群众受伤人员，妥善救治受伤人员、妥善安置死亡人员，做好家属抚恤工作，及时做好伤害赔偿工作。</w:t>
      </w:r>
    </w:p>
    <w:p w14:paraId="329886F6">
      <w:pPr>
        <w:pStyle w:val="34"/>
        <w:rPr>
          <w:color w:val="auto"/>
        </w:rPr>
      </w:pPr>
      <w:r>
        <w:rPr>
          <w:rFonts w:hint="eastAsia"/>
          <w:color w:val="auto"/>
        </w:rPr>
        <w:t>（</w:t>
      </w:r>
      <w:r>
        <w:rPr>
          <w:color w:val="auto"/>
        </w:rPr>
        <w:t>3）协调社会力量，恢复正常生产、生活秩序。</w:t>
      </w:r>
    </w:p>
    <w:p w14:paraId="1054D214">
      <w:pPr>
        <w:pStyle w:val="36"/>
      </w:pPr>
      <w:bookmarkStart w:id="147" w:name="_Toc213413217"/>
      <w:r>
        <w:t>6.3.2调用物资的清理与损失补偿</w:t>
      </w:r>
      <w:bookmarkEnd w:id="147"/>
    </w:p>
    <w:p w14:paraId="60414F18">
      <w:pPr>
        <w:pStyle w:val="34"/>
        <w:rPr>
          <w:color w:val="auto"/>
        </w:rPr>
      </w:pPr>
      <w:r>
        <w:rPr>
          <w:rFonts w:hint="eastAsia"/>
          <w:color w:val="auto"/>
        </w:rPr>
        <w:t>（</w:t>
      </w:r>
      <w:r>
        <w:rPr>
          <w:color w:val="auto"/>
        </w:rPr>
        <w:t>1）组织物资供应部门对调用物资进行及时清理。</w:t>
      </w:r>
    </w:p>
    <w:p w14:paraId="634979C5">
      <w:pPr>
        <w:pStyle w:val="34"/>
        <w:rPr>
          <w:color w:val="auto"/>
        </w:rPr>
      </w:pPr>
      <w:r>
        <w:rPr>
          <w:rFonts w:hint="eastAsia"/>
          <w:color w:val="auto"/>
        </w:rPr>
        <w:t>（</w:t>
      </w:r>
      <w:r>
        <w:rPr>
          <w:color w:val="auto"/>
        </w:rPr>
        <w:t>2）清查事故造成的环境损失，对环境损失进行补偿，对进行环境治理与恢复所需费用进行支付。</w:t>
      </w:r>
    </w:p>
    <w:p w14:paraId="5C837B8D">
      <w:pPr>
        <w:pStyle w:val="34"/>
        <w:rPr>
          <w:color w:val="auto"/>
        </w:rPr>
      </w:pPr>
      <w:r>
        <w:rPr>
          <w:rFonts w:hint="eastAsia"/>
          <w:color w:val="auto"/>
        </w:rPr>
        <w:t>（</w:t>
      </w:r>
      <w:r>
        <w:rPr>
          <w:color w:val="auto"/>
        </w:rPr>
        <w:t>3）清查事故造成的经济损失，根据国家政策进行补偿。</w:t>
      </w:r>
    </w:p>
    <w:p w14:paraId="320BF89F">
      <w:pPr>
        <w:pStyle w:val="36"/>
      </w:pPr>
      <w:bookmarkStart w:id="148" w:name="_Toc213413218"/>
      <w:r>
        <w:t>6.3.3社会救助</w:t>
      </w:r>
      <w:bookmarkEnd w:id="148"/>
    </w:p>
    <w:p w14:paraId="71CD0910">
      <w:pPr>
        <w:pStyle w:val="34"/>
        <w:rPr>
          <w:color w:val="auto"/>
        </w:rPr>
      </w:pPr>
      <w:r>
        <w:rPr>
          <w:rFonts w:hint="eastAsia"/>
          <w:color w:val="auto"/>
        </w:rPr>
        <w:t>（</w:t>
      </w:r>
      <w:r>
        <w:rPr>
          <w:color w:val="auto"/>
        </w:rPr>
        <w:t>1）整理救助财务，制定补偿发放方案，及时发放。</w:t>
      </w:r>
    </w:p>
    <w:p w14:paraId="7CDC33FE">
      <w:pPr>
        <w:pStyle w:val="34"/>
        <w:rPr>
          <w:color w:val="auto"/>
        </w:rPr>
      </w:pPr>
      <w:r>
        <w:rPr>
          <w:rFonts w:hint="eastAsia"/>
          <w:color w:val="auto"/>
        </w:rPr>
        <w:t>（</w:t>
      </w:r>
      <w:r>
        <w:rPr>
          <w:color w:val="auto"/>
        </w:rPr>
        <w:t>2）协调保险公司，及时对损失者进行保险理赔。</w:t>
      </w:r>
    </w:p>
    <w:p w14:paraId="610BB29A">
      <w:pPr>
        <w:pStyle w:val="34"/>
        <w:rPr>
          <w:color w:val="auto"/>
        </w:rPr>
      </w:pPr>
      <w:r>
        <w:rPr>
          <w:rFonts w:hint="eastAsia"/>
          <w:color w:val="auto"/>
        </w:rPr>
        <w:t>（</w:t>
      </w:r>
      <w:r>
        <w:rPr>
          <w:color w:val="auto"/>
        </w:rPr>
        <w:t>3）制定恢复生产方案，核算并筹集恢复生产所需资金。</w:t>
      </w:r>
    </w:p>
    <w:p w14:paraId="1E553697">
      <w:pPr>
        <w:pStyle w:val="36"/>
      </w:pPr>
      <w:bookmarkStart w:id="149" w:name="_Toc213413219"/>
      <w:r>
        <w:t>6.3.4环境恢复</w:t>
      </w:r>
      <w:bookmarkEnd w:id="149"/>
    </w:p>
    <w:p w14:paraId="757048EA">
      <w:pPr>
        <w:pStyle w:val="34"/>
        <w:rPr>
          <w:color w:val="auto"/>
        </w:rPr>
      </w:pPr>
      <w:r>
        <w:rPr>
          <w:rFonts w:hint="eastAsia"/>
          <w:color w:val="auto"/>
        </w:rPr>
        <w:t>环境恢复是指通过适宜的手段、采取正确的措施，将被污染的土壤、水体、植被、设备等污染承载体的污染物去除，达到环境本底值要求的一系列活动的总称。</w:t>
      </w:r>
    </w:p>
    <w:p w14:paraId="68EA1A20">
      <w:pPr>
        <w:pStyle w:val="34"/>
        <w:rPr>
          <w:color w:val="auto"/>
        </w:rPr>
      </w:pPr>
      <w:r>
        <w:rPr>
          <w:rFonts w:hint="eastAsia"/>
          <w:color w:val="auto"/>
        </w:rPr>
        <w:t>环境恢复遵循以下原则：迅速、彻底的清除现场设施、土壤、水体内残留的污染物，且不增加新的污染，不产生二次污染。</w:t>
      </w:r>
    </w:p>
    <w:p w14:paraId="2C4D6D41">
      <w:pPr>
        <w:pStyle w:val="34"/>
        <w:rPr>
          <w:color w:val="auto"/>
        </w:rPr>
        <w:sectPr>
          <w:pgSz w:w="11906" w:h="16838"/>
          <w:pgMar w:top="1440" w:right="1701" w:bottom="1440" w:left="1701" w:header="851" w:footer="992" w:gutter="0"/>
          <w:cols w:space="425" w:num="1"/>
          <w:docGrid w:type="lines" w:linePitch="312" w:charSpace="0"/>
        </w:sectPr>
      </w:pPr>
    </w:p>
    <w:p w14:paraId="17A34A81">
      <w:pPr>
        <w:pStyle w:val="30"/>
        <w:rPr>
          <w:color w:val="auto"/>
        </w:rPr>
      </w:pPr>
      <w:bookmarkStart w:id="150" w:name="_Toc213413220"/>
      <w:r>
        <w:rPr>
          <w:rFonts w:hint="eastAsia"/>
          <w:color w:val="auto"/>
        </w:rPr>
        <w:t>7应急保障</w:t>
      </w:r>
      <w:bookmarkEnd w:id="150"/>
    </w:p>
    <w:p w14:paraId="2C468433">
      <w:pPr>
        <w:pStyle w:val="31"/>
        <w:rPr>
          <w:color w:val="auto"/>
        </w:rPr>
      </w:pPr>
      <w:bookmarkStart w:id="151" w:name="_Toc213413221"/>
      <w:r>
        <w:rPr>
          <w:rFonts w:hint="eastAsia"/>
          <w:color w:val="auto"/>
        </w:rPr>
        <w:t>7</w:t>
      </w:r>
      <w:r>
        <w:rPr>
          <w:color w:val="auto"/>
        </w:rPr>
        <w:t>.1</w:t>
      </w:r>
      <w:r>
        <w:rPr>
          <w:rFonts w:hint="eastAsia"/>
          <w:color w:val="auto"/>
        </w:rPr>
        <w:t>队伍保障</w:t>
      </w:r>
      <w:bookmarkEnd w:id="151"/>
    </w:p>
    <w:p w14:paraId="0FEBA23F">
      <w:pPr>
        <w:pStyle w:val="34"/>
        <w:rPr>
          <w:color w:val="auto"/>
        </w:rPr>
      </w:pPr>
      <w:r>
        <w:rPr>
          <w:rFonts w:hint="eastAsia"/>
          <w:color w:val="auto"/>
        </w:rPr>
        <w:t>区应急指挥部办公室应依托环境应急监测队伍、消防队、企业应急专业队伍、社会志愿者队伍，通过组织专业知识培训、应急演练等方式，形成我区熟悉环境应急知识、充分掌握各类突发环境事件处置措施的综合环境事件应急队伍，确保环境事件发生时，能够迅速参与并完成应急监测、污染防控等现场处置工作。</w:t>
      </w:r>
    </w:p>
    <w:p w14:paraId="5238F644">
      <w:pPr>
        <w:pStyle w:val="34"/>
        <w:rPr>
          <w:color w:val="auto"/>
        </w:rPr>
      </w:pPr>
      <w:r>
        <w:rPr>
          <w:rFonts w:hint="eastAsia"/>
          <w:color w:val="auto"/>
        </w:rPr>
        <w:t>区人民政府及有关部门应当建立健全突发环境事件专家咨询论证制度，发挥专业人员在突发环境事件应对工作中的作用，为较大突发环境事件应急处置方案制定、污染损害评估和调查处理工作提供决策建议。</w:t>
      </w:r>
    </w:p>
    <w:p w14:paraId="0C7B1861">
      <w:pPr>
        <w:pStyle w:val="31"/>
        <w:rPr>
          <w:color w:val="auto"/>
        </w:rPr>
      </w:pPr>
      <w:bookmarkStart w:id="152" w:name="_Toc213413222"/>
      <w:r>
        <w:rPr>
          <w:rFonts w:hint="eastAsia"/>
          <w:color w:val="auto"/>
        </w:rPr>
        <w:t>7</w:t>
      </w:r>
      <w:r>
        <w:rPr>
          <w:color w:val="auto"/>
        </w:rPr>
        <w:t>.2</w:t>
      </w:r>
      <w:r>
        <w:rPr>
          <w:rFonts w:hint="eastAsia"/>
          <w:color w:val="auto"/>
        </w:rPr>
        <w:t>物资与资金保障</w:t>
      </w:r>
      <w:bookmarkEnd w:id="152"/>
    </w:p>
    <w:p w14:paraId="58875239">
      <w:pPr>
        <w:pStyle w:val="34"/>
        <w:rPr>
          <w:color w:val="auto"/>
        </w:rPr>
      </w:pPr>
      <w:r>
        <w:rPr>
          <w:rFonts w:hint="eastAsia"/>
          <w:color w:val="auto"/>
        </w:rPr>
        <w:t>云冈区人民政府及其有关部门要加强应急物资储备，制定环境应急物资储备计划，建立应急物资储备库，组织应急物资的监管、生产、储存、更新、补充、调拨和紧急配送等工作。鼓励支持社会化应急物资储备。市生态环境局云冈分局要加强对当地环境应急物资储备信息的动态管理。</w:t>
      </w:r>
    </w:p>
    <w:p w14:paraId="7AE0C188">
      <w:pPr>
        <w:pStyle w:val="34"/>
        <w:rPr>
          <w:color w:val="auto"/>
        </w:rPr>
      </w:pPr>
      <w:r>
        <w:rPr>
          <w:rFonts w:hint="eastAsia"/>
          <w:color w:val="auto"/>
        </w:rPr>
        <w:t>突发环境事件应急处置所需经费首先由事件责任单位承担。区有关部门根据突发环境事件应急需要</w:t>
      </w:r>
      <w:r>
        <w:rPr>
          <w:color w:val="auto"/>
        </w:rPr>
        <w:t>，提出应急能力、装备建设和培训、演练等项目经费预算，报财政部门进行资金安排后执行。区财政局在年度经费预算中安排突发环境事件应急处置经费，确保遇到突发环境事件及时拨付到位，对突发环境事件应急处置工作提供资金保障并对突发环境事件财政应急保障资金的使用进行监管和评估</w:t>
      </w:r>
      <w:r>
        <w:rPr>
          <w:rFonts w:hint="eastAsia"/>
          <w:color w:val="auto"/>
        </w:rPr>
        <w:t>。</w:t>
      </w:r>
    </w:p>
    <w:p w14:paraId="2D6FCBC4">
      <w:pPr>
        <w:pStyle w:val="31"/>
        <w:rPr>
          <w:color w:val="auto"/>
        </w:rPr>
      </w:pPr>
      <w:bookmarkStart w:id="153" w:name="_Toc213413223"/>
      <w:r>
        <w:rPr>
          <w:rFonts w:hint="eastAsia"/>
          <w:color w:val="auto"/>
        </w:rPr>
        <w:t>7</w:t>
      </w:r>
      <w:r>
        <w:rPr>
          <w:color w:val="auto"/>
        </w:rPr>
        <w:t>.3</w:t>
      </w:r>
      <w:r>
        <w:rPr>
          <w:rFonts w:hint="eastAsia"/>
          <w:color w:val="auto"/>
        </w:rPr>
        <w:t>通信、交通与运输保障</w:t>
      </w:r>
      <w:bookmarkEnd w:id="153"/>
    </w:p>
    <w:p w14:paraId="32FC69C0">
      <w:pPr>
        <w:pStyle w:val="34"/>
        <w:rPr>
          <w:color w:val="auto"/>
        </w:rPr>
      </w:pPr>
      <w:r>
        <w:rPr>
          <w:rFonts w:hint="eastAsia"/>
          <w:color w:val="auto"/>
        </w:rPr>
        <w:t>各级人民政府要建立健全突发环境事件应急通信保障体系，确保应急期间通信联络和信息传递需要。</w:t>
      </w:r>
      <w:r>
        <w:rPr>
          <w:color w:val="auto"/>
        </w:rPr>
        <w:t>建立和完善环境应急指挥系统，及时更新应急指挥部成员单位负责人、联络人及联系方式等信息，</w:t>
      </w:r>
      <w:r>
        <w:rPr>
          <w:rFonts w:hint="eastAsia"/>
          <w:color w:val="auto"/>
        </w:rPr>
        <w:t>并保持2</w:t>
      </w:r>
      <w:r>
        <w:rPr>
          <w:color w:val="auto"/>
        </w:rPr>
        <w:t>4小时</w:t>
      </w:r>
      <w:r>
        <w:rPr>
          <w:rFonts w:hint="eastAsia"/>
          <w:color w:val="auto"/>
        </w:rPr>
        <w:t>通信畅通。</w:t>
      </w:r>
    </w:p>
    <w:p w14:paraId="22281E05">
      <w:pPr>
        <w:pStyle w:val="34"/>
        <w:rPr>
          <w:color w:val="auto"/>
        </w:rPr>
      </w:pPr>
      <w:r>
        <w:rPr>
          <w:rFonts w:hint="eastAsia"/>
          <w:color w:val="auto"/>
        </w:rPr>
        <w:t>交通、铁路等部门健全公路、铁路紧急运输保障体系</w:t>
      </w:r>
      <w:r>
        <w:rPr>
          <w:color w:val="auto"/>
        </w:rPr>
        <w:t>，完成突发事件处置过程中人员及相关物资运输。公安部门加强应急交通管理，保障运送伤病员、应急救援人员、物资、装备、器材车辆优先通行。</w:t>
      </w:r>
    </w:p>
    <w:p w14:paraId="44FC47B0">
      <w:pPr>
        <w:pStyle w:val="34"/>
        <w:rPr>
          <w:color w:val="auto"/>
        </w:rPr>
      </w:pPr>
      <w:r>
        <w:rPr>
          <w:rFonts w:hint="eastAsia"/>
          <w:color w:val="auto"/>
        </w:rPr>
        <w:t>应急交通运输保障相关责任单位要全力以赴，确保应急工作所需的物资、器材和人员等按时到达指定位置。</w:t>
      </w:r>
    </w:p>
    <w:p w14:paraId="5D95E48D">
      <w:pPr>
        <w:pStyle w:val="31"/>
        <w:rPr>
          <w:color w:val="auto"/>
        </w:rPr>
      </w:pPr>
      <w:bookmarkStart w:id="154" w:name="_Toc213413224"/>
      <w:r>
        <w:rPr>
          <w:rFonts w:hint="eastAsia"/>
          <w:color w:val="auto"/>
        </w:rPr>
        <w:t>7</w:t>
      </w:r>
      <w:r>
        <w:rPr>
          <w:color w:val="auto"/>
        </w:rPr>
        <w:t>.4</w:t>
      </w:r>
      <w:r>
        <w:rPr>
          <w:rFonts w:hint="eastAsia"/>
          <w:color w:val="auto"/>
        </w:rPr>
        <w:t>技术保障</w:t>
      </w:r>
      <w:bookmarkEnd w:id="154"/>
    </w:p>
    <w:p w14:paraId="26DB2FC2">
      <w:pPr>
        <w:pStyle w:val="34"/>
        <w:rPr>
          <w:color w:val="auto"/>
        </w:rPr>
      </w:pPr>
      <w:r>
        <w:rPr>
          <w:rFonts w:hint="eastAsia"/>
          <w:color w:val="auto"/>
        </w:rPr>
        <w:t>区政府及其有关部门要建立健全环境风险物质、应急物资、典型案例、应急预案等信息库，</w:t>
      </w:r>
      <w:r>
        <w:rPr>
          <w:rFonts w:hint="eastAsia" w:cs="仿宋"/>
          <w:color w:val="auto"/>
        </w:rPr>
        <w:t>并实现信息共享。</w:t>
      </w:r>
    </w:p>
    <w:p w14:paraId="42DC5C4A">
      <w:pPr>
        <w:pStyle w:val="34"/>
        <w:rPr>
          <w:color w:val="auto"/>
        </w:rPr>
      </w:pPr>
      <w:r>
        <w:rPr>
          <w:rFonts w:hint="eastAsia"/>
          <w:color w:val="auto"/>
        </w:rPr>
        <w:t>区人民政府要支持突发环境事件应急处置和监测先进技术、装备的研发，加强互联网、云计算、大数据、人工智能等现代化技术手段在突发环境事件工作中的应用，鼓励、扶持有条件的教学科研机构、企业培养应急管理人才和科技人才，研发、推广新技术、新材料、新设备和新工具，提高突发环境事件应对能力。建立科学有效的环境应急指挥技术平台，实现信息综合集成、分析处理、污染评估的智能化和数字化，确保决策的科学性。有关专业监测机构应当按照应急需要加强技术保障建设，确保监测数据信息完整可靠。</w:t>
      </w:r>
    </w:p>
    <w:p w14:paraId="69E41D4B">
      <w:pPr>
        <w:pStyle w:val="31"/>
        <w:rPr>
          <w:color w:val="auto"/>
        </w:rPr>
      </w:pPr>
      <w:bookmarkStart w:id="155" w:name="_Toc213413225"/>
      <w:r>
        <w:rPr>
          <w:rFonts w:hint="eastAsia"/>
          <w:color w:val="auto"/>
        </w:rPr>
        <w:t>7</w:t>
      </w:r>
      <w:r>
        <w:rPr>
          <w:color w:val="auto"/>
        </w:rPr>
        <w:t>.5</w:t>
      </w:r>
      <w:r>
        <w:rPr>
          <w:rFonts w:hint="eastAsia"/>
          <w:color w:val="auto"/>
        </w:rPr>
        <w:t>医疗、治安保障</w:t>
      </w:r>
      <w:bookmarkEnd w:id="155"/>
    </w:p>
    <w:p w14:paraId="364CCEEF">
      <w:pPr>
        <w:pStyle w:val="34"/>
        <w:rPr>
          <w:color w:val="auto"/>
        </w:rPr>
      </w:pPr>
      <w:r>
        <w:rPr>
          <w:rFonts w:hint="eastAsia"/>
          <w:color w:val="auto"/>
        </w:rPr>
        <w:t>区卫体局牵头，区民政局有关单位部门认真做好突发环境事件医疗卫生保障工作。统筹调配辖区卫生应急队伍、设备、药品、器械、车辆等医疗卫生资源，开展伤病员救治、卫生防疫等工作。根据伤情和救治需要，可转往上级医疗机构实施救治或协调增援。区卫生行政主管部门应当建立医疗卫生保障动态数据库，整合当地医疗卫生资源，合理布设和建立急救站，充分发挥疾病控制监测网络优势，制订应对突发环境事件的医疗卫生方案，积极为突发环境事件处置提供救治、防疫等医疗卫生保障。</w:t>
      </w:r>
    </w:p>
    <w:p w14:paraId="703ABBED">
      <w:pPr>
        <w:pStyle w:val="34"/>
        <w:rPr>
          <w:color w:val="auto"/>
        </w:rPr>
      </w:pPr>
      <w:r>
        <w:rPr>
          <w:rFonts w:hint="eastAsia"/>
          <w:color w:val="auto"/>
        </w:rPr>
        <w:t>区公安分局和事发地公安派出所做好突发环境事件应急治安保障工作。突发环境事件发生时，要加强对重点地区、重点场所、重点人群、重要物质及设备的安全防护，及时疏散受灾群众，确保应急处置工作有序进行。</w:t>
      </w:r>
    </w:p>
    <w:p w14:paraId="79AD32AD">
      <w:pPr>
        <w:pStyle w:val="31"/>
        <w:rPr>
          <w:color w:val="auto"/>
        </w:rPr>
      </w:pPr>
      <w:bookmarkStart w:id="156" w:name="_Toc213413226"/>
      <w:r>
        <w:rPr>
          <w:rFonts w:hint="eastAsia"/>
          <w:color w:val="auto"/>
        </w:rPr>
        <w:t>7</w:t>
      </w:r>
      <w:r>
        <w:rPr>
          <w:color w:val="auto"/>
        </w:rPr>
        <w:t>.6</w:t>
      </w:r>
      <w:r>
        <w:rPr>
          <w:rFonts w:hint="eastAsia"/>
          <w:color w:val="auto"/>
        </w:rPr>
        <w:t>宣传、培训和演练</w:t>
      </w:r>
      <w:bookmarkEnd w:id="156"/>
    </w:p>
    <w:p w14:paraId="1D323E58">
      <w:pPr>
        <w:pStyle w:val="34"/>
        <w:rPr>
          <w:color w:val="auto"/>
        </w:rPr>
      </w:pPr>
      <w:r>
        <w:rPr>
          <w:rFonts w:hint="eastAsia"/>
          <w:color w:val="auto"/>
        </w:rPr>
        <w:t>定期对应急管理人员、执法人员和人民群众开展环境应急教育，普及突发环境事件预防、避险、自救、互救等常识，增强公众的防范意识提高防范能力。区政府及其有关部门、乡镇人民政府、街道办事处应当组织开展面向全社会的应急知识宣传普及活动和必要的应急演练。居民委员会、村民委员会、企事业单位、社会组织应当根据所在地人民政府的要求，结合各自的实际情况，开展面向居民、村民、职工等的应急知识宣传普及活动和必要的应急演练。各类学校应当把应急教育纳入教育教学计划，对学生及教职工开展应急知识教育和应急演练，培养安全意识。提高自救与互救能力。</w:t>
      </w:r>
    </w:p>
    <w:p w14:paraId="1655FE2A">
      <w:pPr>
        <w:pStyle w:val="34"/>
        <w:rPr>
          <w:color w:val="auto"/>
        </w:rPr>
      </w:pPr>
      <w:r>
        <w:rPr>
          <w:rFonts w:hint="eastAsia"/>
          <w:color w:val="auto"/>
        </w:rPr>
        <w:t>区政府有关部门和各类环境风险源单位制订落实环境应急救援及管理人员日常培训计划，</w:t>
      </w:r>
      <w:r>
        <w:rPr>
          <w:color w:val="auto"/>
        </w:rPr>
        <w:t>提高其专业技能及应急处置能力。开展对社会应急救援志愿者的招募、组织、培训，形成专业应急队伍、企业专兼职救援队伍和社会志愿者共同参与的应急救援体系</w:t>
      </w:r>
      <w:r>
        <w:rPr>
          <w:rFonts w:hint="eastAsia"/>
          <w:color w:val="auto"/>
        </w:rPr>
        <w:t>。</w:t>
      </w:r>
    </w:p>
    <w:p w14:paraId="30F1F5A9">
      <w:pPr>
        <w:pStyle w:val="34"/>
        <w:rPr>
          <w:color w:val="auto"/>
        </w:rPr>
        <w:sectPr>
          <w:pgSz w:w="11906" w:h="16838"/>
          <w:pgMar w:top="1440" w:right="1701" w:bottom="1440" w:left="1701" w:header="851" w:footer="992" w:gutter="0"/>
          <w:cols w:space="425" w:num="1"/>
          <w:docGrid w:type="lines" w:linePitch="312" w:charSpace="0"/>
        </w:sectPr>
      </w:pPr>
      <w:r>
        <w:rPr>
          <w:rFonts w:hint="eastAsia"/>
          <w:color w:val="auto"/>
        </w:rPr>
        <w:t>指挥部及各成员单位、区人民政府、重点环境风险源单位应结合实际，有计划、有重点地按照应急预案及相关专项预案，组织不同类型的突发环境事件应急演练，加强各部门间的协同应对能力，提高防范和处置突发环境事件的技能，增强实战能力。区突发环境事件应急指挥部办公室每年至少组织一次预案演练，企业事业单位应急预案每两年至少演练一次。</w:t>
      </w:r>
    </w:p>
    <w:p w14:paraId="606B754B">
      <w:pPr>
        <w:pStyle w:val="30"/>
        <w:rPr>
          <w:color w:val="auto"/>
        </w:rPr>
      </w:pPr>
      <w:bookmarkStart w:id="157" w:name="_Toc213413227"/>
      <w:r>
        <w:rPr>
          <w:rFonts w:hint="eastAsia"/>
          <w:color w:val="auto"/>
        </w:rPr>
        <w:t>8附则</w:t>
      </w:r>
      <w:bookmarkEnd w:id="157"/>
    </w:p>
    <w:p w14:paraId="4EBC9319">
      <w:pPr>
        <w:pStyle w:val="31"/>
        <w:rPr>
          <w:color w:val="auto"/>
        </w:rPr>
      </w:pPr>
      <w:bookmarkStart w:id="158" w:name="_Toc213413228"/>
      <w:r>
        <w:rPr>
          <w:rFonts w:hint="eastAsia"/>
          <w:color w:val="auto"/>
        </w:rPr>
        <w:t>8</w:t>
      </w:r>
      <w:r>
        <w:rPr>
          <w:color w:val="auto"/>
        </w:rPr>
        <w:t>.1</w:t>
      </w:r>
      <w:r>
        <w:rPr>
          <w:rFonts w:hint="eastAsia"/>
          <w:color w:val="auto"/>
        </w:rPr>
        <w:t>名词术语解释</w:t>
      </w:r>
      <w:bookmarkEnd w:id="158"/>
    </w:p>
    <w:p w14:paraId="7E088953">
      <w:pPr>
        <w:pStyle w:val="34"/>
        <w:rPr>
          <w:color w:val="auto"/>
        </w:rPr>
      </w:pPr>
      <w:r>
        <w:rPr>
          <w:rFonts w:hint="eastAsia"/>
          <w:color w:val="auto"/>
        </w:rPr>
        <w:t>突发环境事件：</w:t>
      </w:r>
      <w:r>
        <w:rPr>
          <w:color w:val="auto"/>
        </w:rPr>
        <w:t>指由于污染物排放或自然灾害、生产安全事故等因素</w:t>
      </w:r>
      <w:r>
        <w:rPr>
          <w:rFonts w:hint="eastAsia"/>
          <w:color w:val="auto"/>
        </w:rPr>
        <w:t>，</w:t>
      </w:r>
      <w:r>
        <w:rPr>
          <w:color w:val="auto"/>
        </w:rPr>
        <w:t>导致污染物或放射性物质等有毒有害物质进入大气、水</w:t>
      </w:r>
      <w:r>
        <w:rPr>
          <w:rFonts w:hint="eastAsia"/>
          <w:color w:val="auto"/>
        </w:rPr>
        <w:t>体、土壤等环境介质，</w:t>
      </w:r>
      <w:r>
        <w:rPr>
          <w:color w:val="auto"/>
        </w:rPr>
        <w:t>突然造成或可能造成环境质量下降</w:t>
      </w:r>
      <w:r>
        <w:rPr>
          <w:rFonts w:hint="eastAsia"/>
          <w:color w:val="auto"/>
        </w:rPr>
        <w:t>，</w:t>
      </w:r>
      <w:r>
        <w:rPr>
          <w:color w:val="auto"/>
        </w:rPr>
        <w:t>危及公众身体健康和财产安全</w:t>
      </w:r>
      <w:r>
        <w:rPr>
          <w:rFonts w:hint="eastAsia"/>
          <w:color w:val="auto"/>
        </w:rPr>
        <w:t>，</w:t>
      </w:r>
      <w:r>
        <w:rPr>
          <w:color w:val="auto"/>
        </w:rPr>
        <w:t>或造成生态环境破坏</w:t>
      </w:r>
      <w:r>
        <w:rPr>
          <w:rFonts w:hint="eastAsia"/>
          <w:color w:val="auto"/>
        </w:rPr>
        <w:t>，</w:t>
      </w:r>
      <w:r>
        <w:rPr>
          <w:color w:val="auto"/>
        </w:rPr>
        <w:t>或造成重大社会影响</w:t>
      </w:r>
      <w:r>
        <w:rPr>
          <w:rFonts w:hint="eastAsia"/>
          <w:color w:val="auto"/>
        </w:rPr>
        <w:t>，</w:t>
      </w:r>
      <w:r>
        <w:rPr>
          <w:color w:val="auto"/>
        </w:rPr>
        <w:t>需要采取紧急措施予以应对的事件</w:t>
      </w:r>
      <w:r>
        <w:rPr>
          <w:rFonts w:hint="eastAsia"/>
          <w:color w:val="auto"/>
        </w:rPr>
        <w:t>，</w:t>
      </w:r>
      <w:r>
        <w:rPr>
          <w:color w:val="auto"/>
        </w:rPr>
        <w:t>主要包括大气污染、水体污染、土壤污染等突发性环境污染事件和辐射污染事件</w:t>
      </w:r>
      <w:r>
        <w:rPr>
          <w:rFonts w:hint="eastAsia"/>
          <w:color w:val="auto"/>
        </w:rPr>
        <w:t>。</w:t>
      </w:r>
    </w:p>
    <w:p w14:paraId="7C33F84B">
      <w:pPr>
        <w:pStyle w:val="34"/>
        <w:rPr>
          <w:color w:val="auto"/>
        </w:rPr>
      </w:pPr>
      <w:r>
        <w:rPr>
          <w:rFonts w:hint="eastAsia"/>
          <w:color w:val="auto"/>
        </w:rPr>
        <w:t>危险</w:t>
      </w:r>
      <w:r>
        <w:rPr>
          <w:color w:val="auto"/>
        </w:rPr>
        <w:t>物质：指《危险化学品名录》和《剧毒化学品名录》中的物质和易燃易爆物品</w:t>
      </w:r>
      <w:r>
        <w:rPr>
          <w:rFonts w:hint="eastAsia"/>
          <w:color w:val="auto"/>
        </w:rPr>
        <w:t>。</w:t>
      </w:r>
    </w:p>
    <w:p w14:paraId="58F3390A">
      <w:pPr>
        <w:pStyle w:val="34"/>
        <w:rPr>
          <w:color w:val="auto"/>
        </w:rPr>
      </w:pPr>
      <w:r>
        <w:rPr>
          <w:rFonts w:hint="eastAsia"/>
          <w:color w:val="auto"/>
        </w:rPr>
        <w:t>危险</w:t>
      </w:r>
      <w:r>
        <w:rPr>
          <w:color w:val="auto"/>
        </w:rPr>
        <w:t>废物：</w:t>
      </w:r>
      <w:r>
        <w:rPr>
          <w:rFonts w:hint="eastAsia"/>
          <w:color w:val="auto"/>
        </w:rPr>
        <w:t>指列入《国家危险废物名录》或者根据危险废物鉴别标准和危险废物鉴别技术规范认定的具有危险特性的固体废物。</w:t>
      </w:r>
    </w:p>
    <w:p w14:paraId="2F6E6F33">
      <w:pPr>
        <w:pStyle w:val="31"/>
        <w:rPr>
          <w:color w:val="auto"/>
        </w:rPr>
      </w:pPr>
      <w:bookmarkStart w:id="159" w:name="_Toc213413229"/>
      <w:r>
        <w:rPr>
          <w:rFonts w:hint="eastAsia"/>
          <w:color w:val="auto"/>
        </w:rPr>
        <w:t>8</w:t>
      </w:r>
      <w:r>
        <w:rPr>
          <w:color w:val="auto"/>
        </w:rPr>
        <w:t>.2</w:t>
      </w:r>
      <w:r>
        <w:rPr>
          <w:rFonts w:hint="eastAsia"/>
          <w:color w:val="auto"/>
        </w:rPr>
        <w:t>实施时间</w:t>
      </w:r>
      <w:bookmarkEnd w:id="159"/>
    </w:p>
    <w:p w14:paraId="6A4CDEEC">
      <w:pPr>
        <w:pStyle w:val="34"/>
        <w:rPr>
          <w:color w:val="auto"/>
        </w:rPr>
      </w:pPr>
      <w:r>
        <w:rPr>
          <w:rFonts w:hint="eastAsia"/>
          <w:color w:val="auto"/>
        </w:rPr>
        <w:t>本预案自发布之日起实施，有效期3年。</w:t>
      </w:r>
    </w:p>
    <w:p w14:paraId="5FC4C564">
      <w:pPr>
        <w:pStyle w:val="31"/>
        <w:rPr>
          <w:color w:val="auto"/>
        </w:rPr>
      </w:pPr>
      <w:bookmarkStart w:id="160" w:name="_Toc213413230"/>
      <w:r>
        <w:rPr>
          <w:rFonts w:hint="eastAsia"/>
          <w:color w:val="auto"/>
        </w:rPr>
        <w:t>8</w:t>
      </w:r>
      <w:r>
        <w:rPr>
          <w:color w:val="auto"/>
        </w:rPr>
        <w:t>.3</w:t>
      </w:r>
      <w:r>
        <w:rPr>
          <w:rFonts w:hint="eastAsia"/>
          <w:color w:val="auto"/>
        </w:rPr>
        <w:t>预案解释</w:t>
      </w:r>
      <w:bookmarkEnd w:id="160"/>
    </w:p>
    <w:p w14:paraId="57C425A6">
      <w:pPr>
        <w:pStyle w:val="34"/>
        <w:rPr>
          <w:color w:val="auto"/>
        </w:rPr>
        <w:sectPr>
          <w:pgSz w:w="11906" w:h="16838"/>
          <w:pgMar w:top="1440" w:right="1701" w:bottom="1440" w:left="1701" w:header="851" w:footer="992" w:gutter="0"/>
          <w:cols w:space="425" w:num="1"/>
          <w:docGrid w:type="lines" w:linePitch="312" w:charSpace="0"/>
        </w:sectPr>
      </w:pPr>
      <w:r>
        <w:rPr>
          <w:rFonts w:hint="eastAsia"/>
          <w:color w:val="auto"/>
        </w:rPr>
        <w:t>本预案由大同市生态环境局云冈分局负责解释。</w:t>
      </w:r>
    </w:p>
    <w:p w14:paraId="725298F0">
      <w:pPr>
        <w:pStyle w:val="36"/>
      </w:pPr>
      <w:bookmarkStart w:id="161" w:name="_Toc196328911"/>
      <w:bookmarkStart w:id="162" w:name="_Toc205823022"/>
      <w:bookmarkStart w:id="163" w:name="_Toc213413231"/>
      <w:r>
        <w:rPr>
          <w:rFonts w:hint="eastAsia"/>
        </w:rPr>
        <w:t>附件1</w:t>
      </w:r>
      <w:bookmarkEnd w:id="161"/>
      <w:r>
        <w:rPr>
          <w:rFonts w:hint="eastAsia"/>
        </w:rPr>
        <w:t>云冈区突发环境事件应急响应程序示意图</w:t>
      </w:r>
      <w:bookmarkEnd w:id="162"/>
      <w:bookmarkEnd w:id="163"/>
    </w:p>
    <w:p w14:paraId="4C6CB46E">
      <w:pPr>
        <w:pStyle w:val="34"/>
        <w:spacing w:line="240" w:lineRule="auto"/>
        <w:ind w:firstLine="0"/>
        <w:jc w:val="center"/>
        <w:rPr>
          <w:color w:val="auto"/>
        </w:rPr>
      </w:pPr>
      <w:r>
        <w:rPr>
          <w:color w:val="auto"/>
        </w:rPr>
        <w:drawing>
          <wp:inline distT="0" distB="0" distL="0" distR="0">
            <wp:extent cx="4862830" cy="6329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82401" cy="6354470"/>
                    </a:xfrm>
                    <a:prstGeom prst="rect">
                      <a:avLst/>
                    </a:prstGeom>
                  </pic:spPr>
                </pic:pic>
              </a:graphicData>
            </a:graphic>
          </wp:inline>
        </w:drawing>
      </w:r>
    </w:p>
    <w:p w14:paraId="3F7C471B">
      <w:pPr>
        <w:pStyle w:val="34"/>
        <w:rPr>
          <w:color w:val="auto"/>
        </w:rPr>
      </w:pPr>
    </w:p>
    <w:p w14:paraId="2C20F7C1">
      <w:pPr>
        <w:pStyle w:val="34"/>
        <w:rPr>
          <w:color w:val="auto"/>
        </w:rPr>
      </w:pPr>
    </w:p>
    <w:p w14:paraId="292E53A6">
      <w:pPr>
        <w:pStyle w:val="34"/>
        <w:rPr>
          <w:color w:val="auto"/>
        </w:rPr>
        <w:sectPr>
          <w:footerReference r:id="rId6" w:type="default"/>
          <w:pgSz w:w="11906" w:h="16838"/>
          <w:pgMar w:top="1440" w:right="1701" w:bottom="1440" w:left="1701" w:header="851" w:footer="992" w:gutter="0"/>
          <w:cols w:space="425" w:num="1"/>
          <w:docGrid w:type="lines" w:linePitch="312" w:charSpace="0"/>
        </w:sectPr>
      </w:pPr>
    </w:p>
    <w:p w14:paraId="393C1B46">
      <w:pPr>
        <w:pStyle w:val="36"/>
      </w:pPr>
      <w:bookmarkStart w:id="164" w:name="_Toc213413232"/>
      <w:bookmarkStart w:id="165" w:name="_Toc205835066"/>
      <w:bookmarkStart w:id="166" w:name="_Toc205823023"/>
      <w:bookmarkStart w:id="167" w:name="_Toc196328912"/>
      <w:r>
        <w:rPr>
          <w:rFonts w:hint="eastAsia"/>
        </w:rPr>
        <w:t>附件</w:t>
      </w:r>
      <w:r>
        <w:t xml:space="preserve">2 </w:t>
      </w:r>
      <w:r>
        <w:rPr>
          <w:rFonts w:hint="eastAsia"/>
        </w:rPr>
        <w:t>突发环境事件分级标准表</w:t>
      </w:r>
      <w:bookmarkEnd w:id="164"/>
      <w:bookmarkEnd w:id="165"/>
      <w:bookmarkEnd w:id="16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3"/>
        <w:gridCol w:w="3543"/>
        <w:gridCol w:w="3348"/>
        <w:gridCol w:w="3740"/>
      </w:tblGrid>
      <w:tr w14:paraId="3CA3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43" w:type="dxa"/>
            <w:vAlign w:val="center"/>
          </w:tcPr>
          <w:p w14:paraId="76C51A40">
            <w:pPr>
              <w:pStyle w:val="11"/>
              <w:spacing w:line="460" w:lineRule="exact"/>
              <w:ind w:firstLine="0" w:firstLineChars="0"/>
              <w:jc w:val="center"/>
              <w:rPr>
                <w:rFonts w:ascii="仿宋" w:hAnsi="仿宋" w:eastAsia="仿宋"/>
                <w:b/>
                <w:sz w:val="24"/>
                <w:szCs w:val="24"/>
              </w:rPr>
            </w:pPr>
            <w:r>
              <w:rPr>
                <w:rFonts w:hint="eastAsia" w:ascii="仿宋" w:hAnsi="仿宋" w:eastAsia="仿宋"/>
                <w:b/>
                <w:sz w:val="24"/>
                <w:szCs w:val="24"/>
              </w:rPr>
              <w:t>特别重大突发环境事件</w:t>
            </w:r>
          </w:p>
        </w:tc>
        <w:tc>
          <w:tcPr>
            <w:tcW w:w="3543" w:type="dxa"/>
            <w:vAlign w:val="center"/>
          </w:tcPr>
          <w:p w14:paraId="4A2C51F9">
            <w:pPr>
              <w:pStyle w:val="11"/>
              <w:spacing w:line="460" w:lineRule="exact"/>
              <w:ind w:firstLine="0" w:firstLineChars="0"/>
              <w:jc w:val="center"/>
              <w:rPr>
                <w:rFonts w:ascii="仿宋" w:hAnsi="仿宋" w:eastAsia="仿宋"/>
                <w:b/>
                <w:sz w:val="24"/>
                <w:szCs w:val="24"/>
              </w:rPr>
            </w:pPr>
            <w:r>
              <w:rPr>
                <w:rFonts w:hint="eastAsia" w:ascii="仿宋" w:hAnsi="仿宋" w:eastAsia="仿宋"/>
                <w:b/>
                <w:sz w:val="24"/>
                <w:szCs w:val="24"/>
              </w:rPr>
              <w:t>重大突发环境事件</w:t>
            </w:r>
          </w:p>
        </w:tc>
        <w:tc>
          <w:tcPr>
            <w:tcW w:w="3348" w:type="dxa"/>
            <w:vAlign w:val="center"/>
          </w:tcPr>
          <w:p w14:paraId="35A588A8">
            <w:pPr>
              <w:pStyle w:val="11"/>
              <w:spacing w:line="460" w:lineRule="exact"/>
              <w:ind w:firstLine="0" w:firstLineChars="0"/>
              <w:jc w:val="center"/>
              <w:rPr>
                <w:rFonts w:ascii="仿宋" w:hAnsi="仿宋" w:eastAsia="仿宋"/>
                <w:b/>
                <w:sz w:val="24"/>
                <w:szCs w:val="24"/>
              </w:rPr>
            </w:pPr>
            <w:r>
              <w:rPr>
                <w:rFonts w:hint="eastAsia" w:ascii="仿宋" w:hAnsi="仿宋" w:eastAsia="仿宋"/>
                <w:b/>
                <w:sz w:val="24"/>
                <w:szCs w:val="24"/>
              </w:rPr>
              <w:t>较大突发环境事件</w:t>
            </w:r>
          </w:p>
        </w:tc>
        <w:tc>
          <w:tcPr>
            <w:tcW w:w="3740" w:type="dxa"/>
            <w:vAlign w:val="center"/>
          </w:tcPr>
          <w:p w14:paraId="7A25B239">
            <w:pPr>
              <w:pStyle w:val="11"/>
              <w:spacing w:line="460" w:lineRule="exact"/>
              <w:ind w:firstLine="0" w:firstLineChars="0"/>
              <w:jc w:val="center"/>
              <w:rPr>
                <w:rFonts w:ascii="仿宋" w:hAnsi="仿宋" w:eastAsia="仿宋"/>
                <w:b/>
                <w:sz w:val="24"/>
                <w:szCs w:val="24"/>
              </w:rPr>
            </w:pPr>
            <w:r>
              <w:rPr>
                <w:rFonts w:hint="eastAsia" w:ascii="仿宋" w:hAnsi="仿宋" w:eastAsia="仿宋"/>
                <w:b/>
                <w:sz w:val="24"/>
                <w:szCs w:val="24"/>
              </w:rPr>
              <w:t>一般突发环境事件</w:t>
            </w:r>
          </w:p>
        </w:tc>
      </w:tr>
      <w:tr w14:paraId="0776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8" w:hRule="atLeast"/>
          <w:jc w:val="center"/>
        </w:trPr>
        <w:tc>
          <w:tcPr>
            <w:tcW w:w="3543" w:type="dxa"/>
          </w:tcPr>
          <w:p w14:paraId="06D4C96E">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因环境污染</w:t>
            </w:r>
          </w:p>
          <w:p w14:paraId="09C13226">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①直接导致30人以上死亡或100人以上中毒或重伤的；</w:t>
            </w:r>
          </w:p>
          <w:p w14:paraId="4412E497">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②疏散、转移人员5万人以上的；</w:t>
            </w:r>
          </w:p>
          <w:p w14:paraId="2F3FF38A">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③造成直接经济损失1亿元以上的；④造成区域生态功能丧失或该区域国家重点保护物种灭绝的；</w:t>
            </w:r>
          </w:p>
          <w:p w14:paraId="38B4CBC1">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⑤造成设区的市级以上城市集中式饮用水水源地取水中断的突发环境事件。</w:t>
            </w:r>
          </w:p>
        </w:tc>
        <w:tc>
          <w:tcPr>
            <w:tcW w:w="3543" w:type="dxa"/>
          </w:tcPr>
          <w:p w14:paraId="1C30A439">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因环境污染</w:t>
            </w:r>
          </w:p>
          <w:p w14:paraId="2DBFD07B">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①导致10人以上30人以下死亡或50人以上100人以下中毒或重伤的；</w:t>
            </w:r>
          </w:p>
          <w:p w14:paraId="7A27A20A">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②疏散、转移人员1万人以上5万人以下的；</w:t>
            </w:r>
          </w:p>
          <w:p w14:paraId="02F950E1">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③造成直接经济损失2000万元以上1亿元以下的；</w:t>
            </w:r>
          </w:p>
          <w:p w14:paraId="688E2078">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④造成区域生态功能部分丧失或该区域国家重点保护野生动植物种群大批死亡的；</w:t>
            </w:r>
          </w:p>
          <w:p w14:paraId="360405CE">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⑤造成县级集中式饮用水水源地取水中断的；</w:t>
            </w:r>
          </w:p>
          <w:p w14:paraId="6252DF8A">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⑥造成跨省级行政区域影响的突发环境事件时。</w:t>
            </w:r>
          </w:p>
        </w:tc>
        <w:tc>
          <w:tcPr>
            <w:tcW w:w="3348" w:type="dxa"/>
          </w:tcPr>
          <w:p w14:paraId="0CEBF88D">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因环境污染</w:t>
            </w:r>
          </w:p>
          <w:p w14:paraId="4CD1CB01">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①导致3人以上10人以下死亡或10人以上50人以下中毒或重伤的；</w:t>
            </w:r>
          </w:p>
          <w:p w14:paraId="6ACB577C">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②疏散、转移人员5000人以上1万人以下的；</w:t>
            </w:r>
          </w:p>
          <w:p w14:paraId="6779FB7F">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③造成直接经济损失500万元以上2000万元以下的；</w:t>
            </w:r>
          </w:p>
          <w:p w14:paraId="11D2750B">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④造成国家重点保护的动植物物种受到破坏的；</w:t>
            </w:r>
          </w:p>
          <w:p w14:paraId="4329FDF2">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⑤造成乡镇集中式饮用水水源地取水中断的；</w:t>
            </w:r>
          </w:p>
          <w:p w14:paraId="1F2E912F">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⑥造成跨设区的市级行政区域影响的突发环境事件。</w:t>
            </w:r>
          </w:p>
        </w:tc>
        <w:tc>
          <w:tcPr>
            <w:tcW w:w="3740" w:type="dxa"/>
          </w:tcPr>
          <w:p w14:paraId="0DD001C5">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因环境污染</w:t>
            </w:r>
          </w:p>
          <w:p w14:paraId="6D07817D">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①可能导致3人以下死亡或10人以下中毒或重伤的；</w:t>
            </w:r>
          </w:p>
          <w:p w14:paraId="61FC7341">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②疏散、转移人员5000人以下的；③造成直接经济损失500万元以下的；</w:t>
            </w:r>
          </w:p>
          <w:p w14:paraId="18883714">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④造成跨县级行政区域纠纷，引起一般性群体影响的；</w:t>
            </w:r>
          </w:p>
          <w:p w14:paraId="5F112580">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⑤对环境造成一定影响，尚未达到较大突发环境事件级别的突发环境事件。</w:t>
            </w:r>
          </w:p>
        </w:tc>
      </w:tr>
      <w:tr w14:paraId="423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174" w:type="dxa"/>
            <w:gridSpan w:val="4"/>
            <w:vAlign w:val="center"/>
          </w:tcPr>
          <w:p w14:paraId="667C76C9">
            <w:pPr>
              <w:pStyle w:val="11"/>
              <w:spacing w:line="460" w:lineRule="exact"/>
              <w:ind w:firstLine="0" w:firstLineChars="0"/>
              <w:rPr>
                <w:rFonts w:ascii="仿宋" w:hAnsi="仿宋" w:eastAsia="仿宋"/>
                <w:sz w:val="24"/>
                <w:szCs w:val="24"/>
              </w:rPr>
            </w:pPr>
            <w:r>
              <w:rPr>
                <w:rFonts w:hint="eastAsia" w:ascii="仿宋" w:hAnsi="仿宋" w:eastAsia="仿宋"/>
                <w:sz w:val="24"/>
                <w:szCs w:val="24"/>
              </w:rPr>
              <w:t>上述分级标准有关数量的表述中，“以上”含本数，“以下”不含本数。</w:t>
            </w:r>
          </w:p>
        </w:tc>
      </w:tr>
    </w:tbl>
    <w:p w14:paraId="4F24B5D1">
      <w:pPr>
        <w:pStyle w:val="36"/>
      </w:pPr>
      <w:bookmarkStart w:id="168" w:name="_Toc213413233"/>
      <w:bookmarkStart w:id="169" w:name="_Toc205835067"/>
      <w:bookmarkStart w:id="170" w:name="_Toc205823024"/>
      <w:r>
        <w:rPr>
          <w:rFonts w:hint="eastAsia"/>
        </w:rPr>
        <w:t>附件3</w:t>
      </w:r>
      <w:r>
        <w:t xml:space="preserve"> </w:t>
      </w:r>
      <w:r>
        <w:rPr>
          <w:rFonts w:hint="eastAsia"/>
        </w:rPr>
        <w:t>云冈区突发环境事件应急指挥部组成及职责表</w:t>
      </w:r>
      <w:bookmarkEnd w:id="168"/>
      <w:bookmarkEnd w:id="169"/>
      <w:bookmarkEnd w:id="170"/>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726"/>
        <w:gridCol w:w="11155"/>
      </w:tblGrid>
      <w:tr w14:paraId="22F6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gridSpan w:val="2"/>
            <w:tcBorders>
              <w:top w:val="single" w:color="auto" w:sz="4" w:space="0"/>
              <w:left w:val="single" w:color="auto" w:sz="4" w:space="0"/>
              <w:bottom w:val="single" w:color="auto" w:sz="4" w:space="0"/>
              <w:right w:val="single" w:color="auto" w:sz="4" w:space="0"/>
            </w:tcBorders>
            <w:vAlign w:val="center"/>
          </w:tcPr>
          <w:p w14:paraId="17A48A28">
            <w:pPr>
              <w:spacing w:line="460" w:lineRule="exact"/>
              <w:jc w:val="center"/>
              <w:rPr>
                <w:rFonts w:ascii="仿宋" w:hAnsi="仿宋" w:eastAsia="仿宋"/>
                <w:sz w:val="24"/>
                <w:szCs w:val="24"/>
              </w:rPr>
            </w:pPr>
            <w:r>
              <w:rPr>
                <w:rFonts w:hint="eastAsia" w:ascii="仿宋" w:hAnsi="仿宋" w:eastAsia="仿宋"/>
                <w:sz w:val="24"/>
                <w:szCs w:val="24"/>
              </w:rPr>
              <w:t>指挥部组成</w:t>
            </w:r>
          </w:p>
        </w:tc>
        <w:tc>
          <w:tcPr>
            <w:tcW w:w="3935" w:type="pct"/>
            <w:tcBorders>
              <w:top w:val="single" w:color="auto" w:sz="4" w:space="0"/>
              <w:left w:val="single" w:color="auto" w:sz="4" w:space="0"/>
              <w:bottom w:val="single" w:color="auto" w:sz="4" w:space="0"/>
              <w:right w:val="single" w:color="auto" w:sz="4" w:space="0"/>
            </w:tcBorders>
            <w:vAlign w:val="center"/>
          </w:tcPr>
          <w:p w14:paraId="042DB007">
            <w:pPr>
              <w:spacing w:line="460" w:lineRule="exact"/>
              <w:jc w:val="center"/>
              <w:rPr>
                <w:rFonts w:ascii="仿宋" w:hAnsi="仿宋" w:eastAsia="仿宋"/>
                <w:sz w:val="24"/>
                <w:szCs w:val="24"/>
              </w:rPr>
            </w:pPr>
            <w:r>
              <w:rPr>
                <w:rFonts w:hint="eastAsia" w:ascii="仿宋" w:hAnsi="仿宋" w:eastAsia="仿宋"/>
                <w:sz w:val="24"/>
                <w:szCs w:val="24"/>
              </w:rPr>
              <w:t>指挥部职责</w:t>
            </w:r>
          </w:p>
        </w:tc>
      </w:tr>
      <w:tr w14:paraId="3336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7B9E51AE">
            <w:pPr>
              <w:spacing w:line="460" w:lineRule="exact"/>
              <w:jc w:val="center"/>
              <w:rPr>
                <w:rFonts w:ascii="仿宋" w:hAnsi="仿宋" w:eastAsia="仿宋"/>
                <w:sz w:val="24"/>
                <w:szCs w:val="24"/>
              </w:rPr>
            </w:pPr>
            <w:r>
              <w:rPr>
                <w:rFonts w:hint="eastAsia" w:ascii="仿宋" w:hAnsi="仿宋" w:eastAsia="仿宋"/>
                <w:sz w:val="24"/>
                <w:szCs w:val="24"/>
              </w:rPr>
              <w:t>总指挥</w:t>
            </w:r>
          </w:p>
        </w:tc>
        <w:tc>
          <w:tcPr>
            <w:tcW w:w="609" w:type="pct"/>
            <w:tcBorders>
              <w:top w:val="single" w:color="auto" w:sz="4" w:space="0"/>
              <w:left w:val="single" w:color="auto" w:sz="4" w:space="0"/>
              <w:bottom w:val="single" w:color="auto" w:sz="4" w:space="0"/>
              <w:right w:val="single" w:color="auto" w:sz="4" w:space="0"/>
            </w:tcBorders>
            <w:vAlign w:val="center"/>
          </w:tcPr>
          <w:p w14:paraId="76778D92">
            <w:pPr>
              <w:spacing w:line="460" w:lineRule="exact"/>
              <w:jc w:val="center"/>
              <w:rPr>
                <w:rFonts w:ascii="仿宋" w:hAnsi="仿宋" w:eastAsia="仿宋"/>
                <w:sz w:val="24"/>
                <w:szCs w:val="24"/>
              </w:rPr>
            </w:pPr>
            <w:r>
              <w:rPr>
                <w:rFonts w:hint="eastAsia" w:ascii="仿宋" w:hAnsi="仿宋" w:eastAsia="仿宋"/>
                <w:sz w:val="24"/>
                <w:szCs w:val="24"/>
              </w:rPr>
              <w:t>云冈区人民政府区长</w:t>
            </w:r>
          </w:p>
        </w:tc>
        <w:tc>
          <w:tcPr>
            <w:tcW w:w="3935" w:type="pct"/>
            <w:vMerge w:val="restart"/>
            <w:tcBorders>
              <w:top w:val="single" w:color="auto" w:sz="4" w:space="0"/>
              <w:left w:val="single" w:color="auto" w:sz="4" w:space="0"/>
              <w:bottom w:val="single" w:color="auto" w:sz="4" w:space="0"/>
              <w:right w:val="single" w:color="auto" w:sz="4" w:space="0"/>
            </w:tcBorders>
          </w:tcPr>
          <w:p w14:paraId="7176CE15">
            <w:pPr>
              <w:spacing w:line="460" w:lineRule="exact"/>
              <w:rPr>
                <w:rFonts w:ascii="仿宋" w:hAnsi="仿宋" w:eastAsia="仿宋"/>
                <w:sz w:val="24"/>
                <w:szCs w:val="24"/>
              </w:rPr>
            </w:pPr>
            <w:r>
              <w:rPr>
                <w:rFonts w:hint="eastAsia" w:ascii="仿宋" w:hAnsi="仿宋" w:eastAsia="仿宋"/>
                <w:sz w:val="24"/>
                <w:szCs w:val="24"/>
              </w:rPr>
              <w:t xml:space="preserve">①负责全区Ⅳ级（一般）突发环境事件应对决策、指挥工作。贯彻落实上级及本级党委、政府关于处置突发环境事件的工作的决策部署； </w:t>
            </w:r>
          </w:p>
          <w:p w14:paraId="1A3A3A63">
            <w:pPr>
              <w:spacing w:line="460" w:lineRule="exact"/>
              <w:rPr>
                <w:rFonts w:ascii="仿宋" w:hAnsi="仿宋" w:eastAsia="仿宋"/>
                <w:sz w:val="24"/>
                <w:szCs w:val="24"/>
              </w:rPr>
            </w:pPr>
            <w:r>
              <w:rPr>
                <w:rFonts w:hint="eastAsia" w:ascii="仿宋" w:hAnsi="仿宋" w:eastAsia="仿宋"/>
                <w:sz w:val="24"/>
                <w:szCs w:val="24"/>
              </w:rPr>
              <w:t>②组织指挥、指导协调成员单位和相关部门做好突发环境事件的防范和应急处置工作；研究确定预防突发环境事件重大决策；</w:t>
            </w:r>
          </w:p>
          <w:p w14:paraId="3E3111D5">
            <w:pPr>
              <w:spacing w:line="460" w:lineRule="exact"/>
              <w:rPr>
                <w:rFonts w:ascii="仿宋" w:hAnsi="仿宋" w:eastAsia="仿宋"/>
                <w:sz w:val="24"/>
                <w:szCs w:val="24"/>
              </w:rPr>
            </w:pPr>
            <w:r>
              <w:rPr>
                <w:rFonts w:hint="eastAsia" w:ascii="仿宋" w:hAnsi="仿宋" w:eastAsia="仿宋"/>
                <w:sz w:val="24"/>
                <w:szCs w:val="24"/>
              </w:rPr>
              <w:t>③审核批准发布突发环境事件预警信息和处置突发环境事件信息；</w:t>
            </w:r>
          </w:p>
          <w:p w14:paraId="5449A35E">
            <w:pPr>
              <w:spacing w:line="460" w:lineRule="exact"/>
              <w:rPr>
                <w:rFonts w:ascii="仿宋" w:hAnsi="仿宋" w:eastAsia="仿宋"/>
                <w:sz w:val="24"/>
                <w:szCs w:val="24"/>
              </w:rPr>
            </w:pPr>
            <w:r>
              <w:rPr>
                <w:rFonts w:hint="eastAsia" w:ascii="仿宋" w:hAnsi="仿宋" w:eastAsia="仿宋"/>
                <w:sz w:val="24"/>
                <w:szCs w:val="24"/>
              </w:rPr>
              <w:t>④组织指挥一般突发环境事件应急处置工作；</w:t>
            </w:r>
          </w:p>
          <w:p w14:paraId="20C7285A">
            <w:pPr>
              <w:spacing w:line="460" w:lineRule="exact"/>
              <w:rPr>
                <w:rFonts w:ascii="仿宋" w:hAnsi="仿宋" w:eastAsia="仿宋"/>
                <w:sz w:val="24"/>
                <w:szCs w:val="24"/>
              </w:rPr>
            </w:pPr>
            <w:r>
              <w:rPr>
                <w:rFonts w:hint="eastAsia" w:ascii="仿宋" w:hAnsi="仿宋" w:eastAsia="仿宋"/>
                <w:sz w:val="24"/>
                <w:szCs w:val="24"/>
              </w:rPr>
              <w:t>⑤指导协调一般突发环境事件调查评估和善后处置工作；</w:t>
            </w:r>
          </w:p>
          <w:p w14:paraId="1D8FAC72">
            <w:pPr>
              <w:spacing w:line="460" w:lineRule="exact"/>
              <w:rPr>
                <w:rFonts w:ascii="仿宋" w:hAnsi="仿宋" w:eastAsia="仿宋"/>
                <w:sz w:val="24"/>
                <w:szCs w:val="24"/>
              </w:rPr>
            </w:pPr>
            <w:r>
              <w:rPr>
                <w:rFonts w:hint="eastAsia" w:ascii="仿宋" w:hAnsi="仿宋" w:eastAsia="仿宋"/>
                <w:sz w:val="24"/>
                <w:szCs w:val="24"/>
              </w:rPr>
              <w:t>⑥落实上级应急救援总指挥部交办的突发环境事件应急处置的其他事项。</w:t>
            </w:r>
          </w:p>
          <w:p w14:paraId="67E6F390">
            <w:pPr>
              <w:spacing w:line="460" w:lineRule="exact"/>
              <w:rPr>
                <w:rFonts w:ascii="仿宋" w:hAnsi="仿宋" w:eastAsia="仿宋"/>
                <w:sz w:val="24"/>
                <w:szCs w:val="24"/>
              </w:rPr>
            </w:pPr>
            <w:r>
              <w:rPr>
                <w:rFonts w:hint="eastAsia" w:ascii="仿宋" w:hAnsi="仿宋" w:eastAsia="仿宋"/>
                <w:sz w:val="24"/>
                <w:szCs w:val="24"/>
              </w:rPr>
              <w:t>⑦及时向上级人民政府报告突发环境事件相关情况，配合上级部分布置较大及以上突发环境事件。</w:t>
            </w:r>
          </w:p>
        </w:tc>
      </w:tr>
      <w:tr w14:paraId="7C17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1EF604CC">
            <w:pPr>
              <w:spacing w:line="460" w:lineRule="exact"/>
              <w:jc w:val="center"/>
              <w:rPr>
                <w:rFonts w:ascii="仿宋" w:hAnsi="仿宋" w:eastAsia="仿宋"/>
                <w:sz w:val="24"/>
                <w:szCs w:val="24"/>
              </w:rPr>
            </w:pPr>
            <w:r>
              <w:rPr>
                <w:rFonts w:hint="eastAsia" w:ascii="仿宋" w:hAnsi="仿宋" w:eastAsia="仿宋"/>
                <w:sz w:val="24"/>
                <w:szCs w:val="24"/>
              </w:rPr>
              <w:t>副总指挥</w:t>
            </w:r>
          </w:p>
        </w:tc>
        <w:tc>
          <w:tcPr>
            <w:tcW w:w="609" w:type="pct"/>
            <w:tcBorders>
              <w:top w:val="single" w:color="auto" w:sz="4" w:space="0"/>
              <w:left w:val="single" w:color="auto" w:sz="4" w:space="0"/>
              <w:bottom w:val="single" w:color="auto" w:sz="4" w:space="0"/>
              <w:right w:val="single" w:color="auto" w:sz="4" w:space="0"/>
            </w:tcBorders>
            <w:vAlign w:val="center"/>
          </w:tcPr>
          <w:p w14:paraId="07D2B77C">
            <w:pPr>
              <w:spacing w:line="460" w:lineRule="exact"/>
              <w:jc w:val="center"/>
              <w:rPr>
                <w:rFonts w:ascii="仿宋" w:hAnsi="仿宋" w:eastAsia="仿宋"/>
                <w:sz w:val="24"/>
                <w:szCs w:val="24"/>
              </w:rPr>
            </w:pPr>
            <w:r>
              <w:rPr>
                <w:rFonts w:hint="eastAsia" w:ascii="仿宋" w:hAnsi="仿宋" w:eastAsia="仿宋"/>
                <w:sz w:val="24"/>
                <w:szCs w:val="24"/>
              </w:rPr>
              <w:t>分管应急工作的副区长</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1F2337">
            <w:pPr>
              <w:widowControl/>
              <w:spacing w:line="460" w:lineRule="exact"/>
              <w:jc w:val="left"/>
              <w:rPr>
                <w:rFonts w:ascii="仿宋" w:hAnsi="仿宋" w:eastAsia="仿宋"/>
                <w:sz w:val="24"/>
                <w:szCs w:val="24"/>
              </w:rPr>
            </w:pPr>
          </w:p>
        </w:tc>
      </w:tr>
      <w:tr w14:paraId="6045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vAlign w:val="center"/>
          </w:tcPr>
          <w:p w14:paraId="00F89BF5">
            <w:pPr>
              <w:spacing w:line="460" w:lineRule="exact"/>
              <w:jc w:val="center"/>
              <w:rPr>
                <w:rFonts w:ascii="仿宋" w:hAnsi="仿宋" w:eastAsia="仿宋"/>
                <w:sz w:val="24"/>
                <w:szCs w:val="24"/>
              </w:rPr>
            </w:pPr>
            <w:r>
              <w:rPr>
                <w:rFonts w:hint="eastAsia" w:ascii="仿宋" w:hAnsi="仿宋" w:eastAsia="仿宋"/>
                <w:sz w:val="24"/>
                <w:szCs w:val="24"/>
              </w:rPr>
              <w:t>指挥部办公室</w:t>
            </w:r>
          </w:p>
        </w:tc>
        <w:tc>
          <w:tcPr>
            <w:tcW w:w="609" w:type="pct"/>
            <w:tcBorders>
              <w:top w:val="single" w:color="auto" w:sz="4" w:space="0"/>
              <w:left w:val="single" w:color="auto" w:sz="4" w:space="0"/>
              <w:bottom w:val="single" w:color="auto" w:sz="4" w:space="0"/>
              <w:right w:val="single" w:color="auto" w:sz="4" w:space="0"/>
            </w:tcBorders>
            <w:vAlign w:val="center"/>
          </w:tcPr>
          <w:p w14:paraId="736B619F">
            <w:pPr>
              <w:spacing w:line="460" w:lineRule="exact"/>
              <w:jc w:val="center"/>
              <w:rPr>
                <w:rFonts w:ascii="仿宋" w:hAnsi="仿宋" w:eastAsia="仿宋"/>
                <w:sz w:val="24"/>
                <w:szCs w:val="24"/>
              </w:rPr>
            </w:pPr>
            <w:r>
              <w:rPr>
                <w:rFonts w:hint="eastAsia" w:ascii="仿宋" w:hAnsi="仿宋" w:eastAsia="仿宋"/>
                <w:sz w:val="24"/>
                <w:szCs w:val="24"/>
              </w:rPr>
              <w:t>设在大同市生态环境局云冈分局，大同市生态环境局云冈分局主要负责人担任办公室主任。</w:t>
            </w:r>
          </w:p>
        </w:tc>
        <w:tc>
          <w:tcPr>
            <w:tcW w:w="3935" w:type="pct"/>
            <w:tcBorders>
              <w:top w:val="single" w:color="auto" w:sz="4" w:space="0"/>
              <w:left w:val="single" w:color="auto" w:sz="4" w:space="0"/>
              <w:bottom w:val="single" w:color="auto" w:sz="4" w:space="0"/>
              <w:right w:val="single" w:color="auto" w:sz="4" w:space="0"/>
            </w:tcBorders>
          </w:tcPr>
          <w:p w14:paraId="333B4749">
            <w:pPr>
              <w:spacing w:line="460" w:lineRule="exact"/>
              <w:rPr>
                <w:rFonts w:ascii="仿宋" w:hAnsi="仿宋" w:eastAsia="仿宋"/>
                <w:sz w:val="24"/>
                <w:szCs w:val="24"/>
              </w:rPr>
            </w:pPr>
            <w:r>
              <w:rPr>
                <w:rFonts w:hint="eastAsia" w:ascii="仿宋" w:hAnsi="仿宋" w:eastAsia="仿宋"/>
                <w:sz w:val="24"/>
                <w:szCs w:val="24"/>
              </w:rPr>
              <w:t>①承担突发环境事件应急指挥部日常工作，制定、修订重大突发环境事件专项应急预案；</w:t>
            </w:r>
          </w:p>
          <w:p w14:paraId="74DADCF9">
            <w:pPr>
              <w:spacing w:line="460" w:lineRule="exact"/>
              <w:rPr>
                <w:rFonts w:ascii="仿宋" w:hAnsi="仿宋" w:eastAsia="仿宋"/>
                <w:sz w:val="24"/>
                <w:szCs w:val="24"/>
              </w:rPr>
            </w:pPr>
            <w:r>
              <w:rPr>
                <w:rFonts w:hint="eastAsia" w:ascii="仿宋" w:hAnsi="仿宋" w:eastAsia="仿宋"/>
                <w:sz w:val="24"/>
                <w:szCs w:val="24"/>
              </w:rPr>
              <w:t>②组织生态环境污染防范和隐患排查治理工作；</w:t>
            </w:r>
          </w:p>
          <w:p w14:paraId="556E7684">
            <w:pPr>
              <w:spacing w:line="460" w:lineRule="exact"/>
              <w:rPr>
                <w:rFonts w:ascii="仿宋" w:hAnsi="仿宋" w:eastAsia="仿宋"/>
                <w:sz w:val="24"/>
                <w:szCs w:val="24"/>
              </w:rPr>
            </w:pPr>
            <w:r>
              <w:rPr>
                <w:rFonts w:hint="eastAsia" w:ascii="仿宋" w:hAnsi="仿宋" w:eastAsia="仿宋"/>
                <w:sz w:val="24"/>
                <w:szCs w:val="24"/>
              </w:rPr>
              <w:t>③开展桌面推演、实兵演练等应对突发环境事件专项训练；</w:t>
            </w:r>
          </w:p>
          <w:p w14:paraId="78BA2083">
            <w:pPr>
              <w:spacing w:line="460" w:lineRule="exact"/>
              <w:rPr>
                <w:rFonts w:ascii="仿宋" w:hAnsi="仿宋" w:eastAsia="仿宋"/>
                <w:sz w:val="24"/>
                <w:szCs w:val="24"/>
              </w:rPr>
            </w:pPr>
            <w:r>
              <w:rPr>
                <w:rFonts w:hint="eastAsia" w:ascii="仿宋" w:hAnsi="仿宋" w:eastAsia="仿宋"/>
                <w:sz w:val="24"/>
                <w:szCs w:val="24"/>
              </w:rPr>
              <w:t>④协调各方面力量参加突发环境事件救援行动；</w:t>
            </w:r>
          </w:p>
          <w:p w14:paraId="3AD88B9E">
            <w:pPr>
              <w:spacing w:line="460" w:lineRule="exact"/>
              <w:rPr>
                <w:rFonts w:ascii="仿宋" w:hAnsi="仿宋" w:eastAsia="仿宋"/>
                <w:sz w:val="24"/>
                <w:szCs w:val="24"/>
              </w:rPr>
            </w:pPr>
            <w:r>
              <w:rPr>
                <w:rFonts w:hint="eastAsia" w:ascii="仿宋" w:hAnsi="仿宋" w:eastAsia="仿宋"/>
                <w:sz w:val="24"/>
                <w:szCs w:val="24"/>
              </w:rPr>
              <w:t>⑤协助区委、区政府指定的负责同志组织突发环境事件应急处置工作；</w:t>
            </w:r>
          </w:p>
          <w:p w14:paraId="5C875CB7">
            <w:pPr>
              <w:spacing w:line="460" w:lineRule="exact"/>
              <w:rPr>
                <w:rFonts w:ascii="仿宋" w:hAnsi="仿宋" w:eastAsia="仿宋"/>
                <w:sz w:val="24"/>
                <w:szCs w:val="24"/>
              </w:rPr>
            </w:pPr>
            <w:r>
              <w:rPr>
                <w:rFonts w:hint="eastAsia" w:ascii="仿宋" w:hAnsi="仿宋" w:eastAsia="仿宋"/>
                <w:sz w:val="24"/>
                <w:szCs w:val="24"/>
              </w:rPr>
              <w:t>⑥协调组织突发环境事件调查评估和善后处置工作，报告和发布突发环境事件信息；</w:t>
            </w:r>
          </w:p>
          <w:p w14:paraId="02A4A7F7">
            <w:pPr>
              <w:spacing w:line="460" w:lineRule="exact"/>
              <w:rPr>
                <w:rFonts w:ascii="仿宋" w:hAnsi="仿宋" w:eastAsia="仿宋"/>
                <w:sz w:val="24"/>
                <w:szCs w:val="24"/>
              </w:rPr>
            </w:pPr>
            <w:r>
              <w:rPr>
                <w:rFonts w:hint="eastAsia" w:ascii="仿宋" w:hAnsi="仿宋" w:eastAsia="仿宋"/>
                <w:sz w:val="24"/>
                <w:szCs w:val="24"/>
              </w:rPr>
              <w:t>⑦指导街道乡镇做好突发环境事件应对等工作。</w:t>
            </w:r>
          </w:p>
        </w:tc>
      </w:tr>
    </w:tbl>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11155"/>
      </w:tblGrid>
      <w:tr w14:paraId="166E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FF39C6C">
            <w:pPr>
              <w:spacing w:line="460" w:lineRule="exact"/>
              <w:jc w:val="center"/>
              <w:rPr>
                <w:rFonts w:ascii="仿宋" w:hAnsi="仿宋" w:eastAsia="仿宋"/>
                <w:b/>
                <w:sz w:val="24"/>
                <w:szCs w:val="24"/>
              </w:rPr>
            </w:pPr>
            <w:r>
              <w:rPr>
                <w:rFonts w:hint="eastAsia" w:ascii="仿宋" w:hAnsi="仿宋" w:eastAsia="仿宋"/>
                <w:b/>
                <w:sz w:val="24"/>
                <w:szCs w:val="24"/>
              </w:rPr>
              <w:t>成员单位</w:t>
            </w:r>
          </w:p>
        </w:tc>
        <w:tc>
          <w:tcPr>
            <w:tcW w:w="3935" w:type="pct"/>
            <w:vAlign w:val="center"/>
          </w:tcPr>
          <w:p w14:paraId="4F3F656F">
            <w:pPr>
              <w:spacing w:line="460" w:lineRule="exact"/>
              <w:jc w:val="center"/>
              <w:rPr>
                <w:rFonts w:ascii="仿宋" w:hAnsi="仿宋" w:eastAsia="仿宋"/>
                <w:b/>
                <w:sz w:val="24"/>
                <w:szCs w:val="24"/>
              </w:rPr>
            </w:pPr>
            <w:r>
              <w:rPr>
                <w:rFonts w:hint="eastAsia" w:ascii="仿宋" w:hAnsi="仿宋" w:eastAsia="仿宋"/>
                <w:b/>
                <w:sz w:val="24"/>
                <w:szCs w:val="24"/>
              </w:rPr>
              <w:t>主要职责</w:t>
            </w:r>
          </w:p>
        </w:tc>
      </w:tr>
      <w:tr w14:paraId="1834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3B710F03">
            <w:pPr>
              <w:spacing w:line="460" w:lineRule="exact"/>
              <w:jc w:val="center"/>
              <w:rPr>
                <w:rFonts w:ascii="仿宋" w:hAnsi="仿宋" w:eastAsia="仿宋"/>
                <w:sz w:val="24"/>
                <w:szCs w:val="24"/>
              </w:rPr>
            </w:pPr>
            <w:r>
              <w:rPr>
                <w:rFonts w:hint="eastAsia" w:ascii="仿宋" w:hAnsi="仿宋" w:eastAsia="仿宋"/>
                <w:sz w:val="24"/>
                <w:szCs w:val="24"/>
              </w:rPr>
              <w:t>生态环境局云冈分局</w:t>
            </w:r>
          </w:p>
        </w:tc>
        <w:tc>
          <w:tcPr>
            <w:tcW w:w="3935" w:type="pct"/>
          </w:tcPr>
          <w:p w14:paraId="14327A20">
            <w:pPr>
              <w:spacing w:line="460" w:lineRule="exact"/>
              <w:rPr>
                <w:rFonts w:ascii="仿宋" w:hAnsi="仿宋" w:eastAsia="仿宋"/>
                <w:sz w:val="24"/>
                <w:szCs w:val="24"/>
              </w:rPr>
            </w:pPr>
            <w:r>
              <w:rPr>
                <w:rFonts w:hint="eastAsia" w:ascii="仿宋" w:hAnsi="仿宋" w:eastAsia="仿宋"/>
                <w:sz w:val="24"/>
                <w:szCs w:val="24"/>
              </w:rPr>
              <w:t>承担应急指挥部办公室职责，负责全区环境应急日常监督管理工作，配合上级生态环境部门进行较大以上环境污染事故和生态破坏事件调查处理，组织一般突发环境事件调查处理工作，指导和督促事发地人民政府开展应急处置、应急监测、损害评估、环境修复等工作。</w:t>
            </w:r>
          </w:p>
        </w:tc>
      </w:tr>
      <w:tr w14:paraId="64DA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761EBAAA">
            <w:pPr>
              <w:spacing w:line="460" w:lineRule="exact"/>
              <w:jc w:val="center"/>
              <w:rPr>
                <w:rFonts w:ascii="仿宋" w:hAnsi="仿宋" w:eastAsia="仿宋"/>
                <w:sz w:val="24"/>
                <w:szCs w:val="24"/>
              </w:rPr>
            </w:pPr>
            <w:r>
              <w:rPr>
                <w:rFonts w:hint="eastAsia" w:ascii="仿宋" w:hAnsi="仿宋" w:eastAsia="仿宋"/>
                <w:sz w:val="24"/>
                <w:szCs w:val="24"/>
              </w:rPr>
              <w:t>区应急管理局</w:t>
            </w:r>
          </w:p>
        </w:tc>
        <w:tc>
          <w:tcPr>
            <w:tcW w:w="3935" w:type="pct"/>
          </w:tcPr>
          <w:p w14:paraId="2342917F">
            <w:pPr>
              <w:spacing w:line="460" w:lineRule="exact"/>
              <w:rPr>
                <w:rFonts w:ascii="仿宋" w:hAnsi="仿宋" w:eastAsia="仿宋"/>
                <w:sz w:val="24"/>
                <w:szCs w:val="24"/>
              </w:rPr>
            </w:pPr>
            <w:r>
              <w:rPr>
                <w:rFonts w:hint="eastAsia" w:ascii="仿宋" w:hAnsi="仿宋" w:eastAsia="仿宋"/>
                <w:sz w:val="24"/>
                <w:szCs w:val="24"/>
              </w:rPr>
              <w:t>配合安全生产类、自然灾害类等突发环境事件的应急处置及调查评估工作；及时通报生产安全事故、自然灾害可能引发的次生突发环境事件信息；依法指导、监督有关生产经营单位安全生产情况；在职责范围内指导、监督检查生产安全事故隐患排查治理工作；统筹协调应急救援物资和装备工作；推动应急避难场所建设。</w:t>
            </w:r>
          </w:p>
        </w:tc>
      </w:tr>
      <w:tr w14:paraId="6F9D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827781B">
            <w:pPr>
              <w:spacing w:line="460" w:lineRule="exact"/>
              <w:jc w:val="center"/>
              <w:rPr>
                <w:rFonts w:ascii="仿宋" w:hAnsi="仿宋" w:eastAsia="仿宋"/>
                <w:sz w:val="24"/>
                <w:szCs w:val="24"/>
              </w:rPr>
            </w:pPr>
            <w:r>
              <w:rPr>
                <w:rFonts w:hint="eastAsia" w:ascii="仿宋" w:hAnsi="仿宋" w:eastAsia="仿宋"/>
                <w:sz w:val="24"/>
                <w:szCs w:val="24"/>
              </w:rPr>
              <w:t>区发改科技局</w:t>
            </w:r>
          </w:p>
        </w:tc>
        <w:tc>
          <w:tcPr>
            <w:tcW w:w="3935" w:type="pct"/>
          </w:tcPr>
          <w:p w14:paraId="605294F9">
            <w:pPr>
              <w:spacing w:line="460" w:lineRule="exact"/>
              <w:rPr>
                <w:rFonts w:ascii="仿宋" w:hAnsi="仿宋" w:eastAsia="仿宋"/>
                <w:sz w:val="24"/>
                <w:szCs w:val="24"/>
              </w:rPr>
            </w:pPr>
            <w:r>
              <w:rPr>
                <w:rFonts w:hint="eastAsia" w:ascii="仿宋" w:hAnsi="仿宋" w:eastAsia="仿宋"/>
                <w:sz w:val="24"/>
                <w:szCs w:val="24"/>
              </w:rPr>
              <w:t>负责全区应急储备物资管理，协调落实所属救灾物资储备动用计划和指令。负责突发环境事件应急处置的物资保障工作，会同有关部门统筹规划全区应急物资储备；协调环境应急有关项目建设；协助相关部门采取必要的紧急措施，包括在保证企业安全的前提下临时停产或部分停产等，以减少或停止污染物排放；协调电力、电信运营企业做好应急电力、通信等相关保障工作。</w:t>
            </w:r>
          </w:p>
        </w:tc>
      </w:tr>
      <w:tr w14:paraId="6278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2C43B74">
            <w:pPr>
              <w:spacing w:line="460" w:lineRule="exact"/>
              <w:jc w:val="center"/>
              <w:rPr>
                <w:rFonts w:ascii="仿宋" w:hAnsi="仿宋" w:eastAsia="仿宋"/>
                <w:sz w:val="24"/>
                <w:szCs w:val="24"/>
              </w:rPr>
            </w:pPr>
            <w:r>
              <w:rPr>
                <w:rFonts w:hint="eastAsia" w:ascii="仿宋" w:hAnsi="仿宋" w:eastAsia="仿宋"/>
                <w:sz w:val="24"/>
                <w:szCs w:val="24"/>
              </w:rPr>
              <w:t>区工信局</w:t>
            </w:r>
          </w:p>
        </w:tc>
        <w:tc>
          <w:tcPr>
            <w:tcW w:w="3935" w:type="pct"/>
          </w:tcPr>
          <w:p w14:paraId="7BFFC94E">
            <w:pPr>
              <w:spacing w:line="460" w:lineRule="exact"/>
              <w:rPr>
                <w:rFonts w:ascii="仿宋" w:hAnsi="仿宋" w:eastAsia="仿宋"/>
                <w:sz w:val="24"/>
                <w:szCs w:val="24"/>
              </w:rPr>
            </w:pPr>
            <w:r>
              <w:rPr>
                <w:rFonts w:hint="eastAsia" w:ascii="仿宋" w:hAnsi="仿宋" w:eastAsia="仿宋"/>
                <w:sz w:val="24"/>
                <w:szCs w:val="24"/>
              </w:rPr>
              <w:t>组织紧急状态下重要物资生产。</w:t>
            </w:r>
          </w:p>
        </w:tc>
      </w:tr>
      <w:tr w14:paraId="7D21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13AE9F99">
            <w:pPr>
              <w:spacing w:line="460" w:lineRule="exact"/>
              <w:jc w:val="center"/>
              <w:rPr>
                <w:rFonts w:ascii="仿宋" w:hAnsi="仿宋" w:eastAsia="仿宋"/>
                <w:sz w:val="24"/>
                <w:szCs w:val="24"/>
              </w:rPr>
            </w:pPr>
            <w:r>
              <w:rPr>
                <w:rFonts w:hint="eastAsia" w:ascii="仿宋" w:hAnsi="仿宋" w:eastAsia="仿宋"/>
                <w:sz w:val="24"/>
                <w:szCs w:val="24"/>
              </w:rPr>
              <w:t>区委宣传部</w:t>
            </w:r>
          </w:p>
        </w:tc>
        <w:tc>
          <w:tcPr>
            <w:tcW w:w="3935" w:type="pct"/>
          </w:tcPr>
          <w:p w14:paraId="1004A826">
            <w:pPr>
              <w:spacing w:line="460" w:lineRule="exact"/>
              <w:rPr>
                <w:rFonts w:ascii="仿宋" w:hAnsi="仿宋" w:eastAsia="仿宋"/>
                <w:sz w:val="24"/>
                <w:szCs w:val="24"/>
              </w:rPr>
            </w:pPr>
            <w:r>
              <w:rPr>
                <w:rFonts w:hint="eastAsia" w:ascii="仿宋" w:hAnsi="仿宋" w:eastAsia="仿宋"/>
                <w:sz w:val="24"/>
                <w:szCs w:val="24"/>
              </w:rPr>
              <w:t>协助指挥部开展应急信息新闻发布，做好媒体记者的组织、管理和引导工作。负责组织各种新闻媒体及时、准确、客观、全面地报道事故救援情况，正面引导新闻媒体舆论导向。</w:t>
            </w:r>
          </w:p>
        </w:tc>
      </w:tr>
      <w:tr w14:paraId="271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116A646">
            <w:pPr>
              <w:spacing w:line="460" w:lineRule="exact"/>
              <w:jc w:val="center"/>
              <w:rPr>
                <w:rFonts w:ascii="仿宋" w:hAnsi="仿宋" w:eastAsia="仿宋"/>
                <w:sz w:val="24"/>
                <w:szCs w:val="24"/>
              </w:rPr>
            </w:pPr>
            <w:r>
              <w:rPr>
                <w:rFonts w:hint="eastAsia" w:ascii="仿宋" w:hAnsi="仿宋" w:eastAsia="仿宋"/>
                <w:sz w:val="24"/>
                <w:szCs w:val="24"/>
              </w:rPr>
              <w:t>市公安局云冈分局</w:t>
            </w:r>
          </w:p>
        </w:tc>
        <w:tc>
          <w:tcPr>
            <w:tcW w:w="3935" w:type="pct"/>
          </w:tcPr>
          <w:p w14:paraId="34DC8C1A">
            <w:pPr>
              <w:spacing w:line="460" w:lineRule="exact"/>
              <w:rPr>
                <w:rFonts w:ascii="仿宋" w:hAnsi="仿宋" w:eastAsia="仿宋"/>
                <w:sz w:val="24"/>
                <w:szCs w:val="24"/>
              </w:rPr>
            </w:pPr>
            <w:r>
              <w:rPr>
                <w:rFonts w:hint="eastAsia" w:ascii="仿宋" w:hAnsi="仿宋" w:eastAsia="仿宋"/>
                <w:sz w:val="24"/>
                <w:szCs w:val="24"/>
              </w:rPr>
              <w:t>负责组织协调道路交通、火灾事故、民爆物品引发事故的应急处置工作；参与配合易燃、易爆、有毒有害物质泄漏事故的现场控制和洗消，参加伤员的搜救工作；协调公安消防按照事发现场的技术要求参与应急处置；负责划定现场警戒和交通管制区域，指导人员疏散，保障救援道路畅通，维护事发地治安秩序和社会稳定。</w:t>
            </w:r>
          </w:p>
        </w:tc>
      </w:tr>
      <w:tr w14:paraId="2DB4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00AD6B69">
            <w:pPr>
              <w:spacing w:line="460" w:lineRule="exact"/>
              <w:jc w:val="center"/>
              <w:rPr>
                <w:rFonts w:ascii="仿宋" w:hAnsi="仿宋" w:eastAsia="仿宋"/>
                <w:sz w:val="24"/>
                <w:szCs w:val="24"/>
              </w:rPr>
            </w:pPr>
            <w:r>
              <w:rPr>
                <w:rFonts w:hint="eastAsia" w:ascii="仿宋" w:hAnsi="仿宋" w:eastAsia="仿宋"/>
                <w:sz w:val="24"/>
                <w:szCs w:val="24"/>
              </w:rPr>
              <w:t>区财政局</w:t>
            </w:r>
          </w:p>
        </w:tc>
        <w:tc>
          <w:tcPr>
            <w:tcW w:w="3935" w:type="pct"/>
          </w:tcPr>
          <w:p w14:paraId="3E28DCE6">
            <w:pPr>
              <w:spacing w:line="460" w:lineRule="exact"/>
              <w:rPr>
                <w:rFonts w:ascii="仿宋" w:hAnsi="仿宋" w:eastAsia="仿宋"/>
                <w:sz w:val="24"/>
                <w:szCs w:val="24"/>
              </w:rPr>
            </w:pPr>
            <w:r>
              <w:rPr>
                <w:rFonts w:hint="eastAsia" w:ascii="仿宋" w:hAnsi="仿宋" w:eastAsia="仿宋"/>
                <w:sz w:val="24"/>
                <w:szCs w:val="24"/>
              </w:rPr>
              <w:t>保障区突发环境事件应急能力建设、环境应急设备购置及环境应急救援等经费，做好经费使用监督检查工作。</w:t>
            </w:r>
          </w:p>
        </w:tc>
      </w:tr>
      <w:tr w14:paraId="6909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0DBB1E24">
            <w:pPr>
              <w:spacing w:line="460" w:lineRule="exact"/>
              <w:jc w:val="center"/>
              <w:rPr>
                <w:rFonts w:ascii="仿宋" w:hAnsi="仿宋" w:eastAsia="仿宋"/>
                <w:sz w:val="24"/>
                <w:szCs w:val="24"/>
              </w:rPr>
            </w:pPr>
            <w:r>
              <w:rPr>
                <w:rFonts w:hint="eastAsia" w:ascii="仿宋" w:hAnsi="仿宋" w:eastAsia="仿宋"/>
                <w:sz w:val="24"/>
                <w:szCs w:val="24"/>
              </w:rPr>
              <w:t>区水务局</w:t>
            </w:r>
          </w:p>
        </w:tc>
        <w:tc>
          <w:tcPr>
            <w:tcW w:w="3935" w:type="pct"/>
          </w:tcPr>
          <w:p w14:paraId="45F2C161">
            <w:pPr>
              <w:spacing w:line="460" w:lineRule="exact"/>
              <w:rPr>
                <w:rFonts w:ascii="仿宋" w:hAnsi="仿宋" w:eastAsia="仿宋"/>
                <w:sz w:val="24"/>
                <w:szCs w:val="24"/>
              </w:rPr>
            </w:pPr>
            <w:r>
              <w:rPr>
                <w:rFonts w:hint="eastAsia" w:ascii="仿宋" w:hAnsi="仿宋" w:eastAsia="仿宋"/>
                <w:sz w:val="24"/>
                <w:szCs w:val="24"/>
              </w:rPr>
              <w:t>负责突发环境事件涉及生态环境用水的统筹和保障，饮用水水源保护相关工作；指导突发环境事件涉及重要河湖及河口、河岸滩涂的保护；指导突发环境事件涉及河湖水生态保护与修复；协调参与水文等相关监测，参与突发水污染事件的调查和应急处置工作。</w:t>
            </w:r>
          </w:p>
        </w:tc>
      </w:tr>
      <w:tr w14:paraId="69A6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601443B4">
            <w:pPr>
              <w:spacing w:line="460" w:lineRule="exact"/>
              <w:jc w:val="center"/>
              <w:rPr>
                <w:rFonts w:ascii="仿宋" w:hAnsi="仿宋" w:eastAsia="仿宋"/>
                <w:sz w:val="24"/>
                <w:szCs w:val="24"/>
              </w:rPr>
            </w:pPr>
            <w:r>
              <w:rPr>
                <w:rFonts w:hint="eastAsia" w:ascii="仿宋" w:hAnsi="仿宋" w:eastAsia="仿宋"/>
                <w:sz w:val="24"/>
                <w:szCs w:val="24"/>
              </w:rPr>
              <w:t>区农业农村局</w:t>
            </w:r>
          </w:p>
        </w:tc>
        <w:tc>
          <w:tcPr>
            <w:tcW w:w="3935" w:type="pct"/>
          </w:tcPr>
          <w:p w14:paraId="17BCD66B">
            <w:pPr>
              <w:spacing w:line="460" w:lineRule="exact"/>
              <w:rPr>
                <w:rFonts w:ascii="仿宋" w:hAnsi="仿宋" w:eastAsia="仿宋"/>
                <w:sz w:val="24"/>
                <w:szCs w:val="24"/>
              </w:rPr>
            </w:pPr>
            <w:r>
              <w:rPr>
                <w:rFonts w:hint="eastAsia" w:ascii="仿宋" w:hAnsi="仿宋" w:eastAsia="仿宋"/>
                <w:sz w:val="24"/>
                <w:szCs w:val="24"/>
              </w:rPr>
              <w:t>组织对突发环境事件造成的农业生产损失评估。配合做好因农业污染引起的突发环境事件的调查和处置工作，配合开展相关生态修复。</w:t>
            </w:r>
          </w:p>
        </w:tc>
      </w:tr>
      <w:tr w14:paraId="1E20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56CE9352">
            <w:pPr>
              <w:spacing w:line="460" w:lineRule="exact"/>
              <w:jc w:val="center"/>
              <w:rPr>
                <w:rFonts w:ascii="仿宋" w:hAnsi="仿宋" w:eastAsia="仿宋"/>
                <w:sz w:val="24"/>
                <w:szCs w:val="24"/>
              </w:rPr>
            </w:pPr>
            <w:r>
              <w:rPr>
                <w:rFonts w:hint="eastAsia" w:ascii="仿宋" w:hAnsi="仿宋" w:eastAsia="仿宋"/>
                <w:sz w:val="24"/>
                <w:szCs w:val="24"/>
              </w:rPr>
              <w:t>区自然资源局</w:t>
            </w:r>
          </w:p>
        </w:tc>
        <w:tc>
          <w:tcPr>
            <w:tcW w:w="3935" w:type="pct"/>
          </w:tcPr>
          <w:p w14:paraId="17361764">
            <w:pPr>
              <w:spacing w:line="460" w:lineRule="exact"/>
              <w:rPr>
                <w:rFonts w:ascii="仿宋" w:hAnsi="仿宋" w:eastAsia="仿宋"/>
                <w:sz w:val="24"/>
                <w:szCs w:val="24"/>
              </w:rPr>
            </w:pPr>
            <w:r>
              <w:rPr>
                <w:rFonts w:hint="eastAsia" w:ascii="仿宋" w:hAnsi="仿宋" w:eastAsia="仿宋"/>
                <w:sz w:val="24"/>
                <w:szCs w:val="24"/>
              </w:rPr>
              <w:t>指导因突发环境事件造成生态破坏的</w:t>
            </w:r>
            <w:bookmarkStart w:id="171" w:name="OLE_LINK3"/>
            <w:bookmarkStart w:id="172" w:name="OLE_LINK4"/>
            <w:r>
              <w:rPr>
                <w:rFonts w:hint="eastAsia" w:ascii="仿宋" w:hAnsi="仿宋" w:eastAsia="仿宋"/>
                <w:sz w:val="24"/>
                <w:szCs w:val="24"/>
              </w:rPr>
              <w:t>国土空间生态修复</w:t>
            </w:r>
            <w:bookmarkEnd w:id="171"/>
            <w:bookmarkEnd w:id="172"/>
            <w:r>
              <w:rPr>
                <w:rFonts w:hint="eastAsia" w:ascii="仿宋" w:hAnsi="仿宋" w:eastAsia="仿宋"/>
                <w:sz w:val="24"/>
                <w:szCs w:val="24"/>
              </w:rPr>
              <w:t>工作</w:t>
            </w:r>
            <w:r>
              <w:rPr>
                <w:rFonts w:ascii="仿宋" w:hAnsi="仿宋" w:eastAsia="仿宋"/>
                <w:sz w:val="24"/>
                <w:szCs w:val="24"/>
              </w:rPr>
              <w:t>，为突发环境事件引发的地质灾害防治提供技术支撑。</w:t>
            </w:r>
          </w:p>
        </w:tc>
      </w:tr>
      <w:tr w14:paraId="73C9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52BAC48">
            <w:pPr>
              <w:spacing w:line="460" w:lineRule="exact"/>
              <w:jc w:val="center"/>
              <w:rPr>
                <w:rFonts w:ascii="仿宋" w:hAnsi="仿宋" w:eastAsia="仿宋"/>
                <w:sz w:val="24"/>
                <w:szCs w:val="24"/>
              </w:rPr>
            </w:pPr>
            <w:r>
              <w:rPr>
                <w:rFonts w:hint="eastAsia" w:ascii="仿宋" w:hAnsi="仿宋" w:eastAsia="仿宋"/>
                <w:sz w:val="24"/>
                <w:szCs w:val="24"/>
              </w:rPr>
              <w:t>区住建局</w:t>
            </w:r>
          </w:p>
        </w:tc>
        <w:tc>
          <w:tcPr>
            <w:tcW w:w="3935" w:type="pct"/>
          </w:tcPr>
          <w:p w14:paraId="05D5D256">
            <w:pPr>
              <w:spacing w:line="460" w:lineRule="exact"/>
              <w:rPr>
                <w:rFonts w:ascii="仿宋" w:hAnsi="仿宋" w:eastAsia="仿宋"/>
                <w:sz w:val="24"/>
                <w:szCs w:val="24"/>
              </w:rPr>
            </w:pPr>
            <w:r>
              <w:rPr>
                <w:rFonts w:hint="eastAsia" w:ascii="仿宋" w:hAnsi="仿宋" w:eastAsia="仿宋"/>
                <w:sz w:val="24"/>
                <w:szCs w:val="24"/>
              </w:rPr>
              <w:t>负责指导全区涉及突发环境事件应急市政公用设施的建设、运行安全和应急管理。会同文物主管部门负责突发环境事件涉及全区历史文化名城</w:t>
            </w:r>
            <w:r>
              <w:rPr>
                <w:rFonts w:ascii="仿宋" w:hAnsi="仿宋" w:eastAsia="仿宋"/>
                <w:sz w:val="24"/>
                <w:szCs w:val="24"/>
              </w:rPr>
              <w:t>（镇、村）的保护和监督管理工作。</w:t>
            </w:r>
          </w:p>
        </w:tc>
      </w:tr>
      <w:tr w14:paraId="71AC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0232B23C">
            <w:pPr>
              <w:spacing w:line="460" w:lineRule="exact"/>
              <w:jc w:val="center"/>
              <w:rPr>
                <w:rFonts w:ascii="仿宋" w:hAnsi="仿宋" w:eastAsia="仿宋"/>
                <w:sz w:val="24"/>
                <w:szCs w:val="24"/>
              </w:rPr>
            </w:pPr>
            <w:r>
              <w:rPr>
                <w:rFonts w:hint="eastAsia" w:ascii="仿宋" w:hAnsi="仿宋" w:eastAsia="仿宋"/>
                <w:sz w:val="24"/>
                <w:szCs w:val="24"/>
              </w:rPr>
              <w:t>区交通局</w:t>
            </w:r>
          </w:p>
        </w:tc>
        <w:tc>
          <w:tcPr>
            <w:tcW w:w="3935" w:type="pct"/>
          </w:tcPr>
          <w:p w14:paraId="10F1E251">
            <w:pPr>
              <w:spacing w:line="460" w:lineRule="exact"/>
              <w:rPr>
                <w:rFonts w:ascii="仿宋" w:hAnsi="仿宋" w:eastAsia="仿宋"/>
                <w:sz w:val="24"/>
                <w:szCs w:val="24"/>
              </w:rPr>
            </w:pPr>
            <w:r>
              <w:rPr>
                <w:rFonts w:hint="eastAsia" w:ascii="仿宋" w:hAnsi="仿宋" w:eastAsia="仿宋"/>
                <w:sz w:val="24"/>
                <w:szCs w:val="24"/>
              </w:rPr>
              <w:t>按规定组织协调重点物资和紧急客货运输；负责危险化学品道路安全监督管理工作，参与因交通运输事故引发的突发环境事件的调查和应急处置；负责组织通往突发环境事件现场的公路抢修；协调通往突发环境事件现场公路的保通工作，拟订公路绕行方案，在专业救援部门指导下协调收集清理消除水路污染物。</w:t>
            </w:r>
          </w:p>
        </w:tc>
      </w:tr>
      <w:tr w14:paraId="0D2E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9E12357">
            <w:pPr>
              <w:spacing w:line="460" w:lineRule="exact"/>
              <w:jc w:val="center"/>
              <w:rPr>
                <w:rFonts w:ascii="仿宋" w:hAnsi="仿宋" w:eastAsia="仿宋"/>
                <w:sz w:val="24"/>
                <w:szCs w:val="24"/>
              </w:rPr>
            </w:pPr>
            <w:r>
              <w:rPr>
                <w:rFonts w:hint="eastAsia" w:ascii="仿宋" w:hAnsi="仿宋" w:eastAsia="仿宋"/>
                <w:sz w:val="24"/>
                <w:szCs w:val="24"/>
              </w:rPr>
              <w:t>区卫体局</w:t>
            </w:r>
          </w:p>
        </w:tc>
        <w:tc>
          <w:tcPr>
            <w:tcW w:w="3935" w:type="pct"/>
          </w:tcPr>
          <w:p w14:paraId="4DEF2D4C">
            <w:pPr>
              <w:spacing w:line="460" w:lineRule="exact"/>
              <w:rPr>
                <w:rFonts w:ascii="仿宋" w:hAnsi="仿宋" w:eastAsia="仿宋"/>
                <w:sz w:val="24"/>
                <w:szCs w:val="24"/>
              </w:rPr>
            </w:pPr>
            <w:r>
              <w:rPr>
                <w:rFonts w:hint="eastAsia" w:ascii="仿宋" w:hAnsi="仿宋" w:eastAsia="仿宋"/>
                <w:sz w:val="24"/>
                <w:szCs w:val="24"/>
              </w:rPr>
              <w:t>负责指导事发地开展突发环境事件伤病员现场抢救、转运、院内救治和公共卫生风险评估应对等紧急医学救援工作；协调调派专家团队给予指导支持；对末梢水的卫生实施监督监测。</w:t>
            </w:r>
          </w:p>
        </w:tc>
      </w:tr>
      <w:tr w14:paraId="0CA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4DBB766A">
            <w:pPr>
              <w:spacing w:line="460" w:lineRule="exact"/>
              <w:jc w:val="center"/>
              <w:rPr>
                <w:rFonts w:ascii="仿宋" w:hAnsi="仿宋" w:eastAsia="仿宋"/>
                <w:sz w:val="24"/>
                <w:szCs w:val="24"/>
              </w:rPr>
            </w:pPr>
            <w:r>
              <w:rPr>
                <w:rFonts w:hint="eastAsia" w:ascii="仿宋" w:hAnsi="仿宋" w:eastAsia="仿宋"/>
                <w:sz w:val="24"/>
                <w:szCs w:val="24"/>
              </w:rPr>
              <w:t>区能源局</w:t>
            </w:r>
          </w:p>
        </w:tc>
        <w:tc>
          <w:tcPr>
            <w:tcW w:w="3935" w:type="pct"/>
          </w:tcPr>
          <w:p w14:paraId="41903229">
            <w:pPr>
              <w:spacing w:line="460" w:lineRule="exact"/>
              <w:rPr>
                <w:rFonts w:ascii="仿宋" w:hAnsi="仿宋" w:eastAsia="仿宋"/>
                <w:sz w:val="24"/>
                <w:szCs w:val="24"/>
              </w:rPr>
            </w:pPr>
            <w:r>
              <w:rPr>
                <w:rFonts w:hint="eastAsia" w:ascii="仿宋" w:hAnsi="仿宋" w:eastAsia="仿宋"/>
                <w:sz w:val="24"/>
                <w:szCs w:val="24"/>
              </w:rPr>
              <w:t>负责能源预测预警，参与能源运行调节和应急保障。承担一般突发环境事件造成煤、电、油、气、运供应紧张状态下的紧急调度和综合协调。</w:t>
            </w:r>
          </w:p>
        </w:tc>
      </w:tr>
      <w:tr w14:paraId="3BD8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3814CCD9">
            <w:pPr>
              <w:spacing w:line="460" w:lineRule="exact"/>
              <w:jc w:val="center"/>
              <w:rPr>
                <w:rFonts w:ascii="仿宋" w:hAnsi="仿宋" w:eastAsia="仿宋"/>
                <w:sz w:val="24"/>
                <w:szCs w:val="24"/>
              </w:rPr>
            </w:pPr>
            <w:r>
              <w:rPr>
                <w:rFonts w:hint="eastAsia" w:ascii="仿宋" w:hAnsi="仿宋" w:eastAsia="仿宋"/>
                <w:sz w:val="24"/>
                <w:szCs w:val="24"/>
              </w:rPr>
              <w:t>区教育局</w:t>
            </w:r>
          </w:p>
        </w:tc>
        <w:tc>
          <w:tcPr>
            <w:tcW w:w="3935" w:type="pct"/>
          </w:tcPr>
          <w:p w14:paraId="4C19F13C">
            <w:pPr>
              <w:spacing w:line="460" w:lineRule="exact"/>
              <w:rPr>
                <w:rFonts w:ascii="仿宋" w:hAnsi="仿宋" w:eastAsia="仿宋"/>
                <w:sz w:val="24"/>
                <w:szCs w:val="24"/>
              </w:rPr>
            </w:pPr>
            <w:r>
              <w:rPr>
                <w:rFonts w:hint="eastAsia" w:ascii="仿宋" w:hAnsi="仿宋" w:eastAsia="仿宋"/>
                <w:sz w:val="24"/>
                <w:szCs w:val="24"/>
              </w:rPr>
              <w:t>组织开展全区各类学校环境安全工作和学生环境应急宣传教育工作，在环境事件涉及学校和教育设施的情形下，指导学校制定师生紧急避险和疏散方案并组织实施，做好学生临时安置和教学工作。</w:t>
            </w:r>
          </w:p>
        </w:tc>
      </w:tr>
      <w:tr w14:paraId="4FC5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2839BD7F">
            <w:pPr>
              <w:spacing w:line="460" w:lineRule="exact"/>
              <w:jc w:val="center"/>
              <w:rPr>
                <w:rFonts w:hint="eastAsia" w:ascii="仿宋" w:hAnsi="仿宋" w:eastAsia="仿宋"/>
                <w:sz w:val="24"/>
                <w:szCs w:val="24"/>
                <w:lang w:eastAsia="zh-CN"/>
              </w:rPr>
            </w:pPr>
            <w:r>
              <w:rPr>
                <w:rFonts w:hint="eastAsia" w:ascii="仿宋" w:hAnsi="仿宋" w:eastAsia="仿宋"/>
                <w:sz w:val="24"/>
                <w:szCs w:val="24"/>
              </w:rPr>
              <w:t>区</w:t>
            </w:r>
            <w:r>
              <w:rPr>
                <w:rFonts w:hint="eastAsia" w:ascii="仿宋" w:hAnsi="仿宋" w:eastAsia="仿宋"/>
                <w:sz w:val="24"/>
                <w:szCs w:val="24"/>
                <w:lang w:eastAsia="zh-CN"/>
              </w:rPr>
              <w:t>市场监督管理局</w:t>
            </w:r>
          </w:p>
        </w:tc>
        <w:tc>
          <w:tcPr>
            <w:tcW w:w="3935" w:type="pct"/>
          </w:tcPr>
          <w:p w14:paraId="512DAD04">
            <w:pPr>
              <w:spacing w:line="460" w:lineRule="exact"/>
              <w:rPr>
                <w:rFonts w:ascii="仿宋" w:hAnsi="仿宋" w:eastAsia="仿宋"/>
                <w:sz w:val="24"/>
                <w:szCs w:val="24"/>
              </w:rPr>
            </w:pPr>
            <w:r>
              <w:rPr>
                <w:rFonts w:hint="eastAsia" w:ascii="仿宋" w:hAnsi="仿宋" w:eastAsia="仿宋"/>
                <w:sz w:val="24"/>
                <w:szCs w:val="24"/>
              </w:rPr>
              <w:t>负责在突发环境事件的应急处置中做好食品安全监督管理工作。</w:t>
            </w:r>
          </w:p>
        </w:tc>
      </w:tr>
      <w:tr w14:paraId="48EF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pct"/>
            <w:vAlign w:val="center"/>
          </w:tcPr>
          <w:p w14:paraId="589DFF18">
            <w:pPr>
              <w:spacing w:line="460" w:lineRule="exact"/>
              <w:jc w:val="center"/>
              <w:rPr>
                <w:rFonts w:ascii="仿宋" w:hAnsi="仿宋" w:eastAsia="仿宋"/>
                <w:sz w:val="24"/>
                <w:szCs w:val="24"/>
              </w:rPr>
            </w:pPr>
            <w:r>
              <w:rPr>
                <w:rFonts w:hint="eastAsia" w:ascii="仿宋" w:hAnsi="仿宋" w:eastAsia="仿宋"/>
                <w:sz w:val="24"/>
                <w:szCs w:val="24"/>
              </w:rPr>
              <w:t>区消防大队</w:t>
            </w:r>
          </w:p>
        </w:tc>
        <w:tc>
          <w:tcPr>
            <w:tcW w:w="3935" w:type="pct"/>
          </w:tcPr>
          <w:p w14:paraId="6407CC7C">
            <w:pPr>
              <w:spacing w:line="460" w:lineRule="exact"/>
              <w:rPr>
                <w:rFonts w:ascii="仿宋" w:hAnsi="仿宋" w:eastAsia="仿宋"/>
                <w:sz w:val="24"/>
                <w:szCs w:val="24"/>
              </w:rPr>
            </w:pPr>
            <w:r>
              <w:rPr>
                <w:rFonts w:hint="eastAsia" w:ascii="仿宋" w:hAnsi="仿宋" w:eastAsia="仿宋"/>
                <w:sz w:val="24"/>
                <w:szCs w:val="24"/>
              </w:rPr>
              <w:t>负责突发环境事件应急抢险工作。</w:t>
            </w:r>
          </w:p>
        </w:tc>
      </w:tr>
    </w:tbl>
    <w:p w14:paraId="3340C4F3">
      <w:pPr>
        <w:pStyle w:val="11"/>
        <w:sectPr>
          <w:pgSz w:w="16838" w:h="11906" w:orient="landscape"/>
          <w:pgMar w:top="1134" w:right="1440" w:bottom="1134" w:left="1440" w:header="851" w:footer="992" w:gutter="0"/>
          <w:cols w:space="425" w:num="1"/>
          <w:docGrid w:type="lines" w:linePitch="312" w:charSpace="0"/>
        </w:sectPr>
      </w:pPr>
      <w:bookmarkStart w:id="173" w:name="_Toc114146635"/>
      <w:bookmarkStart w:id="174" w:name="_Toc205823025"/>
    </w:p>
    <w:p w14:paraId="0703ADE3">
      <w:pPr>
        <w:pStyle w:val="36"/>
      </w:pPr>
      <w:bookmarkStart w:id="175" w:name="_Toc213413234"/>
      <w:bookmarkStart w:id="176" w:name="_Toc205835068"/>
      <w:r>
        <w:rPr>
          <w:rFonts w:hint="eastAsia"/>
        </w:rPr>
        <w:t>附件</w:t>
      </w:r>
      <w:r>
        <w:t>4</w:t>
      </w:r>
      <w:r>
        <w:rPr>
          <w:rFonts w:hint="eastAsia"/>
        </w:rPr>
        <w:t xml:space="preserve"> 云冈区突发环境事件应急指挥部工作组组成及职责表</w:t>
      </w:r>
      <w:bookmarkEnd w:id="173"/>
      <w:bookmarkEnd w:id="174"/>
      <w:bookmarkEnd w:id="175"/>
      <w:bookmarkEnd w:id="176"/>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8668"/>
      </w:tblGrid>
      <w:tr w14:paraId="01C5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6" w:type="dxa"/>
            <w:vAlign w:val="center"/>
          </w:tcPr>
          <w:p w14:paraId="7AB0F3B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工作组</w:t>
            </w:r>
          </w:p>
          <w:p w14:paraId="787B02D0">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组成</w:t>
            </w:r>
          </w:p>
        </w:tc>
        <w:tc>
          <w:tcPr>
            <w:tcW w:w="12289" w:type="dxa"/>
            <w:vAlign w:val="center"/>
          </w:tcPr>
          <w:p w14:paraId="31F90166">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工作组机构职责</w:t>
            </w:r>
          </w:p>
        </w:tc>
      </w:tr>
      <w:tr w14:paraId="26B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768366DA">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综合组</w:t>
            </w:r>
          </w:p>
        </w:tc>
        <w:tc>
          <w:tcPr>
            <w:tcW w:w="12289" w:type="dxa"/>
            <w:vAlign w:val="center"/>
          </w:tcPr>
          <w:p w14:paraId="054E9C3C">
            <w:pPr>
              <w:pStyle w:val="11"/>
              <w:spacing w:line="460" w:lineRule="exact"/>
              <w:ind w:firstLine="480"/>
              <w:rPr>
                <w:rFonts w:ascii="Times New Roman" w:hAnsi="Times New Roman"/>
                <w:sz w:val="24"/>
                <w:szCs w:val="24"/>
              </w:rPr>
            </w:pPr>
            <w:r>
              <w:rPr>
                <w:rFonts w:hint="eastAsia" w:ascii="Times New Roman" w:hAnsi="Times New Roman"/>
                <w:sz w:val="24"/>
                <w:szCs w:val="24"/>
              </w:rPr>
              <w:t>综合组由牵头单位：市生态环境局云冈分局</w:t>
            </w:r>
          </w:p>
          <w:p w14:paraId="66735D84">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成员单位：区发改科技局、</w:t>
            </w:r>
            <w:bookmarkStart w:id="177" w:name="OLE_LINK64"/>
            <w:bookmarkStart w:id="178" w:name="OLE_LINK63"/>
            <w:r>
              <w:rPr>
                <w:rFonts w:hint="eastAsia" w:ascii="Times New Roman" w:hAnsi="Times New Roman"/>
                <w:sz w:val="24"/>
                <w:szCs w:val="24"/>
              </w:rPr>
              <w:t>市公安局云冈分局</w:t>
            </w:r>
            <w:bookmarkEnd w:id="177"/>
            <w:bookmarkEnd w:id="178"/>
            <w:r>
              <w:rPr>
                <w:rFonts w:hint="eastAsia" w:ascii="Times New Roman" w:hAnsi="Times New Roman"/>
                <w:sz w:val="24"/>
                <w:szCs w:val="24"/>
              </w:rPr>
              <w:t>、区应急管理局等部门相关负责人和事发地人民政府应急机构负责人。</w:t>
            </w:r>
          </w:p>
          <w:p w14:paraId="33B9A379">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主要职责：①落实指挥长、副指挥长决策方案。②收集汇总各工作组救援动态信息</w:t>
            </w:r>
            <w:r>
              <w:rPr>
                <w:rFonts w:ascii="Times New Roman" w:hAnsi="Times New Roman"/>
                <w:sz w:val="24"/>
                <w:szCs w:val="24"/>
              </w:rPr>
              <w:t>，制作应急救援态势图、人员配置表、通讯表。</w:t>
            </w:r>
            <w:r>
              <w:rPr>
                <w:rFonts w:hint="eastAsia" w:ascii="Times New Roman" w:hAnsi="Times New Roman"/>
                <w:sz w:val="24"/>
                <w:szCs w:val="24"/>
              </w:rPr>
              <w:t>③督促各工作组填写救援日志</w:t>
            </w:r>
            <w:r>
              <w:rPr>
                <w:rFonts w:ascii="Times New Roman" w:hAnsi="Times New Roman"/>
                <w:sz w:val="24"/>
                <w:szCs w:val="24"/>
              </w:rPr>
              <w:t>，及时汇总各组情况，编辑救援信息，及时向指挥长报告有关情况。</w:t>
            </w:r>
            <w:r>
              <w:rPr>
                <w:rFonts w:hint="eastAsia" w:ascii="Times New Roman" w:hAnsi="Times New Roman"/>
                <w:sz w:val="24"/>
                <w:szCs w:val="24"/>
              </w:rPr>
              <w:t>④完成指挥部安排的其他任务。</w:t>
            </w:r>
          </w:p>
        </w:tc>
      </w:tr>
      <w:tr w14:paraId="4F5D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3DA9DDF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污染</w:t>
            </w:r>
          </w:p>
          <w:p w14:paraId="440203C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处置组</w:t>
            </w:r>
          </w:p>
        </w:tc>
        <w:tc>
          <w:tcPr>
            <w:tcW w:w="12289" w:type="dxa"/>
            <w:vAlign w:val="center"/>
          </w:tcPr>
          <w:p w14:paraId="3464A442">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牵头单位：市生态环境局云冈分局</w:t>
            </w:r>
          </w:p>
          <w:p w14:paraId="15F3A18B">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成员单位：市公安局云冈分局、区交通运输局、区农业农村局、区林业局、区水务局、区住建局、区城市管理局、区应急管理局、区消防救援大队、事发地人民政府和相关部门等</w:t>
            </w:r>
          </w:p>
          <w:p w14:paraId="06CFDD8F">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收集汇总相关数据，组织进行技术研判，开展事态分析，制定事故造成大气、水源或土壤污染处置方案并组织实施。②迅速组织切断污染源，分析污染途径，明确防止污染物扩散程序。③组织采取有效措施，消除或减轻已经造成的污染。④明确不同情况下的现场处置人员须采取的个人防护措施。⑤划定现场警戒和交通管制区域，确定重点防护区域，确定受威胁人员疏散方式和途径，疏散转移受威胁人员至安全紧急避险场所。⑥及时向指挥长报告救援现场有关情况。⑦完成指挥部安排的其他任务。</w:t>
            </w:r>
          </w:p>
        </w:tc>
      </w:tr>
      <w:tr w14:paraId="07C1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43EB5265">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应急</w:t>
            </w:r>
          </w:p>
          <w:p w14:paraId="2917C306">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监测组</w:t>
            </w:r>
          </w:p>
        </w:tc>
        <w:tc>
          <w:tcPr>
            <w:tcW w:w="12289" w:type="dxa"/>
            <w:vAlign w:val="center"/>
          </w:tcPr>
          <w:p w14:paraId="62DC7D30">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牵头单位：市生态环境局云冈分局</w:t>
            </w:r>
          </w:p>
          <w:p w14:paraId="5C148B31">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成员单位：区自然资源局、区住建局、区水务局、区林业局、区农业农村局、事发地人民政府和相关部门等。</w:t>
            </w:r>
          </w:p>
          <w:p w14:paraId="75C3B261">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主要职责：①会同监测部门，根据</w:t>
            </w:r>
            <w:r>
              <w:rPr>
                <w:rFonts w:ascii="Times New Roman" w:hAnsi="Times New Roman"/>
                <w:sz w:val="24"/>
                <w:szCs w:val="24"/>
              </w:rPr>
              <w:t>突发环境事件污染物种类、性质及当地气象、自然、社会环境状况等明确相应应急监测方案。</w:t>
            </w:r>
            <w:r>
              <w:rPr>
                <w:rFonts w:hint="eastAsia" w:ascii="Times New Roman" w:hAnsi="Times New Roman"/>
                <w:sz w:val="24"/>
                <w:szCs w:val="24"/>
              </w:rPr>
              <w:t>②会同专家分析研判污染物扩散范围，明确监测布点和频次，做好大气、水体、土壤等应急监测，为突发环境事件应急决策提供依据。③协调有关部门参与应急监测。④完成指挥部安排的其他任务。</w:t>
            </w:r>
          </w:p>
        </w:tc>
      </w:tr>
      <w:tr w14:paraId="430B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27B694A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医疗</w:t>
            </w:r>
          </w:p>
          <w:p w14:paraId="1815CBD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救援组</w:t>
            </w:r>
          </w:p>
        </w:tc>
        <w:tc>
          <w:tcPr>
            <w:tcW w:w="12289" w:type="dxa"/>
            <w:vAlign w:val="center"/>
          </w:tcPr>
          <w:p w14:paraId="0A97D24D">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w:t>
            </w:r>
            <w:r>
              <w:rPr>
                <w:rFonts w:ascii="Times New Roman" w:hAnsi="Times New Roman"/>
                <w:sz w:val="24"/>
                <w:szCs w:val="24"/>
              </w:rPr>
              <w:t>区卫体局</w:t>
            </w:r>
          </w:p>
          <w:p w14:paraId="0CA4A0AA">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w:t>
            </w:r>
            <w:r>
              <w:rPr>
                <w:rFonts w:ascii="Times New Roman" w:hAnsi="Times New Roman"/>
                <w:sz w:val="24"/>
                <w:szCs w:val="24"/>
              </w:rPr>
              <w:t>区各医疗卫生机构、区民政局、区市场</w:t>
            </w:r>
            <w:r>
              <w:rPr>
                <w:rFonts w:hint="eastAsia" w:ascii="Times New Roman" w:hAnsi="Times New Roman"/>
                <w:sz w:val="24"/>
                <w:szCs w:val="24"/>
              </w:rPr>
              <w:t>监督</w:t>
            </w:r>
            <w:r>
              <w:rPr>
                <w:rFonts w:ascii="Times New Roman" w:hAnsi="Times New Roman"/>
                <w:sz w:val="24"/>
                <w:szCs w:val="24"/>
              </w:rPr>
              <w:t>管理局、事发地人民政府和相关部门等。</w:t>
            </w:r>
          </w:p>
          <w:p w14:paraId="2CFB26E8">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主要职责：①组织开展伤病员医疗救治、应急心理援助。②指导和协助开展受污染人员去污洗消工作。③提出保护公众健康的措施和建议。④统计死亡、中毒</w:t>
            </w:r>
            <w:r>
              <w:rPr>
                <w:rFonts w:ascii="Times New Roman" w:hAnsi="Times New Roman"/>
                <w:sz w:val="24"/>
                <w:szCs w:val="24"/>
              </w:rPr>
              <w:t>（或受伤）人数和住院治疗人数。</w:t>
            </w:r>
            <w:r>
              <w:rPr>
                <w:rFonts w:hint="eastAsia" w:ascii="Times New Roman" w:hAnsi="Times New Roman"/>
                <w:sz w:val="24"/>
                <w:szCs w:val="24"/>
              </w:rPr>
              <w:t>⑤禁止或限制受污染食品和饮用水的生产、加工、流通和食用，防范因突发环境事件造成集体中毒等。⑥完成指挥部安排的其他任务。</w:t>
            </w:r>
          </w:p>
        </w:tc>
      </w:tr>
      <w:tr w14:paraId="14E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748EFB59">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应急</w:t>
            </w:r>
          </w:p>
          <w:p w14:paraId="7E674C7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保障组</w:t>
            </w:r>
          </w:p>
        </w:tc>
        <w:tc>
          <w:tcPr>
            <w:tcW w:w="12289" w:type="dxa"/>
            <w:vAlign w:val="center"/>
          </w:tcPr>
          <w:p w14:paraId="35AEC8F4">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牵头单位：区应急管理局</w:t>
            </w:r>
          </w:p>
          <w:p w14:paraId="1A9541F7">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成员单位：市公安局云冈分局、区财政局、区住建局、区交通运输局、区水务局、区工信局、区民政局、区市场局、区商务局，事发地人民政府和相关部门等。</w:t>
            </w:r>
          </w:p>
          <w:p w14:paraId="49675DE7">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指导做好事件影响区域有关人员的紧急转移和临时安置工作。②组织做好环境应急救援物资及临时安置重要物资的紧急生产、储备调拨和紧急配送工作。③及时组织调运重要生活必需品，保障群众基本生活和市场供应，负责现场应急处置工作人员食宿等基本生活保障。④完成指挥部安排的其他任务。</w:t>
            </w:r>
          </w:p>
        </w:tc>
      </w:tr>
      <w:tr w14:paraId="7AE2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7C730EF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新闻</w:t>
            </w:r>
          </w:p>
          <w:p w14:paraId="5742FC98">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宣传组</w:t>
            </w:r>
          </w:p>
        </w:tc>
        <w:tc>
          <w:tcPr>
            <w:tcW w:w="12289" w:type="dxa"/>
            <w:vAlign w:val="center"/>
          </w:tcPr>
          <w:p w14:paraId="4EA308AF">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牵头单位：区委宣传部</w:t>
            </w:r>
          </w:p>
          <w:p w14:paraId="5A615397">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成员单位：市生态环境局云冈分局、区融媒体等主要媒体、事发地人民政府及其有关部门等。</w:t>
            </w:r>
          </w:p>
          <w:p w14:paraId="4B35E4E8">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根据区指挥部发布的权威信息，组织协调新闻媒体做好突发环境事件应急处置的新闻报道。②及时收集、整理和分析网络舆情信息，重要信息及时上报并提出新闻应急处置建议，及时澄清不实信息，积极引导舆论。③完成指挥部安排的其他任务。</w:t>
            </w:r>
          </w:p>
        </w:tc>
      </w:tr>
      <w:tr w14:paraId="7BD8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14:paraId="50DF1E4E">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社会</w:t>
            </w:r>
          </w:p>
          <w:p w14:paraId="3AAEC63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稳定组</w:t>
            </w:r>
          </w:p>
        </w:tc>
        <w:tc>
          <w:tcPr>
            <w:tcW w:w="12289" w:type="dxa"/>
            <w:vAlign w:val="center"/>
          </w:tcPr>
          <w:p w14:paraId="58106657">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牵头单位：市公安局云冈分局</w:t>
            </w:r>
          </w:p>
          <w:p w14:paraId="5DCF645A">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成员单位：区交通运输局、区商务局、区交警队、事发地人民政府及其有关部门等。</w:t>
            </w:r>
          </w:p>
          <w:p w14:paraId="00B8159B">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对事件周边道路实施交通管制和交通疏导，保障救援道路畅通，保证救援人员装备及时到位。②加强受影响地区社会治安管理，严厉打击借机传播谣言制造社会恐慌、哄抢物资等违法犯罪行为。③加强转移人员安置点、救灾物资存放点等重点地区治安管控。④做好受影响人员与涉事单位、区人民政府及有关部门矛盾纠纷化解和法律服务工作，防止出现群体性事件，维护社会稳定。⑤加强对重要生活必需品等商品的市场监管和调控，打击囤积居奇行为。⑥完成指挥部安排的其他任务。</w:t>
            </w:r>
          </w:p>
        </w:tc>
      </w:tr>
      <w:tr w14:paraId="4C0E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26" w:type="dxa"/>
            <w:vAlign w:val="center"/>
          </w:tcPr>
          <w:p w14:paraId="05232B9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调查</w:t>
            </w:r>
          </w:p>
          <w:p w14:paraId="6BA9C5A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评估组</w:t>
            </w:r>
          </w:p>
        </w:tc>
        <w:tc>
          <w:tcPr>
            <w:tcW w:w="12289" w:type="dxa"/>
            <w:vAlign w:val="center"/>
          </w:tcPr>
          <w:p w14:paraId="58355716">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牵头单位：市生态环境局云冈分局</w:t>
            </w:r>
          </w:p>
          <w:p w14:paraId="66BA04F0">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成员单位：市公安局云冈分局、区交通运输局、区水务局、区林业局、区卫体局、区</w:t>
            </w:r>
            <w:r>
              <w:rPr>
                <w:rFonts w:hint="eastAsia" w:ascii="Times New Roman" w:hAnsi="Times New Roman"/>
                <w:sz w:val="24"/>
                <w:szCs w:val="24"/>
                <w:lang w:eastAsia="zh-CN"/>
              </w:rPr>
              <w:t>市场监督管理局</w:t>
            </w:r>
            <w:r>
              <w:rPr>
                <w:rFonts w:hint="eastAsia" w:ascii="Times New Roman" w:hAnsi="Times New Roman"/>
                <w:sz w:val="24"/>
                <w:szCs w:val="24"/>
              </w:rPr>
              <w:t>、区住建局、事发地人民政府和相关部门等。</w:t>
            </w:r>
          </w:p>
          <w:p w14:paraId="2DD8B091">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w:t>
            </w:r>
          </w:p>
          <w:p w14:paraId="71E1976B">
            <w:pPr>
              <w:pStyle w:val="11"/>
              <w:spacing w:line="460" w:lineRule="exact"/>
              <w:ind w:firstLine="480"/>
              <w:rPr>
                <w:rFonts w:ascii="Times New Roman" w:hAnsi="Times New Roman"/>
                <w:sz w:val="24"/>
                <w:szCs w:val="24"/>
              </w:rPr>
            </w:pPr>
            <w:r>
              <w:rPr>
                <w:rFonts w:hint="eastAsia" w:ascii="Times New Roman" w:hAnsi="Times New Roman"/>
                <w:sz w:val="24"/>
                <w:szCs w:val="24"/>
              </w:rPr>
              <w:t>①配合省、市生态环境部门开展特别重大、重大和较大突发环境事件的调查处理，负责一般突发环境事件的调查处理，包括对事件原因、性质、责任等的调查处理。②组织开展突发环境事件污染损害评估工作。③完成指挥部安排的其他任务。</w:t>
            </w:r>
          </w:p>
        </w:tc>
      </w:tr>
      <w:tr w14:paraId="4657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26" w:type="dxa"/>
            <w:vAlign w:val="center"/>
          </w:tcPr>
          <w:p w14:paraId="7CE9667A">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专家组</w:t>
            </w:r>
          </w:p>
        </w:tc>
        <w:tc>
          <w:tcPr>
            <w:tcW w:w="12289" w:type="dxa"/>
            <w:vAlign w:val="center"/>
          </w:tcPr>
          <w:p w14:paraId="46003DAB">
            <w:pPr>
              <w:pStyle w:val="11"/>
              <w:spacing w:line="460" w:lineRule="exact"/>
              <w:ind w:firstLine="480"/>
              <w:rPr>
                <w:rFonts w:ascii="Times New Roman" w:hAnsi="Times New Roman"/>
                <w:sz w:val="24"/>
                <w:szCs w:val="24"/>
              </w:rPr>
            </w:pPr>
            <w:r>
              <w:rPr>
                <w:rFonts w:hint="eastAsia" w:ascii="Times New Roman" w:hAnsi="Times New Roman"/>
                <w:sz w:val="24"/>
                <w:szCs w:val="24"/>
              </w:rPr>
              <w:t>牵头单位：市生态环境局云冈分局</w:t>
            </w:r>
          </w:p>
          <w:p w14:paraId="2416C222">
            <w:pPr>
              <w:pStyle w:val="11"/>
              <w:spacing w:line="460" w:lineRule="exact"/>
              <w:ind w:firstLine="480"/>
              <w:rPr>
                <w:rFonts w:ascii="Times New Roman" w:hAnsi="Times New Roman"/>
                <w:sz w:val="24"/>
                <w:szCs w:val="24"/>
              </w:rPr>
            </w:pPr>
            <w:r>
              <w:rPr>
                <w:rFonts w:hint="eastAsia" w:ascii="Times New Roman" w:hAnsi="Times New Roman"/>
                <w:sz w:val="24"/>
                <w:szCs w:val="24"/>
              </w:rPr>
              <w:t>成员单位：区自然资源局、区交通运输局、区水务局、区农业农村局、区卫体局、区应急管理局和相关部门等。</w:t>
            </w:r>
          </w:p>
          <w:p w14:paraId="30F1C6ED">
            <w:pPr>
              <w:pStyle w:val="11"/>
              <w:spacing w:line="460" w:lineRule="exact"/>
              <w:ind w:firstLine="480"/>
              <w:rPr>
                <w:rFonts w:ascii="Times New Roman" w:hAnsi="Times New Roman"/>
                <w:sz w:val="24"/>
                <w:szCs w:val="24"/>
              </w:rPr>
            </w:pPr>
            <w:r>
              <w:rPr>
                <w:rFonts w:hint="eastAsia" w:ascii="Times New Roman" w:hAnsi="Times New Roman"/>
                <w:sz w:val="24"/>
                <w:szCs w:val="24"/>
              </w:rPr>
              <w:t>主要职责：①组织各专业的专家判别环境污染事故性质和类别，确定环境污染事故级别。②分析环境污染事件发展趋势及其对人群健康或环境的影响。③为应急处置工作提供技术咨询。④研究、评估污染处置和人员撤离等工作方案。⑤对生态修复和恢复重建等提出建议。⑥完成指挥部安排的其他任务。</w:t>
            </w:r>
          </w:p>
        </w:tc>
      </w:tr>
      <w:bookmarkEnd w:id="167"/>
    </w:tbl>
    <w:p w14:paraId="38C64F3B">
      <w:pPr>
        <w:pStyle w:val="34"/>
        <w:rPr>
          <w:color w:val="auto"/>
        </w:rPr>
      </w:pPr>
    </w:p>
    <w:p w14:paraId="7C04BAE4">
      <w:pPr>
        <w:pStyle w:val="34"/>
        <w:rPr>
          <w:color w:val="auto"/>
        </w:rPr>
      </w:pPr>
    </w:p>
    <w:p w14:paraId="4629F967">
      <w:pPr>
        <w:pStyle w:val="34"/>
        <w:rPr>
          <w:color w:val="auto"/>
        </w:rPr>
      </w:pPr>
    </w:p>
    <w:p w14:paraId="75E1607C">
      <w:pPr>
        <w:pStyle w:val="34"/>
        <w:rPr>
          <w:rFonts w:hint="eastAsia"/>
          <w:color w:val="auto"/>
        </w:rPr>
      </w:pPr>
    </w:p>
    <w:p w14:paraId="65B75575">
      <w:pPr>
        <w:pStyle w:val="36"/>
      </w:pPr>
      <w:bookmarkStart w:id="179" w:name="_Toc205835069"/>
      <w:bookmarkStart w:id="180" w:name="_Toc205823026"/>
      <w:bookmarkStart w:id="181" w:name="_Toc213413235"/>
      <w:r>
        <w:rPr>
          <w:rFonts w:hint="eastAsia"/>
        </w:rPr>
        <w:t>附件</w:t>
      </w:r>
      <w:r>
        <w:t xml:space="preserve">5 </w:t>
      </w:r>
      <w:r>
        <w:rPr>
          <w:rFonts w:hint="eastAsia"/>
        </w:rPr>
        <w:t>应急指挥部成员名单及联系方式</w:t>
      </w:r>
      <w:bookmarkEnd w:id="179"/>
      <w:bookmarkEnd w:id="180"/>
      <w:bookmarkEnd w:id="181"/>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765"/>
        <w:gridCol w:w="1912"/>
        <w:gridCol w:w="1466"/>
        <w:gridCol w:w="2264"/>
      </w:tblGrid>
      <w:tr w14:paraId="4389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vAlign w:val="center"/>
          </w:tcPr>
          <w:p w14:paraId="66105CB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指挥部</w:t>
            </w:r>
          </w:p>
          <w:p w14:paraId="34DDB3B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职务</w:t>
            </w:r>
          </w:p>
        </w:tc>
        <w:tc>
          <w:tcPr>
            <w:tcW w:w="1403" w:type="pct"/>
            <w:tcBorders>
              <w:top w:val="single" w:color="auto" w:sz="4" w:space="0"/>
              <w:left w:val="single" w:color="auto" w:sz="4" w:space="0"/>
              <w:bottom w:val="single" w:color="auto" w:sz="4" w:space="0"/>
              <w:right w:val="single" w:color="auto" w:sz="4" w:space="0"/>
            </w:tcBorders>
            <w:vAlign w:val="center"/>
          </w:tcPr>
          <w:p w14:paraId="0B147435">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单位</w:t>
            </w:r>
          </w:p>
        </w:tc>
        <w:tc>
          <w:tcPr>
            <w:tcW w:w="970" w:type="pct"/>
            <w:tcBorders>
              <w:top w:val="single" w:color="auto" w:sz="4" w:space="0"/>
              <w:left w:val="single" w:color="auto" w:sz="4" w:space="0"/>
              <w:bottom w:val="single" w:color="auto" w:sz="4" w:space="0"/>
              <w:right w:val="single" w:color="auto" w:sz="4" w:space="0"/>
            </w:tcBorders>
            <w:vAlign w:val="center"/>
          </w:tcPr>
          <w:p w14:paraId="6434E41A">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单位联系</w:t>
            </w:r>
          </w:p>
          <w:p w14:paraId="032BD3C4">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方式</w:t>
            </w:r>
          </w:p>
        </w:tc>
        <w:tc>
          <w:tcPr>
            <w:tcW w:w="744" w:type="pct"/>
            <w:tcBorders>
              <w:top w:val="single" w:color="auto" w:sz="4" w:space="0"/>
              <w:left w:val="single" w:color="auto" w:sz="4" w:space="0"/>
              <w:bottom w:val="single" w:color="auto" w:sz="4" w:space="0"/>
              <w:right w:val="single" w:color="auto" w:sz="4" w:space="0"/>
            </w:tcBorders>
            <w:vAlign w:val="center"/>
          </w:tcPr>
          <w:p w14:paraId="2F847B4A">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联系人</w:t>
            </w:r>
          </w:p>
        </w:tc>
        <w:tc>
          <w:tcPr>
            <w:tcW w:w="1149" w:type="pct"/>
            <w:tcBorders>
              <w:top w:val="single" w:color="auto" w:sz="4" w:space="0"/>
              <w:left w:val="single" w:color="auto" w:sz="4" w:space="0"/>
              <w:bottom w:val="single" w:color="auto" w:sz="4" w:space="0"/>
              <w:right w:val="single" w:color="auto" w:sz="4" w:space="0"/>
            </w:tcBorders>
            <w:vAlign w:val="center"/>
          </w:tcPr>
          <w:p w14:paraId="18586E9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联系方式</w:t>
            </w:r>
          </w:p>
        </w:tc>
      </w:tr>
      <w:tr w14:paraId="6A4A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vAlign w:val="center"/>
          </w:tcPr>
          <w:p w14:paraId="56A76EE1">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指挥长</w:t>
            </w:r>
          </w:p>
        </w:tc>
        <w:tc>
          <w:tcPr>
            <w:tcW w:w="1403" w:type="pct"/>
            <w:tcBorders>
              <w:top w:val="single" w:color="auto" w:sz="4" w:space="0"/>
              <w:left w:val="single" w:color="auto" w:sz="4" w:space="0"/>
              <w:bottom w:val="single" w:color="auto" w:sz="4" w:space="0"/>
              <w:right w:val="single" w:color="auto" w:sz="4" w:space="0"/>
            </w:tcBorders>
            <w:vAlign w:val="center"/>
          </w:tcPr>
          <w:p w14:paraId="17E72079">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6FB7A9C8">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4040117</w:t>
            </w:r>
          </w:p>
        </w:tc>
        <w:tc>
          <w:tcPr>
            <w:tcW w:w="744" w:type="pct"/>
            <w:tcBorders>
              <w:top w:val="single" w:color="auto" w:sz="4" w:space="0"/>
              <w:left w:val="single" w:color="auto" w:sz="4" w:space="0"/>
              <w:bottom w:val="single" w:color="auto" w:sz="4" w:space="0"/>
              <w:right w:val="single" w:color="auto" w:sz="4" w:space="0"/>
            </w:tcBorders>
            <w:vAlign w:val="center"/>
          </w:tcPr>
          <w:p w14:paraId="0292D4E0">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张俊杰</w:t>
            </w:r>
          </w:p>
        </w:tc>
        <w:tc>
          <w:tcPr>
            <w:tcW w:w="1149" w:type="pct"/>
            <w:tcBorders>
              <w:top w:val="single" w:color="auto" w:sz="4" w:space="0"/>
              <w:left w:val="single" w:color="auto" w:sz="4" w:space="0"/>
              <w:bottom w:val="single" w:color="auto" w:sz="4" w:space="0"/>
              <w:right w:val="single" w:color="auto" w:sz="4" w:space="0"/>
            </w:tcBorders>
            <w:vAlign w:val="center"/>
          </w:tcPr>
          <w:p w14:paraId="172CF3DE">
            <w:pPr>
              <w:pStyle w:val="11"/>
              <w:spacing w:line="460" w:lineRule="exact"/>
              <w:ind w:firstLine="0" w:firstLineChars="0"/>
              <w:jc w:val="center"/>
              <w:rPr>
                <w:rFonts w:ascii="Times New Roman" w:hAnsi="Times New Roman"/>
                <w:sz w:val="24"/>
                <w:szCs w:val="24"/>
              </w:rPr>
            </w:pPr>
          </w:p>
        </w:tc>
      </w:tr>
      <w:tr w14:paraId="4EA0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vAlign w:val="center"/>
          </w:tcPr>
          <w:p w14:paraId="1613CF76">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副指挥长</w:t>
            </w:r>
          </w:p>
        </w:tc>
        <w:tc>
          <w:tcPr>
            <w:tcW w:w="1403" w:type="pct"/>
            <w:tcBorders>
              <w:top w:val="single" w:color="auto" w:sz="4" w:space="0"/>
              <w:left w:val="single" w:color="auto" w:sz="4" w:space="0"/>
              <w:bottom w:val="single" w:color="auto" w:sz="4" w:space="0"/>
              <w:right w:val="single" w:color="auto" w:sz="4" w:space="0"/>
            </w:tcBorders>
            <w:vAlign w:val="center"/>
          </w:tcPr>
          <w:p w14:paraId="624137D1">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480A4086">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4040081</w:t>
            </w:r>
          </w:p>
        </w:tc>
        <w:tc>
          <w:tcPr>
            <w:tcW w:w="744" w:type="pct"/>
            <w:tcBorders>
              <w:top w:val="single" w:color="auto" w:sz="4" w:space="0"/>
              <w:left w:val="single" w:color="auto" w:sz="4" w:space="0"/>
              <w:bottom w:val="single" w:color="auto" w:sz="4" w:space="0"/>
              <w:right w:val="single" w:color="auto" w:sz="4" w:space="0"/>
            </w:tcBorders>
            <w:vAlign w:val="center"/>
          </w:tcPr>
          <w:p w14:paraId="25E8E12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韩光华</w:t>
            </w:r>
          </w:p>
        </w:tc>
        <w:tc>
          <w:tcPr>
            <w:tcW w:w="1149" w:type="pct"/>
            <w:tcBorders>
              <w:top w:val="single" w:color="auto" w:sz="4" w:space="0"/>
              <w:left w:val="single" w:color="auto" w:sz="4" w:space="0"/>
              <w:bottom w:val="single" w:color="auto" w:sz="4" w:space="0"/>
              <w:right w:val="single" w:color="auto" w:sz="4" w:space="0"/>
            </w:tcBorders>
            <w:vAlign w:val="center"/>
          </w:tcPr>
          <w:p w14:paraId="49C72D23">
            <w:pPr>
              <w:pStyle w:val="11"/>
              <w:spacing w:line="460" w:lineRule="exact"/>
              <w:ind w:firstLine="0" w:firstLineChars="0"/>
              <w:jc w:val="center"/>
              <w:rPr>
                <w:rFonts w:ascii="Times New Roman" w:hAnsi="Times New Roman"/>
                <w:sz w:val="24"/>
                <w:szCs w:val="24"/>
              </w:rPr>
            </w:pPr>
          </w:p>
        </w:tc>
      </w:tr>
      <w:tr w14:paraId="023B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vAlign w:val="center"/>
          </w:tcPr>
          <w:p w14:paraId="253BD37A">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指挥部办公室</w:t>
            </w:r>
          </w:p>
        </w:tc>
        <w:tc>
          <w:tcPr>
            <w:tcW w:w="1403" w:type="pct"/>
            <w:tcBorders>
              <w:top w:val="single" w:color="auto" w:sz="4" w:space="0"/>
              <w:left w:val="single" w:color="auto" w:sz="4" w:space="0"/>
              <w:bottom w:val="single" w:color="auto" w:sz="4" w:space="0"/>
              <w:right w:val="single" w:color="auto" w:sz="4" w:space="0"/>
            </w:tcBorders>
            <w:vAlign w:val="center"/>
          </w:tcPr>
          <w:p w14:paraId="4E723A17">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市生态环境局云冈分局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4E85BA0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4040915</w:t>
            </w:r>
          </w:p>
        </w:tc>
        <w:tc>
          <w:tcPr>
            <w:tcW w:w="744" w:type="pct"/>
            <w:tcBorders>
              <w:top w:val="single" w:color="auto" w:sz="4" w:space="0"/>
              <w:left w:val="single" w:color="auto" w:sz="4" w:space="0"/>
              <w:bottom w:val="single" w:color="auto" w:sz="4" w:space="0"/>
              <w:right w:val="single" w:color="auto" w:sz="4" w:space="0"/>
            </w:tcBorders>
            <w:vAlign w:val="center"/>
          </w:tcPr>
          <w:p w14:paraId="1FEEA41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胡春林</w:t>
            </w:r>
          </w:p>
        </w:tc>
        <w:tc>
          <w:tcPr>
            <w:tcW w:w="1149" w:type="pct"/>
            <w:tcBorders>
              <w:top w:val="single" w:color="auto" w:sz="4" w:space="0"/>
              <w:left w:val="single" w:color="auto" w:sz="4" w:space="0"/>
              <w:bottom w:val="single" w:color="auto" w:sz="4" w:space="0"/>
              <w:right w:val="single" w:color="auto" w:sz="4" w:space="0"/>
            </w:tcBorders>
            <w:vAlign w:val="center"/>
          </w:tcPr>
          <w:p w14:paraId="0973F24A">
            <w:pPr>
              <w:pStyle w:val="11"/>
              <w:spacing w:line="460" w:lineRule="exact"/>
              <w:ind w:firstLine="0" w:firstLineChars="0"/>
              <w:jc w:val="center"/>
              <w:rPr>
                <w:rFonts w:ascii="Times New Roman" w:hAnsi="Times New Roman"/>
                <w:sz w:val="24"/>
                <w:szCs w:val="24"/>
              </w:rPr>
            </w:pPr>
          </w:p>
        </w:tc>
      </w:tr>
      <w:tr w14:paraId="2A89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restart"/>
            <w:tcBorders>
              <w:top w:val="single" w:color="auto" w:sz="4" w:space="0"/>
              <w:left w:val="single" w:color="auto" w:sz="4" w:space="0"/>
              <w:right w:val="single" w:color="auto" w:sz="4" w:space="0"/>
            </w:tcBorders>
            <w:vAlign w:val="center"/>
          </w:tcPr>
          <w:p w14:paraId="097005E5">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成员</w:t>
            </w:r>
          </w:p>
        </w:tc>
        <w:tc>
          <w:tcPr>
            <w:tcW w:w="1403" w:type="pct"/>
            <w:tcBorders>
              <w:top w:val="single" w:color="auto" w:sz="4" w:space="0"/>
              <w:left w:val="single" w:color="auto" w:sz="4" w:space="0"/>
              <w:bottom w:val="single" w:color="auto" w:sz="4" w:space="0"/>
              <w:right w:val="single" w:color="auto" w:sz="4" w:space="0"/>
            </w:tcBorders>
            <w:vAlign w:val="center"/>
          </w:tcPr>
          <w:p w14:paraId="2BFDB6A9">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区委宣传部</w:t>
            </w:r>
          </w:p>
        </w:tc>
        <w:tc>
          <w:tcPr>
            <w:tcW w:w="970" w:type="pct"/>
            <w:tcBorders>
              <w:top w:val="single" w:color="auto" w:sz="4" w:space="0"/>
              <w:left w:val="single" w:color="auto" w:sz="4" w:space="0"/>
              <w:bottom w:val="single" w:color="auto" w:sz="4" w:space="0"/>
              <w:right w:val="single" w:color="auto" w:sz="4" w:space="0"/>
            </w:tcBorders>
            <w:vAlign w:val="center"/>
          </w:tcPr>
          <w:p w14:paraId="2F0E326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4040686</w:t>
            </w:r>
          </w:p>
        </w:tc>
        <w:tc>
          <w:tcPr>
            <w:tcW w:w="744" w:type="pct"/>
            <w:tcBorders>
              <w:top w:val="single" w:color="auto" w:sz="4" w:space="0"/>
              <w:left w:val="single" w:color="auto" w:sz="4" w:space="0"/>
              <w:bottom w:val="single" w:color="auto" w:sz="4" w:space="0"/>
              <w:right w:val="single" w:color="auto" w:sz="4" w:space="0"/>
            </w:tcBorders>
            <w:vAlign w:val="center"/>
          </w:tcPr>
          <w:p w14:paraId="4C33266D">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60AC2574">
            <w:pPr>
              <w:pStyle w:val="11"/>
              <w:spacing w:line="460" w:lineRule="exact"/>
              <w:ind w:firstLine="0" w:firstLineChars="0"/>
              <w:jc w:val="center"/>
              <w:rPr>
                <w:rFonts w:ascii="Times New Roman" w:hAnsi="Times New Roman"/>
                <w:sz w:val="24"/>
                <w:szCs w:val="24"/>
              </w:rPr>
            </w:pPr>
          </w:p>
        </w:tc>
      </w:tr>
      <w:tr w14:paraId="70BF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B74DF33">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09E0052C">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区应急管理局</w:t>
            </w:r>
          </w:p>
        </w:tc>
        <w:tc>
          <w:tcPr>
            <w:tcW w:w="970" w:type="pct"/>
            <w:tcBorders>
              <w:top w:val="single" w:color="auto" w:sz="4" w:space="0"/>
              <w:left w:val="single" w:color="auto" w:sz="4" w:space="0"/>
              <w:bottom w:val="single" w:color="auto" w:sz="4" w:space="0"/>
              <w:right w:val="single" w:color="auto" w:sz="4" w:space="0"/>
            </w:tcBorders>
            <w:vAlign w:val="center"/>
          </w:tcPr>
          <w:p w14:paraId="53747255">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4040012</w:t>
            </w:r>
          </w:p>
        </w:tc>
        <w:tc>
          <w:tcPr>
            <w:tcW w:w="744" w:type="pct"/>
            <w:tcBorders>
              <w:top w:val="single" w:color="auto" w:sz="4" w:space="0"/>
              <w:left w:val="single" w:color="auto" w:sz="4" w:space="0"/>
              <w:bottom w:val="single" w:color="auto" w:sz="4" w:space="0"/>
              <w:right w:val="single" w:color="auto" w:sz="4" w:space="0"/>
            </w:tcBorders>
            <w:vAlign w:val="center"/>
          </w:tcPr>
          <w:p w14:paraId="326EB1F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周喜旺</w:t>
            </w:r>
          </w:p>
        </w:tc>
        <w:tc>
          <w:tcPr>
            <w:tcW w:w="1149" w:type="pct"/>
            <w:tcBorders>
              <w:top w:val="single" w:color="auto" w:sz="4" w:space="0"/>
              <w:left w:val="single" w:color="auto" w:sz="4" w:space="0"/>
              <w:bottom w:val="single" w:color="auto" w:sz="4" w:space="0"/>
              <w:right w:val="single" w:color="auto" w:sz="4" w:space="0"/>
            </w:tcBorders>
            <w:vAlign w:val="center"/>
          </w:tcPr>
          <w:p w14:paraId="6DC4A256">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4040012</w:t>
            </w:r>
          </w:p>
        </w:tc>
      </w:tr>
      <w:tr w14:paraId="33DE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FD44831">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79CB85B">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区发改科技局</w:t>
            </w:r>
          </w:p>
        </w:tc>
        <w:tc>
          <w:tcPr>
            <w:tcW w:w="970" w:type="pct"/>
            <w:tcBorders>
              <w:top w:val="single" w:color="auto" w:sz="4" w:space="0"/>
              <w:left w:val="single" w:color="auto" w:sz="4" w:space="0"/>
              <w:bottom w:val="single" w:color="auto" w:sz="4" w:space="0"/>
              <w:right w:val="single" w:color="auto" w:sz="4" w:space="0"/>
            </w:tcBorders>
            <w:vAlign w:val="center"/>
          </w:tcPr>
          <w:p w14:paraId="628C640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4031115</w:t>
            </w:r>
          </w:p>
        </w:tc>
        <w:tc>
          <w:tcPr>
            <w:tcW w:w="744" w:type="pct"/>
            <w:tcBorders>
              <w:top w:val="single" w:color="auto" w:sz="4" w:space="0"/>
              <w:left w:val="single" w:color="auto" w:sz="4" w:space="0"/>
              <w:bottom w:val="single" w:color="auto" w:sz="4" w:space="0"/>
              <w:right w:val="single" w:color="auto" w:sz="4" w:space="0"/>
            </w:tcBorders>
            <w:vAlign w:val="center"/>
          </w:tcPr>
          <w:p w14:paraId="43FA8A5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杨晓伟</w:t>
            </w:r>
          </w:p>
        </w:tc>
        <w:tc>
          <w:tcPr>
            <w:tcW w:w="1149" w:type="pct"/>
            <w:tcBorders>
              <w:top w:val="single" w:color="auto" w:sz="4" w:space="0"/>
              <w:left w:val="single" w:color="auto" w:sz="4" w:space="0"/>
              <w:bottom w:val="single" w:color="auto" w:sz="4" w:space="0"/>
              <w:right w:val="single" w:color="auto" w:sz="4" w:space="0"/>
            </w:tcBorders>
            <w:vAlign w:val="center"/>
          </w:tcPr>
          <w:p w14:paraId="1AFE07CF">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18734671791</w:t>
            </w:r>
          </w:p>
        </w:tc>
      </w:tr>
      <w:tr w14:paraId="5834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D21702F">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5B5F1AC4">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区工信局</w:t>
            </w:r>
          </w:p>
        </w:tc>
        <w:tc>
          <w:tcPr>
            <w:tcW w:w="970" w:type="pct"/>
            <w:tcBorders>
              <w:top w:val="single" w:color="auto" w:sz="4" w:space="0"/>
              <w:left w:val="single" w:color="auto" w:sz="4" w:space="0"/>
              <w:bottom w:val="single" w:color="auto" w:sz="4" w:space="0"/>
              <w:right w:val="single" w:color="auto" w:sz="4" w:space="0"/>
            </w:tcBorders>
            <w:vAlign w:val="center"/>
          </w:tcPr>
          <w:p w14:paraId="6262AAA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4042158</w:t>
            </w:r>
          </w:p>
        </w:tc>
        <w:tc>
          <w:tcPr>
            <w:tcW w:w="744" w:type="pct"/>
            <w:tcBorders>
              <w:top w:val="single" w:color="auto" w:sz="4" w:space="0"/>
              <w:left w:val="single" w:color="auto" w:sz="4" w:space="0"/>
              <w:bottom w:val="single" w:color="auto" w:sz="4" w:space="0"/>
              <w:right w:val="single" w:color="auto" w:sz="4" w:space="0"/>
            </w:tcBorders>
            <w:vAlign w:val="center"/>
          </w:tcPr>
          <w:p w14:paraId="0212C7C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王中旺</w:t>
            </w:r>
          </w:p>
        </w:tc>
        <w:tc>
          <w:tcPr>
            <w:tcW w:w="1149" w:type="pct"/>
            <w:tcBorders>
              <w:top w:val="single" w:color="auto" w:sz="4" w:space="0"/>
              <w:left w:val="single" w:color="auto" w:sz="4" w:space="0"/>
              <w:bottom w:val="single" w:color="auto" w:sz="4" w:space="0"/>
              <w:right w:val="single" w:color="auto" w:sz="4" w:space="0"/>
            </w:tcBorders>
            <w:vAlign w:val="center"/>
          </w:tcPr>
          <w:p w14:paraId="02069BA3">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18435138746</w:t>
            </w:r>
          </w:p>
        </w:tc>
      </w:tr>
      <w:tr w14:paraId="434C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742471E5">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38790EC3">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市公安局云冈分局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25E9115A">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4055110</w:t>
            </w:r>
          </w:p>
        </w:tc>
        <w:tc>
          <w:tcPr>
            <w:tcW w:w="744" w:type="pct"/>
            <w:tcBorders>
              <w:top w:val="single" w:color="auto" w:sz="4" w:space="0"/>
              <w:left w:val="single" w:color="auto" w:sz="4" w:space="0"/>
              <w:bottom w:val="single" w:color="auto" w:sz="4" w:space="0"/>
              <w:right w:val="single" w:color="auto" w:sz="4" w:space="0"/>
            </w:tcBorders>
            <w:vAlign w:val="center"/>
          </w:tcPr>
          <w:p w14:paraId="30CE47E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游双全</w:t>
            </w:r>
          </w:p>
        </w:tc>
        <w:tc>
          <w:tcPr>
            <w:tcW w:w="1149" w:type="pct"/>
            <w:tcBorders>
              <w:top w:val="single" w:color="auto" w:sz="4" w:space="0"/>
              <w:left w:val="single" w:color="auto" w:sz="4" w:space="0"/>
              <w:bottom w:val="single" w:color="auto" w:sz="4" w:space="0"/>
              <w:right w:val="single" w:color="auto" w:sz="4" w:space="0"/>
            </w:tcBorders>
            <w:vAlign w:val="center"/>
          </w:tcPr>
          <w:p w14:paraId="08E75684">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13903523573</w:t>
            </w:r>
          </w:p>
        </w:tc>
      </w:tr>
      <w:tr w14:paraId="7B37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40FE352">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C8EB927">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区财政局</w:t>
            </w:r>
          </w:p>
        </w:tc>
        <w:tc>
          <w:tcPr>
            <w:tcW w:w="970" w:type="pct"/>
            <w:tcBorders>
              <w:top w:val="single" w:color="auto" w:sz="4" w:space="0"/>
              <w:left w:val="single" w:color="auto" w:sz="4" w:space="0"/>
              <w:bottom w:val="single" w:color="auto" w:sz="4" w:space="0"/>
              <w:right w:val="single" w:color="auto" w:sz="4" w:space="0"/>
            </w:tcBorders>
            <w:vAlign w:val="center"/>
          </w:tcPr>
          <w:p w14:paraId="7DBE49A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4040216</w:t>
            </w:r>
          </w:p>
        </w:tc>
        <w:tc>
          <w:tcPr>
            <w:tcW w:w="744" w:type="pct"/>
            <w:tcBorders>
              <w:top w:val="single" w:color="auto" w:sz="4" w:space="0"/>
              <w:left w:val="single" w:color="auto" w:sz="4" w:space="0"/>
              <w:bottom w:val="single" w:color="auto" w:sz="4" w:space="0"/>
              <w:right w:val="single" w:color="auto" w:sz="4" w:space="0"/>
            </w:tcBorders>
            <w:vAlign w:val="center"/>
          </w:tcPr>
          <w:p w14:paraId="2BF4787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翟潇</w:t>
            </w:r>
          </w:p>
        </w:tc>
        <w:tc>
          <w:tcPr>
            <w:tcW w:w="1149" w:type="pct"/>
            <w:tcBorders>
              <w:top w:val="single" w:color="auto" w:sz="4" w:space="0"/>
              <w:left w:val="single" w:color="auto" w:sz="4" w:space="0"/>
              <w:bottom w:val="single" w:color="auto" w:sz="4" w:space="0"/>
              <w:right w:val="single" w:color="auto" w:sz="4" w:space="0"/>
            </w:tcBorders>
            <w:vAlign w:val="center"/>
          </w:tcPr>
          <w:p w14:paraId="64DE3B80">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18635263144</w:t>
            </w:r>
          </w:p>
        </w:tc>
      </w:tr>
      <w:tr w14:paraId="1147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257C6760">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7D8CB248">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区水务局</w:t>
            </w:r>
          </w:p>
        </w:tc>
        <w:tc>
          <w:tcPr>
            <w:tcW w:w="970" w:type="pct"/>
            <w:tcBorders>
              <w:top w:val="single" w:color="auto" w:sz="4" w:space="0"/>
              <w:left w:val="single" w:color="auto" w:sz="4" w:space="0"/>
              <w:bottom w:val="single" w:color="auto" w:sz="4" w:space="0"/>
              <w:right w:val="single" w:color="auto" w:sz="4" w:space="0"/>
            </w:tcBorders>
            <w:vAlign w:val="center"/>
          </w:tcPr>
          <w:p w14:paraId="2201C90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7959242</w:t>
            </w:r>
          </w:p>
        </w:tc>
        <w:tc>
          <w:tcPr>
            <w:tcW w:w="744" w:type="pct"/>
            <w:tcBorders>
              <w:top w:val="single" w:color="auto" w:sz="4" w:space="0"/>
              <w:left w:val="single" w:color="auto" w:sz="4" w:space="0"/>
              <w:bottom w:val="single" w:color="auto" w:sz="4" w:space="0"/>
              <w:right w:val="single" w:color="auto" w:sz="4" w:space="0"/>
            </w:tcBorders>
            <w:vAlign w:val="center"/>
          </w:tcPr>
          <w:p w14:paraId="7F8A129E">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50885BA4">
            <w:pPr>
              <w:pStyle w:val="11"/>
              <w:spacing w:line="460" w:lineRule="exact"/>
              <w:ind w:firstLine="0" w:firstLineChars="0"/>
              <w:jc w:val="center"/>
              <w:rPr>
                <w:rFonts w:ascii="Times New Roman" w:hAnsi="Times New Roman"/>
                <w:sz w:val="24"/>
                <w:szCs w:val="24"/>
              </w:rPr>
            </w:pPr>
          </w:p>
        </w:tc>
      </w:tr>
      <w:tr w14:paraId="67EF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5FE0B136">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E7E826D">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区农业农村局</w:t>
            </w:r>
          </w:p>
        </w:tc>
        <w:tc>
          <w:tcPr>
            <w:tcW w:w="970" w:type="pct"/>
            <w:tcBorders>
              <w:top w:val="single" w:color="auto" w:sz="4" w:space="0"/>
              <w:left w:val="single" w:color="auto" w:sz="4" w:space="0"/>
              <w:bottom w:val="single" w:color="auto" w:sz="4" w:space="0"/>
              <w:right w:val="single" w:color="auto" w:sz="4" w:space="0"/>
            </w:tcBorders>
            <w:vAlign w:val="center"/>
          </w:tcPr>
          <w:p w14:paraId="766DE3FE">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4041551</w:t>
            </w:r>
          </w:p>
        </w:tc>
        <w:tc>
          <w:tcPr>
            <w:tcW w:w="744" w:type="pct"/>
            <w:tcBorders>
              <w:top w:val="single" w:color="auto" w:sz="4" w:space="0"/>
              <w:left w:val="single" w:color="auto" w:sz="4" w:space="0"/>
              <w:bottom w:val="single" w:color="auto" w:sz="4" w:space="0"/>
              <w:right w:val="single" w:color="auto" w:sz="4" w:space="0"/>
            </w:tcBorders>
            <w:vAlign w:val="center"/>
          </w:tcPr>
          <w:p w14:paraId="72F2FCB6">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45A259DF">
            <w:pPr>
              <w:pStyle w:val="11"/>
              <w:spacing w:line="460" w:lineRule="exact"/>
              <w:ind w:firstLine="0" w:firstLineChars="0"/>
              <w:jc w:val="center"/>
              <w:rPr>
                <w:rFonts w:ascii="Times New Roman" w:hAnsi="Times New Roman"/>
                <w:sz w:val="24"/>
                <w:szCs w:val="24"/>
              </w:rPr>
            </w:pPr>
          </w:p>
        </w:tc>
      </w:tr>
      <w:tr w14:paraId="254B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4BA28AF">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7061343C">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区自然资源局</w:t>
            </w:r>
          </w:p>
        </w:tc>
        <w:tc>
          <w:tcPr>
            <w:tcW w:w="970" w:type="pct"/>
            <w:tcBorders>
              <w:top w:val="single" w:color="auto" w:sz="4" w:space="0"/>
              <w:left w:val="single" w:color="auto" w:sz="4" w:space="0"/>
              <w:bottom w:val="single" w:color="auto" w:sz="4" w:space="0"/>
              <w:right w:val="single" w:color="auto" w:sz="4" w:space="0"/>
            </w:tcBorders>
            <w:vAlign w:val="center"/>
          </w:tcPr>
          <w:p w14:paraId="427733A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4508099</w:t>
            </w:r>
          </w:p>
        </w:tc>
        <w:tc>
          <w:tcPr>
            <w:tcW w:w="744" w:type="pct"/>
            <w:tcBorders>
              <w:top w:val="single" w:color="auto" w:sz="4" w:space="0"/>
              <w:left w:val="single" w:color="auto" w:sz="4" w:space="0"/>
              <w:bottom w:val="single" w:color="auto" w:sz="4" w:space="0"/>
              <w:right w:val="single" w:color="auto" w:sz="4" w:space="0"/>
            </w:tcBorders>
            <w:vAlign w:val="center"/>
          </w:tcPr>
          <w:p w14:paraId="389417FC">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杨卓越</w:t>
            </w:r>
          </w:p>
        </w:tc>
        <w:tc>
          <w:tcPr>
            <w:tcW w:w="1149" w:type="pct"/>
            <w:tcBorders>
              <w:top w:val="single" w:color="auto" w:sz="4" w:space="0"/>
              <w:left w:val="single" w:color="auto" w:sz="4" w:space="0"/>
              <w:bottom w:val="single" w:color="auto" w:sz="4" w:space="0"/>
              <w:right w:val="single" w:color="auto" w:sz="4" w:space="0"/>
            </w:tcBorders>
            <w:vAlign w:val="center"/>
          </w:tcPr>
          <w:p w14:paraId="6338CB0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13994306529</w:t>
            </w:r>
          </w:p>
        </w:tc>
      </w:tr>
      <w:tr w14:paraId="232A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5A6A4218">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0F190996">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区住建局</w:t>
            </w:r>
          </w:p>
        </w:tc>
        <w:tc>
          <w:tcPr>
            <w:tcW w:w="970" w:type="pct"/>
            <w:tcBorders>
              <w:top w:val="single" w:color="auto" w:sz="4" w:space="0"/>
              <w:left w:val="single" w:color="auto" w:sz="4" w:space="0"/>
              <w:bottom w:val="single" w:color="auto" w:sz="4" w:space="0"/>
              <w:right w:val="single" w:color="auto" w:sz="4" w:space="0"/>
            </w:tcBorders>
            <w:vAlign w:val="center"/>
          </w:tcPr>
          <w:p w14:paraId="56DAB0C2">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7608566</w:t>
            </w:r>
          </w:p>
        </w:tc>
        <w:tc>
          <w:tcPr>
            <w:tcW w:w="744" w:type="pct"/>
            <w:tcBorders>
              <w:top w:val="single" w:color="auto" w:sz="4" w:space="0"/>
              <w:left w:val="single" w:color="auto" w:sz="4" w:space="0"/>
              <w:bottom w:val="single" w:color="auto" w:sz="4" w:space="0"/>
              <w:right w:val="single" w:color="auto" w:sz="4" w:space="0"/>
            </w:tcBorders>
            <w:vAlign w:val="center"/>
          </w:tcPr>
          <w:p w14:paraId="634213EA">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1881CCF4">
            <w:pPr>
              <w:pStyle w:val="11"/>
              <w:spacing w:line="460" w:lineRule="exact"/>
              <w:ind w:firstLine="0" w:firstLineChars="0"/>
              <w:jc w:val="center"/>
              <w:rPr>
                <w:rFonts w:ascii="Times New Roman" w:hAnsi="Times New Roman"/>
                <w:sz w:val="24"/>
                <w:szCs w:val="24"/>
              </w:rPr>
            </w:pPr>
          </w:p>
        </w:tc>
      </w:tr>
      <w:tr w14:paraId="7818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6CC6A1B0">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71461FB">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区交通局</w:t>
            </w:r>
          </w:p>
        </w:tc>
        <w:tc>
          <w:tcPr>
            <w:tcW w:w="970" w:type="pct"/>
            <w:tcBorders>
              <w:top w:val="single" w:color="auto" w:sz="4" w:space="0"/>
              <w:left w:val="single" w:color="auto" w:sz="4" w:space="0"/>
              <w:bottom w:val="single" w:color="auto" w:sz="4" w:space="0"/>
              <w:right w:val="single" w:color="auto" w:sz="4" w:space="0"/>
            </w:tcBorders>
            <w:vAlign w:val="center"/>
          </w:tcPr>
          <w:p w14:paraId="4B31625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4506782</w:t>
            </w:r>
          </w:p>
        </w:tc>
        <w:tc>
          <w:tcPr>
            <w:tcW w:w="744" w:type="pct"/>
            <w:tcBorders>
              <w:top w:val="single" w:color="auto" w:sz="4" w:space="0"/>
              <w:left w:val="single" w:color="auto" w:sz="4" w:space="0"/>
              <w:bottom w:val="single" w:color="auto" w:sz="4" w:space="0"/>
              <w:right w:val="single" w:color="auto" w:sz="4" w:space="0"/>
            </w:tcBorders>
            <w:vAlign w:val="center"/>
          </w:tcPr>
          <w:p w14:paraId="79BDCBE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靳权</w:t>
            </w:r>
          </w:p>
        </w:tc>
        <w:tc>
          <w:tcPr>
            <w:tcW w:w="1149" w:type="pct"/>
            <w:tcBorders>
              <w:top w:val="single" w:color="auto" w:sz="4" w:space="0"/>
              <w:left w:val="single" w:color="auto" w:sz="4" w:space="0"/>
              <w:bottom w:val="single" w:color="auto" w:sz="4" w:space="0"/>
              <w:right w:val="single" w:color="auto" w:sz="4" w:space="0"/>
            </w:tcBorders>
            <w:vAlign w:val="center"/>
          </w:tcPr>
          <w:p w14:paraId="5A55BFB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18647448202</w:t>
            </w:r>
          </w:p>
        </w:tc>
      </w:tr>
      <w:tr w14:paraId="7B34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59AE047C">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5A892E7">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区卫体局</w:t>
            </w:r>
          </w:p>
        </w:tc>
        <w:tc>
          <w:tcPr>
            <w:tcW w:w="970" w:type="pct"/>
            <w:tcBorders>
              <w:top w:val="single" w:color="auto" w:sz="4" w:space="0"/>
              <w:left w:val="single" w:color="auto" w:sz="4" w:space="0"/>
              <w:bottom w:val="single" w:color="auto" w:sz="4" w:space="0"/>
              <w:right w:val="single" w:color="auto" w:sz="4" w:space="0"/>
            </w:tcBorders>
            <w:vAlign w:val="center"/>
          </w:tcPr>
          <w:p w14:paraId="05768EF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4022265</w:t>
            </w:r>
          </w:p>
        </w:tc>
        <w:tc>
          <w:tcPr>
            <w:tcW w:w="744" w:type="pct"/>
            <w:tcBorders>
              <w:top w:val="single" w:color="auto" w:sz="4" w:space="0"/>
              <w:left w:val="single" w:color="auto" w:sz="4" w:space="0"/>
              <w:bottom w:val="single" w:color="auto" w:sz="4" w:space="0"/>
              <w:right w:val="single" w:color="auto" w:sz="4" w:space="0"/>
            </w:tcBorders>
            <w:vAlign w:val="center"/>
          </w:tcPr>
          <w:p w14:paraId="14589CA4">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0925513A">
            <w:pPr>
              <w:pStyle w:val="11"/>
              <w:spacing w:line="460" w:lineRule="exact"/>
              <w:ind w:firstLine="0" w:firstLineChars="0"/>
              <w:jc w:val="center"/>
              <w:rPr>
                <w:rFonts w:ascii="Times New Roman" w:hAnsi="Times New Roman"/>
                <w:sz w:val="24"/>
                <w:szCs w:val="24"/>
              </w:rPr>
            </w:pPr>
          </w:p>
        </w:tc>
      </w:tr>
      <w:tr w14:paraId="6398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3E5B8C2">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1404DC19">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区能源局</w:t>
            </w:r>
          </w:p>
        </w:tc>
        <w:tc>
          <w:tcPr>
            <w:tcW w:w="970" w:type="pct"/>
            <w:tcBorders>
              <w:top w:val="single" w:color="auto" w:sz="4" w:space="0"/>
              <w:left w:val="single" w:color="auto" w:sz="4" w:space="0"/>
              <w:bottom w:val="single" w:color="auto" w:sz="4" w:space="0"/>
              <w:right w:val="single" w:color="auto" w:sz="4" w:space="0"/>
            </w:tcBorders>
            <w:vAlign w:val="center"/>
          </w:tcPr>
          <w:p w14:paraId="750C5174">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4051660</w:t>
            </w:r>
          </w:p>
        </w:tc>
        <w:tc>
          <w:tcPr>
            <w:tcW w:w="744" w:type="pct"/>
            <w:tcBorders>
              <w:top w:val="single" w:color="auto" w:sz="4" w:space="0"/>
              <w:left w:val="single" w:color="auto" w:sz="4" w:space="0"/>
              <w:bottom w:val="single" w:color="auto" w:sz="4" w:space="0"/>
              <w:right w:val="single" w:color="auto" w:sz="4" w:space="0"/>
            </w:tcBorders>
            <w:vAlign w:val="center"/>
          </w:tcPr>
          <w:p w14:paraId="3A4CF7E2">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刘洋</w:t>
            </w:r>
          </w:p>
        </w:tc>
        <w:tc>
          <w:tcPr>
            <w:tcW w:w="1149" w:type="pct"/>
            <w:tcBorders>
              <w:top w:val="single" w:color="auto" w:sz="4" w:space="0"/>
              <w:left w:val="single" w:color="auto" w:sz="4" w:space="0"/>
              <w:bottom w:val="single" w:color="auto" w:sz="4" w:space="0"/>
              <w:right w:val="single" w:color="auto" w:sz="4" w:space="0"/>
            </w:tcBorders>
            <w:vAlign w:val="center"/>
          </w:tcPr>
          <w:p w14:paraId="041C50CB">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18222936510</w:t>
            </w:r>
          </w:p>
        </w:tc>
      </w:tr>
      <w:tr w14:paraId="03AA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76FA76A">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4E6B80F">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区教育局</w:t>
            </w:r>
          </w:p>
        </w:tc>
        <w:tc>
          <w:tcPr>
            <w:tcW w:w="970" w:type="pct"/>
            <w:tcBorders>
              <w:top w:val="single" w:color="auto" w:sz="4" w:space="0"/>
              <w:left w:val="single" w:color="auto" w:sz="4" w:space="0"/>
              <w:bottom w:val="single" w:color="auto" w:sz="4" w:space="0"/>
              <w:right w:val="single" w:color="auto" w:sz="4" w:space="0"/>
            </w:tcBorders>
            <w:vAlign w:val="center"/>
          </w:tcPr>
          <w:p w14:paraId="03E4805E">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4040356</w:t>
            </w:r>
          </w:p>
        </w:tc>
        <w:tc>
          <w:tcPr>
            <w:tcW w:w="744" w:type="pct"/>
            <w:tcBorders>
              <w:top w:val="single" w:color="auto" w:sz="4" w:space="0"/>
              <w:left w:val="single" w:color="auto" w:sz="4" w:space="0"/>
              <w:bottom w:val="single" w:color="auto" w:sz="4" w:space="0"/>
              <w:right w:val="single" w:color="auto" w:sz="4" w:space="0"/>
            </w:tcBorders>
            <w:vAlign w:val="center"/>
          </w:tcPr>
          <w:p w14:paraId="48527A39">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黄继红</w:t>
            </w:r>
          </w:p>
        </w:tc>
        <w:tc>
          <w:tcPr>
            <w:tcW w:w="1149" w:type="pct"/>
            <w:tcBorders>
              <w:top w:val="single" w:color="auto" w:sz="4" w:space="0"/>
              <w:left w:val="single" w:color="auto" w:sz="4" w:space="0"/>
              <w:bottom w:val="single" w:color="auto" w:sz="4" w:space="0"/>
              <w:right w:val="single" w:color="auto" w:sz="4" w:space="0"/>
            </w:tcBorders>
            <w:vAlign w:val="center"/>
          </w:tcPr>
          <w:p w14:paraId="3948F02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18832505445</w:t>
            </w:r>
          </w:p>
        </w:tc>
      </w:tr>
      <w:tr w14:paraId="1D34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083C984A">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19FE885">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区市场监督管理局</w:t>
            </w:r>
          </w:p>
        </w:tc>
        <w:tc>
          <w:tcPr>
            <w:tcW w:w="970" w:type="pct"/>
            <w:tcBorders>
              <w:top w:val="single" w:color="auto" w:sz="4" w:space="0"/>
              <w:left w:val="single" w:color="auto" w:sz="4" w:space="0"/>
              <w:bottom w:val="single" w:color="auto" w:sz="4" w:space="0"/>
              <w:right w:val="single" w:color="auto" w:sz="4" w:space="0"/>
            </w:tcBorders>
            <w:vAlign w:val="center"/>
          </w:tcPr>
          <w:p w14:paraId="47C717C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5331903</w:t>
            </w:r>
          </w:p>
        </w:tc>
        <w:tc>
          <w:tcPr>
            <w:tcW w:w="744" w:type="pct"/>
            <w:tcBorders>
              <w:top w:val="single" w:color="auto" w:sz="4" w:space="0"/>
              <w:left w:val="single" w:color="auto" w:sz="4" w:space="0"/>
              <w:bottom w:val="single" w:color="auto" w:sz="4" w:space="0"/>
              <w:right w:val="single" w:color="auto" w:sz="4" w:space="0"/>
            </w:tcBorders>
            <w:vAlign w:val="center"/>
          </w:tcPr>
          <w:p w14:paraId="3953BA7C">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朱东虎</w:t>
            </w:r>
          </w:p>
        </w:tc>
        <w:tc>
          <w:tcPr>
            <w:tcW w:w="1149" w:type="pct"/>
            <w:tcBorders>
              <w:top w:val="single" w:color="auto" w:sz="4" w:space="0"/>
              <w:left w:val="single" w:color="auto" w:sz="4" w:space="0"/>
              <w:bottom w:val="single" w:color="auto" w:sz="4" w:space="0"/>
              <w:right w:val="single" w:color="auto" w:sz="4" w:space="0"/>
            </w:tcBorders>
            <w:vAlign w:val="center"/>
          </w:tcPr>
          <w:p w14:paraId="76805611">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15503522878</w:t>
            </w:r>
          </w:p>
        </w:tc>
      </w:tr>
      <w:tr w14:paraId="45B6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2E8F56EF">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8DC485B">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区消防大队</w:t>
            </w:r>
          </w:p>
        </w:tc>
        <w:tc>
          <w:tcPr>
            <w:tcW w:w="970" w:type="pct"/>
            <w:tcBorders>
              <w:top w:val="single" w:color="auto" w:sz="4" w:space="0"/>
              <w:left w:val="single" w:color="auto" w:sz="4" w:space="0"/>
              <w:bottom w:val="single" w:color="auto" w:sz="4" w:space="0"/>
              <w:right w:val="single" w:color="auto" w:sz="4" w:space="0"/>
            </w:tcBorders>
            <w:vAlign w:val="center"/>
          </w:tcPr>
          <w:p w14:paraId="5E7BF55C">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5337119</w:t>
            </w:r>
          </w:p>
        </w:tc>
        <w:tc>
          <w:tcPr>
            <w:tcW w:w="744" w:type="pct"/>
            <w:tcBorders>
              <w:top w:val="single" w:color="auto" w:sz="4" w:space="0"/>
              <w:left w:val="single" w:color="auto" w:sz="4" w:space="0"/>
              <w:bottom w:val="single" w:color="auto" w:sz="4" w:space="0"/>
              <w:right w:val="single" w:color="auto" w:sz="4" w:space="0"/>
            </w:tcBorders>
            <w:vAlign w:val="center"/>
          </w:tcPr>
          <w:p w14:paraId="594B057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杜磊磊</w:t>
            </w:r>
          </w:p>
        </w:tc>
        <w:tc>
          <w:tcPr>
            <w:tcW w:w="1149" w:type="pct"/>
            <w:tcBorders>
              <w:top w:val="single" w:color="auto" w:sz="4" w:space="0"/>
              <w:left w:val="single" w:color="auto" w:sz="4" w:space="0"/>
              <w:bottom w:val="single" w:color="auto" w:sz="4" w:space="0"/>
              <w:right w:val="single" w:color="auto" w:sz="4" w:space="0"/>
            </w:tcBorders>
            <w:vAlign w:val="center"/>
          </w:tcPr>
          <w:p w14:paraId="4509BD41">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13903428567</w:t>
            </w:r>
          </w:p>
        </w:tc>
      </w:tr>
      <w:tr w14:paraId="6068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5A349E08">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0F4C73D6">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区交警队</w:t>
            </w:r>
          </w:p>
        </w:tc>
        <w:tc>
          <w:tcPr>
            <w:tcW w:w="970" w:type="pct"/>
            <w:tcBorders>
              <w:top w:val="single" w:color="auto" w:sz="4" w:space="0"/>
              <w:left w:val="single" w:color="auto" w:sz="4" w:space="0"/>
              <w:bottom w:val="single" w:color="auto" w:sz="4" w:space="0"/>
              <w:right w:val="single" w:color="auto" w:sz="4" w:space="0"/>
            </w:tcBorders>
            <w:vAlign w:val="center"/>
          </w:tcPr>
          <w:p w14:paraId="22D70391">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2109122</w:t>
            </w:r>
          </w:p>
        </w:tc>
        <w:tc>
          <w:tcPr>
            <w:tcW w:w="744" w:type="pct"/>
            <w:tcBorders>
              <w:top w:val="single" w:color="auto" w:sz="4" w:space="0"/>
              <w:left w:val="single" w:color="auto" w:sz="4" w:space="0"/>
              <w:bottom w:val="single" w:color="auto" w:sz="4" w:space="0"/>
              <w:right w:val="single" w:color="auto" w:sz="4" w:space="0"/>
            </w:tcBorders>
            <w:vAlign w:val="center"/>
          </w:tcPr>
          <w:p w14:paraId="154D095D">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5438AC99">
            <w:pPr>
              <w:pStyle w:val="11"/>
              <w:spacing w:line="460" w:lineRule="exact"/>
              <w:ind w:firstLine="0" w:firstLineChars="0"/>
              <w:jc w:val="center"/>
              <w:rPr>
                <w:rFonts w:ascii="Times New Roman" w:hAnsi="Times New Roman"/>
                <w:sz w:val="24"/>
                <w:szCs w:val="24"/>
              </w:rPr>
            </w:pPr>
          </w:p>
        </w:tc>
      </w:tr>
      <w:tr w14:paraId="1296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75A6EBEC">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191693A2">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 xml:space="preserve">新文街道办事处 </w:t>
            </w:r>
          </w:p>
        </w:tc>
        <w:tc>
          <w:tcPr>
            <w:tcW w:w="970" w:type="pct"/>
            <w:tcBorders>
              <w:top w:val="single" w:color="auto" w:sz="4" w:space="0"/>
              <w:left w:val="single" w:color="auto" w:sz="4" w:space="0"/>
              <w:bottom w:val="single" w:color="auto" w:sz="4" w:space="0"/>
              <w:right w:val="single" w:color="auto" w:sz="4" w:space="0"/>
            </w:tcBorders>
            <w:vAlign w:val="center"/>
          </w:tcPr>
          <w:p w14:paraId="41CBDC12">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4216879</w:t>
            </w:r>
          </w:p>
        </w:tc>
        <w:tc>
          <w:tcPr>
            <w:tcW w:w="744" w:type="pct"/>
            <w:tcBorders>
              <w:top w:val="single" w:color="auto" w:sz="4" w:space="0"/>
              <w:left w:val="single" w:color="auto" w:sz="4" w:space="0"/>
              <w:bottom w:val="single" w:color="auto" w:sz="4" w:space="0"/>
              <w:right w:val="single" w:color="auto" w:sz="4" w:space="0"/>
            </w:tcBorders>
            <w:vAlign w:val="center"/>
          </w:tcPr>
          <w:p w14:paraId="291DE38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李涛</w:t>
            </w:r>
          </w:p>
        </w:tc>
        <w:tc>
          <w:tcPr>
            <w:tcW w:w="1149" w:type="pct"/>
            <w:tcBorders>
              <w:top w:val="single" w:color="auto" w:sz="4" w:space="0"/>
              <w:left w:val="single" w:color="auto" w:sz="4" w:space="0"/>
              <w:bottom w:val="single" w:color="auto" w:sz="4" w:space="0"/>
              <w:right w:val="single" w:color="auto" w:sz="4" w:space="0"/>
            </w:tcBorders>
            <w:vAlign w:val="center"/>
          </w:tcPr>
          <w:p w14:paraId="255F4CE5">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13934745040</w:t>
            </w:r>
          </w:p>
        </w:tc>
      </w:tr>
      <w:tr w14:paraId="649B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16DA980">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tcPr>
          <w:p w14:paraId="57E2C7C2">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 xml:space="preserve">鸦儿崖乡人民政府 </w:t>
            </w:r>
          </w:p>
        </w:tc>
        <w:tc>
          <w:tcPr>
            <w:tcW w:w="970" w:type="pct"/>
            <w:tcBorders>
              <w:top w:val="single" w:color="auto" w:sz="4" w:space="0"/>
              <w:left w:val="single" w:color="auto" w:sz="4" w:space="0"/>
              <w:bottom w:val="single" w:color="auto" w:sz="4" w:space="0"/>
              <w:right w:val="single" w:color="auto" w:sz="4" w:space="0"/>
            </w:tcBorders>
            <w:vAlign w:val="center"/>
          </w:tcPr>
          <w:p w14:paraId="49D0A37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4168377</w:t>
            </w:r>
          </w:p>
        </w:tc>
        <w:tc>
          <w:tcPr>
            <w:tcW w:w="744" w:type="pct"/>
            <w:tcBorders>
              <w:top w:val="single" w:color="auto" w:sz="4" w:space="0"/>
              <w:left w:val="single" w:color="auto" w:sz="4" w:space="0"/>
              <w:bottom w:val="single" w:color="auto" w:sz="4" w:space="0"/>
              <w:right w:val="single" w:color="auto" w:sz="4" w:space="0"/>
            </w:tcBorders>
            <w:vAlign w:val="center"/>
          </w:tcPr>
          <w:p w14:paraId="4C5503EE">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解加源</w:t>
            </w:r>
          </w:p>
        </w:tc>
        <w:tc>
          <w:tcPr>
            <w:tcW w:w="1149" w:type="pct"/>
            <w:tcBorders>
              <w:top w:val="single" w:color="auto" w:sz="4" w:space="0"/>
              <w:left w:val="single" w:color="auto" w:sz="4" w:space="0"/>
              <w:bottom w:val="single" w:color="auto" w:sz="4" w:space="0"/>
              <w:right w:val="single" w:color="auto" w:sz="4" w:space="0"/>
            </w:tcBorders>
            <w:vAlign w:val="center"/>
          </w:tcPr>
          <w:p w14:paraId="6F539B9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13934788875</w:t>
            </w:r>
          </w:p>
        </w:tc>
      </w:tr>
      <w:tr w14:paraId="5F79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66EA039C">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77A0C2D">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新胜街道办事处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53424A4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4040816</w:t>
            </w:r>
          </w:p>
        </w:tc>
        <w:tc>
          <w:tcPr>
            <w:tcW w:w="744" w:type="pct"/>
            <w:tcBorders>
              <w:top w:val="single" w:color="auto" w:sz="4" w:space="0"/>
              <w:left w:val="single" w:color="auto" w:sz="4" w:space="0"/>
              <w:bottom w:val="single" w:color="auto" w:sz="4" w:space="0"/>
              <w:right w:val="single" w:color="auto" w:sz="4" w:space="0"/>
            </w:tcBorders>
            <w:vAlign w:val="center"/>
          </w:tcPr>
          <w:p w14:paraId="286C3ED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郝妙枝</w:t>
            </w:r>
          </w:p>
        </w:tc>
        <w:tc>
          <w:tcPr>
            <w:tcW w:w="1149" w:type="pct"/>
            <w:tcBorders>
              <w:top w:val="single" w:color="auto" w:sz="4" w:space="0"/>
              <w:left w:val="single" w:color="auto" w:sz="4" w:space="0"/>
              <w:bottom w:val="single" w:color="auto" w:sz="4" w:space="0"/>
              <w:right w:val="single" w:color="auto" w:sz="4" w:space="0"/>
            </w:tcBorders>
            <w:vAlign w:val="center"/>
          </w:tcPr>
          <w:p w14:paraId="44D2F8D8">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18035250425</w:t>
            </w:r>
          </w:p>
        </w:tc>
      </w:tr>
      <w:tr w14:paraId="7532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pct"/>
            <w:vMerge w:val="continue"/>
            <w:tcBorders>
              <w:left w:val="single" w:color="auto" w:sz="4" w:space="0"/>
              <w:right w:val="single" w:color="auto" w:sz="4" w:space="0"/>
            </w:tcBorders>
            <w:vAlign w:val="center"/>
          </w:tcPr>
          <w:p w14:paraId="48E0E8E6">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1CA2B06">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口泉乡人民政府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01B76BF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4052200</w:t>
            </w:r>
          </w:p>
        </w:tc>
        <w:tc>
          <w:tcPr>
            <w:tcW w:w="744" w:type="pct"/>
            <w:tcBorders>
              <w:top w:val="single" w:color="auto" w:sz="4" w:space="0"/>
              <w:left w:val="single" w:color="auto" w:sz="4" w:space="0"/>
              <w:bottom w:val="single" w:color="auto" w:sz="4" w:space="0"/>
              <w:right w:val="single" w:color="auto" w:sz="4" w:space="0"/>
            </w:tcBorders>
            <w:vAlign w:val="center"/>
          </w:tcPr>
          <w:p w14:paraId="18C2412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李建军</w:t>
            </w:r>
          </w:p>
        </w:tc>
        <w:tc>
          <w:tcPr>
            <w:tcW w:w="1149" w:type="pct"/>
            <w:tcBorders>
              <w:top w:val="single" w:color="auto" w:sz="4" w:space="0"/>
              <w:left w:val="single" w:color="auto" w:sz="4" w:space="0"/>
              <w:bottom w:val="single" w:color="auto" w:sz="4" w:space="0"/>
              <w:right w:val="single" w:color="auto" w:sz="4" w:space="0"/>
            </w:tcBorders>
            <w:vAlign w:val="center"/>
          </w:tcPr>
          <w:p w14:paraId="41DDE8DC">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13753283888</w:t>
            </w:r>
          </w:p>
        </w:tc>
      </w:tr>
      <w:tr w14:paraId="1F44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2FE6CBC3">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73FB31D2">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高山镇人民政府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506B9207">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3216262</w:t>
            </w:r>
          </w:p>
        </w:tc>
        <w:tc>
          <w:tcPr>
            <w:tcW w:w="744" w:type="pct"/>
            <w:tcBorders>
              <w:top w:val="single" w:color="auto" w:sz="4" w:space="0"/>
              <w:left w:val="single" w:color="auto" w:sz="4" w:space="0"/>
              <w:bottom w:val="single" w:color="auto" w:sz="4" w:space="0"/>
              <w:right w:val="single" w:color="auto" w:sz="4" w:space="0"/>
            </w:tcBorders>
            <w:vAlign w:val="center"/>
          </w:tcPr>
          <w:p w14:paraId="37E31F4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杨洁</w:t>
            </w:r>
          </w:p>
        </w:tc>
        <w:tc>
          <w:tcPr>
            <w:tcW w:w="1149" w:type="pct"/>
            <w:tcBorders>
              <w:top w:val="single" w:color="auto" w:sz="4" w:space="0"/>
              <w:left w:val="single" w:color="auto" w:sz="4" w:space="0"/>
              <w:bottom w:val="single" w:color="auto" w:sz="4" w:space="0"/>
              <w:right w:val="single" w:color="auto" w:sz="4" w:space="0"/>
            </w:tcBorders>
            <w:vAlign w:val="center"/>
          </w:tcPr>
          <w:p w14:paraId="77537D92">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13835251513</w:t>
            </w:r>
          </w:p>
        </w:tc>
      </w:tr>
      <w:tr w14:paraId="2973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6E57332E">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5A34DADE">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 xml:space="preserve">云武街道办事处 </w:t>
            </w:r>
          </w:p>
        </w:tc>
        <w:tc>
          <w:tcPr>
            <w:tcW w:w="970" w:type="pct"/>
            <w:tcBorders>
              <w:top w:val="single" w:color="auto" w:sz="4" w:space="0"/>
              <w:left w:val="single" w:color="auto" w:sz="4" w:space="0"/>
              <w:bottom w:val="single" w:color="auto" w:sz="4" w:space="0"/>
              <w:right w:val="single" w:color="auto" w:sz="4" w:space="0"/>
            </w:tcBorders>
            <w:vAlign w:val="center"/>
          </w:tcPr>
          <w:p w14:paraId="27AFB2AF">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7086356</w:t>
            </w:r>
          </w:p>
        </w:tc>
        <w:tc>
          <w:tcPr>
            <w:tcW w:w="744" w:type="pct"/>
            <w:tcBorders>
              <w:top w:val="single" w:color="auto" w:sz="4" w:space="0"/>
              <w:left w:val="single" w:color="auto" w:sz="4" w:space="0"/>
              <w:bottom w:val="single" w:color="auto" w:sz="4" w:space="0"/>
              <w:right w:val="single" w:color="auto" w:sz="4" w:space="0"/>
            </w:tcBorders>
            <w:vAlign w:val="center"/>
          </w:tcPr>
          <w:p w14:paraId="020CF77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丰云侠</w:t>
            </w:r>
          </w:p>
        </w:tc>
        <w:tc>
          <w:tcPr>
            <w:tcW w:w="1149" w:type="pct"/>
            <w:tcBorders>
              <w:top w:val="single" w:color="auto" w:sz="4" w:space="0"/>
              <w:left w:val="single" w:color="auto" w:sz="4" w:space="0"/>
              <w:bottom w:val="single" w:color="auto" w:sz="4" w:space="0"/>
              <w:right w:val="single" w:color="auto" w:sz="4" w:space="0"/>
            </w:tcBorders>
            <w:vAlign w:val="center"/>
          </w:tcPr>
          <w:p w14:paraId="6D2F5A59">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13753226567</w:t>
            </w:r>
          </w:p>
        </w:tc>
      </w:tr>
      <w:tr w14:paraId="369B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7A37E378">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0F2F5812">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平喜街道办事处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09E8ED3">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7959508</w:t>
            </w:r>
          </w:p>
        </w:tc>
        <w:tc>
          <w:tcPr>
            <w:tcW w:w="744" w:type="pct"/>
            <w:tcBorders>
              <w:top w:val="single" w:color="auto" w:sz="4" w:space="0"/>
              <w:left w:val="single" w:color="auto" w:sz="4" w:space="0"/>
              <w:bottom w:val="single" w:color="auto" w:sz="4" w:space="0"/>
              <w:right w:val="single" w:color="auto" w:sz="4" w:space="0"/>
            </w:tcBorders>
            <w:vAlign w:val="center"/>
          </w:tcPr>
          <w:p w14:paraId="726F941C">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王乐</w:t>
            </w:r>
          </w:p>
        </w:tc>
        <w:tc>
          <w:tcPr>
            <w:tcW w:w="1149" w:type="pct"/>
            <w:tcBorders>
              <w:top w:val="single" w:color="auto" w:sz="4" w:space="0"/>
              <w:left w:val="single" w:color="auto" w:sz="4" w:space="0"/>
              <w:bottom w:val="single" w:color="auto" w:sz="4" w:space="0"/>
              <w:right w:val="single" w:color="auto" w:sz="4" w:space="0"/>
            </w:tcBorders>
            <w:vAlign w:val="center"/>
          </w:tcPr>
          <w:p w14:paraId="1E7B5B77">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18834072528</w:t>
            </w:r>
          </w:p>
        </w:tc>
      </w:tr>
      <w:tr w14:paraId="6EAA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4DF51238">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1D3F8488">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玉龙街道办事处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174120F7">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4050997</w:t>
            </w:r>
          </w:p>
        </w:tc>
        <w:tc>
          <w:tcPr>
            <w:tcW w:w="744" w:type="pct"/>
            <w:tcBorders>
              <w:top w:val="single" w:color="auto" w:sz="4" w:space="0"/>
              <w:left w:val="single" w:color="auto" w:sz="4" w:space="0"/>
              <w:bottom w:val="single" w:color="auto" w:sz="4" w:space="0"/>
              <w:right w:val="single" w:color="auto" w:sz="4" w:space="0"/>
            </w:tcBorders>
            <w:vAlign w:val="center"/>
          </w:tcPr>
          <w:p w14:paraId="0633CF74">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常艳霞</w:t>
            </w:r>
          </w:p>
        </w:tc>
        <w:tc>
          <w:tcPr>
            <w:tcW w:w="1149" w:type="pct"/>
            <w:tcBorders>
              <w:top w:val="single" w:color="auto" w:sz="4" w:space="0"/>
              <w:left w:val="single" w:color="auto" w:sz="4" w:space="0"/>
              <w:bottom w:val="single" w:color="auto" w:sz="4" w:space="0"/>
              <w:right w:val="single" w:color="auto" w:sz="4" w:space="0"/>
            </w:tcBorders>
            <w:vAlign w:val="center"/>
          </w:tcPr>
          <w:p w14:paraId="72589ACB">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13994448328</w:t>
            </w:r>
          </w:p>
        </w:tc>
      </w:tr>
      <w:tr w14:paraId="6E21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FC05E15">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21AC8B5">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和顺街道办事处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61F9619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4055026</w:t>
            </w:r>
          </w:p>
        </w:tc>
        <w:tc>
          <w:tcPr>
            <w:tcW w:w="744" w:type="pct"/>
            <w:tcBorders>
              <w:top w:val="single" w:color="auto" w:sz="4" w:space="0"/>
              <w:left w:val="single" w:color="auto" w:sz="4" w:space="0"/>
              <w:bottom w:val="single" w:color="auto" w:sz="4" w:space="0"/>
              <w:right w:val="single" w:color="auto" w:sz="4" w:space="0"/>
            </w:tcBorders>
            <w:vAlign w:val="center"/>
          </w:tcPr>
          <w:p w14:paraId="6FDA696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乔琦</w:t>
            </w:r>
          </w:p>
        </w:tc>
        <w:tc>
          <w:tcPr>
            <w:tcW w:w="1149" w:type="pct"/>
            <w:tcBorders>
              <w:top w:val="single" w:color="auto" w:sz="4" w:space="0"/>
              <w:left w:val="single" w:color="auto" w:sz="4" w:space="0"/>
              <w:bottom w:val="single" w:color="auto" w:sz="4" w:space="0"/>
              <w:right w:val="single" w:color="auto" w:sz="4" w:space="0"/>
            </w:tcBorders>
            <w:vAlign w:val="center"/>
          </w:tcPr>
          <w:p w14:paraId="426D9B29">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13393526799</w:t>
            </w:r>
          </w:p>
        </w:tc>
      </w:tr>
      <w:tr w14:paraId="5D9E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4ACFDF56">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34B26841">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清泉街道</w:t>
            </w:r>
          </w:p>
        </w:tc>
        <w:tc>
          <w:tcPr>
            <w:tcW w:w="970" w:type="pct"/>
            <w:tcBorders>
              <w:top w:val="single" w:color="auto" w:sz="4" w:space="0"/>
              <w:left w:val="single" w:color="auto" w:sz="4" w:space="0"/>
              <w:bottom w:val="single" w:color="auto" w:sz="4" w:space="0"/>
              <w:right w:val="single" w:color="auto" w:sz="4" w:space="0"/>
            </w:tcBorders>
            <w:vAlign w:val="center"/>
          </w:tcPr>
          <w:p w14:paraId="28BB7EC5">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7919060</w:t>
            </w:r>
          </w:p>
        </w:tc>
        <w:tc>
          <w:tcPr>
            <w:tcW w:w="744" w:type="pct"/>
            <w:tcBorders>
              <w:top w:val="single" w:color="auto" w:sz="4" w:space="0"/>
              <w:left w:val="single" w:color="auto" w:sz="4" w:space="0"/>
              <w:bottom w:val="single" w:color="auto" w:sz="4" w:space="0"/>
              <w:right w:val="single" w:color="auto" w:sz="4" w:space="0"/>
            </w:tcBorders>
            <w:vAlign w:val="center"/>
          </w:tcPr>
          <w:p w14:paraId="577A26C3">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刘军伟</w:t>
            </w:r>
          </w:p>
        </w:tc>
        <w:tc>
          <w:tcPr>
            <w:tcW w:w="1149" w:type="pct"/>
            <w:tcBorders>
              <w:top w:val="single" w:color="auto" w:sz="4" w:space="0"/>
              <w:left w:val="single" w:color="auto" w:sz="4" w:space="0"/>
              <w:bottom w:val="single" w:color="auto" w:sz="4" w:space="0"/>
              <w:right w:val="single" w:color="auto" w:sz="4" w:space="0"/>
            </w:tcBorders>
            <w:vAlign w:val="center"/>
          </w:tcPr>
          <w:p w14:paraId="345825C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13223627392</w:t>
            </w:r>
          </w:p>
        </w:tc>
      </w:tr>
      <w:tr w14:paraId="0CFB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A935D37">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3B07D38C">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区民胜街道</w:t>
            </w:r>
          </w:p>
        </w:tc>
        <w:tc>
          <w:tcPr>
            <w:tcW w:w="970" w:type="pct"/>
            <w:tcBorders>
              <w:top w:val="single" w:color="auto" w:sz="4" w:space="0"/>
              <w:left w:val="single" w:color="auto" w:sz="4" w:space="0"/>
              <w:bottom w:val="single" w:color="auto" w:sz="4" w:space="0"/>
              <w:right w:val="single" w:color="auto" w:sz="4" w:space="0"/>
            </w:tcBorders>
            <w:vAlign w:val="center"/>
          </w:tcPr>
          <w:p w14:paraId="3F647D8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7602057</w:t>
            </w:r>
          </w:p>
        </w:tc>
        <w:tc>
          <w:tcPr>
            <w:tcW w:w="744" w:type="pct"/>
            <w:tcBorders>
              <w:top w:val="single" w:color="auto" w:sz="4" w:space="0"/>
              <w:left w:val="single" w:color="auto" w:sz="4" w:space="0"/>
              <w:bottom w:val="single" w:color="auto" w:sz="4" w:space="0"/>
              <w:right w:val="single" w:color="auto" w:sz="4" w:space="0"/>
            </w:tcBorders>
            <w:vAlign w:val="center"/>
          </w:tcPr>
          <w:p w14:paraId="3AE08A14">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栗志巍</w:t>
            </w:r>
          </w:p>
        </w:tc>
        <w:tc>
          <w:tcPr>
            <w:tcW w:w="1149" w:type="pct"/>
            <w:tcBorders>
              <w:top w:val="single" w:color="auto" w:sz="4" w:space="0"/>
              <w:left w:val="single" w:color="auto" w:sz="4" w:space="0"/>
              <w:bottom w:val="single" w:color="auto" w:sz="4" w:space="0"/>
              <w:right w:val="single" w:color="auto" w:sz="4" w:space="0"/>
            </w:tcBorders>
            <w:vAlign w:val="center"/>
          </w:tcPr>
          <w:p w14:paraId="2DF836A3">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13835246932</w:t>
            </w:r>
          </w:p>
        </w:tc>
      </w:tr>
      <w:tr w14:paraId="5C46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6955AD2F">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117B2956">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新平旺街道</w:t>
            </w:r>
          </w:p>
        </w:tc>
        <w:tc>
          <w:tcPr>
            <w:tcW w:w="970" w:type="pct"/>
            <w:tcBorders>
              <w:top w:val="single" w:color="auto" w:sz="4" w:space="0"/>
              <w:left w:val="single" w:color="auto" w:sz="4" w:space="0"/>
              <w:bottom w:val="single" w:color="auto" w:sz="4" w:space="0"/>
              <w:right w:val="single" w:color="auto" w:sz="4" w:space="0"/>
            </w:tcBorders>
            <w:vAlign w:val="center"/>
          </w:tcPr>
          <w:p w14:paraId="61D6FC06">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4072011</w:t>
            </w:r>
          </w:p>
        </w:tc>
        <w:tc>
          <w:tcPr>
            <w:tcW w:w="744" w:type="pct"/>
            <w:tcBorders>
              <w:top w:val="single" w:color="auto" w:sz="4" w:space="0"/>
              <w:left w:val="single" w:color="auto" w:sz="4" w:space="0"/>
              <w:bottom w:val="single" w:color="auto" w:sz="4" w:space="0"/>
              <w:right w:val="single" w:color="auto" w:sz="4" w:space="0"/>
            </w:tcBorders>
            <w:vAlign w:val="center"/>
          </w:tcPr>
          <w:p w14:paraId="79FE030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张建国</w:t>
            </w:r>
          </w:p>
        </w:tc>
        <w:tc>
          <w:tcPr>
            <w:tcW w:w="1149" w:type="pct"/>
            <w:tcBorders>
              <w:top w:val="single" w:color="auto" w:sz="4" w:space="0"/>
              <w:left w:val="single" w:color="auto" w:sz="4" w:space="0"/>
              <w:bottom w:val="single" w:color="auto" w:sz="4" w:space="0"/>
              <w:right w:val="single" w:color="auto" w:sz="4" w:space="0"/>
            </w:tcBorders>
            <w:vAlign w:val="center"/>
          </w:tcPr>
          <w:p w14:paraId="7260F69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13663621887</w:t>
            </w:r>
          </w:p>
        </w:tc>
      </w:tr>
      <w:tr w14:paraId="6DED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5556162">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5307FD15">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和旺街道办事处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C433745">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4216126</w:t>
            </w:r>
          </w:p>
        </w:tc>
        <w:tc>
          <w:tcPr>
            <w:tcW w:w="744" w:type="pct"/>
            <w:tcBorders>
              <w:top w:val="single" w:color="auto" w:sz="4" w:space="0"/>
              <w:left w:val="single" w:color="auto" w:sz="4" w:space="0"/>
              <w:bottom w:val="single" w:color="auto" w:sz="4" w:space="0"/>
              <w:right w:val="single" w:color="auto" w:sz="4" w:space="0"/>
            </w:tcBorders>
            <w:vAlign w:val="center"/>
          </w:tcPr>
          <w:p w14:paraId="49A9E616">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钮豪</w:t>
            </w:r>
          </w:p>
        </w:tc>
        <w:tc>
          <w:tcPr>
            <w:tcW w:w="1149" w:type="pct"/>
            <w:tcBorders>
              <w:top w:val="single" w:color="auto" w:sz="4" w:space="0"/>
              <w:left w:val="single" w:color="auto" w:sz="4" w:space="0"/>
              <w:bottom w:val="single" w:color="auto" w:sz="4" w:space="0"/>
              <w:right w:val="single" w:color="auto" w:sz="4" w:space="0"/>
            </w:tcBorders>
            <w:vAlign w:val="center"/>
          </w:tcPr>
          <w:p w14:paraId="5CDF8A90">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18635223942</w:t>
            </w:r>
          </w:p>
        </w:tc>
      </w:tr>
      <w:tr w14:paraId="4E14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1DA86EDE">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070A4BA1">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西花园街道</w:t>
            </w:r>
          </w:p>
        </w:tc>
        <w:tc>
          <w:tcPr>
            <w:tcW w:w="970" w:type="pct"/>
            <w:tcBorders>
              <w:top w:val="single" w:color="auto" w:sz="4" w:space="0"/>
              <w:left w:val="single" w:color="auto" w:sz="4" w:space="0"/>
              <w:bottom w:val="single" w:color="auto" w:sz="4" w:space="0"/>
              <w:right w:val="single" w:color="auto" w:sz="4" w:space="0"/>
            </w:tcBorders>
            <w:vAlign w:val="center"/>
          </w:tcPr>
          <w:p w14:paraId="79B33651">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4085258</w:t>
            </w:r>
          </w:p>
        </w:tc>
        <w:tc>
          <w:tcPr>
            <w:tcW w:w="744" w:type="pct"/>
            <w:tcBorders>
              <w:top w:val="single" w:color="auto" w:sz="4" w:space="0"/>
              <w:left w:val="single" w:color="auto" w:sz="4" w:space="0"/>
              <w:bottom w:val="single" w:color="auto" w:sz="4" w:space="0"/>
              <w:right w:val="single" w:color="auto" w:sz="4" w:space="0"/>
            </w:tcBorders>
            <w:vAlign w:val="center"/>
          </w:tcPr>
          <w:p w14:paraId="156D390B">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刘文敏</w:t>
            </w:r>
          </w:p>
        </w:tc>
        <w:tc>
          <w:tcPr>
            <w:tcW w:w="1149" w:type="pct"/>
            <w:tcBorders>
              <w:top w:val="single" w:color="auto" w:sz="4" w:space="0"/>
              <w:left w:val="single" w:color="auto" w:sz="4" w:space="0"/>
              <w:bottom w:val="single" w:color="auto" w:sz="4" w:space="0"/>
              <w:right w:val="single" w:color="auto" w:sz="4" w:space="0"/>
            </w:tcBorders>
            <w:vAlign w:val="center"/>
          </w:tcPr>
          <w:p w14:paraId="1D17CC4F">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13403646291</w:t>
            </w:r>
          </w:p>
        </w:tc>
      </w:tr>
      <w:tr w14:paraId="5B60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6B9A0D5">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5500D933">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老平旺街道</w:t>
            </w:r>
          </w:p>
        </w:tc>
        <w:tc>
          <w:tcPr>
            <w:tcW w:w="970" w:type="pct"/>
            <w:tcBorders>
              <w:top w:val="single" w:color="auto" w:sz="4" w:space="0"/>
              <w:left w:val="single" w:color="auto" w:sz="4" w:space="0"/>
              <w:bottom w:val="single" w:color="auto" w:sz="4" w:space="0"/>
              <w:right w:val="single" w:color="auto" w:sz="4" w:space="0"/>
            </w:tcBorders>
            <w:vAlign w:val="center"/>
          </w:tcPr>
          <w:p w14:paraId="74134524">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4075012</w:t>
            </w:r>
          </w:p>
        </w:tc>
        <w:tc>
          <w:tcPr>
            <w:tcW w:w="744" w:type="pct"/>
            <w:tcBorders>
              <w:top w:val="single" w:color="auto" w:sz="4" w:space="0"/>
              <w:left w:val="single" w:color="auto" w:sz="4" w:space="0"/>
              <w:bottom w:val="single" w:color="auto" w:sz="4" w:space="0"/>
              <w:right w:val="single" w:color="auto" w:sz="4" w:space="0"/>
            </w:tcBorders>
            <w:vAlign w:val="center"/>
          </w:tcPr>
          <w:p w14:paraId="2A23963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张哲军</w:t>
            </w:r>
          </w:p>
        </w:tc>
        <w:tc>
          <w:tcPr>
            <w:tcW w:w="1149" w:type="pct"/>
            <w:tcBorders>
              <w:top w:val="single" w:color="auto" w:sz="4" w:space="0"/>
              <w:left w:val="single" w:color="auto" w:sz="4" w:space="0"/>
              <w:bottom w:val="single" w:color="auto" w:sz="4" w:space="0"/>
              <w:right w:val="single" w:color="auto" w:sz="4" w:space="0"/>
            </w:tcBorders>
            <w:vAlign w:val="center"/>
          </w:tcPr>
          <w:p w14:paraId="5E1CA0C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18603522678</w:t>
            </w:r>
          </w:p>
        </w:tc>
      </w:tr>
      <w:tr w14:paraId="6248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6CA275C">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8DE6D6A">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平泉街道办事处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7A091E53">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4168886</w:t>
            </w:r>
          </w:p>
        </w:tc>
        <w:tc>
          <w:tcPr>
            <w:tcW w:w="744" w:type="pct"/>
            <w:tcBorders>
              <w:top w:val="single" w:color="auto" w:sz="4" w:space="0"/>
              <w:left w:val="single" w:color="auto" w:sz="4" w:space="0"/>
              <w:bottom w:val="single" w:color="auto" w:sz="4" w:space="0"/>
              <w:right w:val="single" w:color="auto" w:sz="4" w:space="0"/>
            </w:tcBorders>
            <w:vAlign w:val="center"/>
          </w:tcPr>
          <w:p w14:paraId="3161FC77">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陈建兴</w:t>
            </w:r>
          </w:p>
        </w:tc>
        <w:tc>
          <w:tcPr>
            <w:tcW w:w="1149" w:type="pct"/>
            <w:tcBorders>
              <w:top w:val="single" w:color="auto" w:sz="4" w:space="0"/>
              <w:left w:val="single" w:color="auto" w:sz="4" w:space="0"/>
              <w:bottom w:val="single" w:color="auto" w:sz="4" w:space="0"/>
              <w:right w:val="single" w:color="auto" w:sz="4" w:space="0"/>
            </w:tcBorders>
            <w:vAlign w:val="center"/>
          </w:tcPr>
          <w:p w14:paraId="7DD28856">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13008093238</w:t>
            </w:r>
          </w:p>
        </w:tc>
      </w:tr>
      <w:tr w14:paraId="4A28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AE85F2F">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1C4544D">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玉泉街道办事处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3AB00174">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4051085</w:t>
            </w:r>
          </w:p>
        </w:tc>
        <w:tc>
          <w:tcPr>
            <w:tcW w:w="744" w:type="pct"/>
            <w:tcBorders>
              <w:top w:val="single" w:color="auto" w:sz="4" w:space="0"/>
              <w:left w:val="single" w:color="auto" w:sz="4" w:space="0"/>
              <w:bottom w:val="single" w:color="auto" w:sz="4" w:space="0"/>
              <w:right w:val="single" w:color="auto" w:sz="4" w:space="0"/>
            </w:tcBorders>
            <w:vAlign w:val="center"/>
          </w:tcPr>
          <w:p w14:paraId="5715034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裴煜</w:t>
            </w:r>
          </w:p>
        </w:tc>
        <w:tc>
          <w:tcPr>
            <w:tcW w:w="1149" w:type="pct"/>
            <w:tcBorders>
              <w:top w:val="single" w:color="auto" w:sz="4" w:space="0"/>
              <w:left w:val="single" w:color="auto" w:sz="4" w:space="0"/>
              <w:bottom w:val="single" w:color="auto" w:sz="4" w:space="0"/>
              <w:right w:val="single" w:color="auto" w:sz="4" w:space="0"/>
            </w:tcBorders>
            <w:vAlign w:val="center"/>
          </w:tcPr>
          <w:p w14:paraId="56FF4F0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18835208866</w:t>
            </w:r>
          </w:p>
        </w:tc>
      </w:tr>
      <w:tr w14:paraId="258B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2A88816">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7625782E">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平盛街道办事处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5D847F15">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7931388</w:t>
            </w:r>
          </w:p>
        </w:tc>
        <w:tc>
          <w:tcPr>
            <w:tcW w:w="744" w:type="pct"/>
            <w:tcBorders>
              <w:top w:val="single" w:color="auto" w:sz="4" w:space="0"/>
              <w:left w:val="single" w:color="auto" w:sz="4" w:space="0"/>
              <w:bottom w:val="single" w:color="auto" w:sz="4" w:space="0"/>
              <w:right w:val="single" w:color="auto" w:sz="4" w:space="0"/>
            </w:tcBorders>
            <w:vAlign w:val="center"/>
          </w:tcPr>
          <w:p w14:paraId="4A4D5C66">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石建刚</w:t>
            </w:r>
          </w:p>
        </w:tc>
        <w:tc>
          <w:tcPr>
            <w:tcW w:w="1149" w:type="pct"/>
            <w:tcBorders>
              <w:top w:val="single" w:color="auto" w:sz="4" w:space="0"/>
              <w:left w:val="single" w:color="auto" w:sz="4" w:space="0"/>
              <w:bottom w:val="single" w:color="auto" w:sz="4" w:space="0"/>
              <w:right w:val="single" w:color="auto" w:sz="4" w:space="0"/>
            </w:tcBorders>
            <w:vAlign w:val="center"/>
          </w:tcPr>
          <w:p w14:paraId="163BCB4C">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13934793938</w:t>
            </w:r>
          </w:p>
        </w:tc>
      </w:tr>
      <w:tr w14:paraId="0587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6084C9B9">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5AC881E4">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平德街道办事处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63C7DAD1">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4051699</w:t>
            </w:r>
          </w:p>
        </w:tc>
        <w:tc>
          <w:tcPr>
            <w:tcW w:w="744" w:type="pct"/>
            <w:tcBorders>
              <w:top w:val="single" w:color="auto" w:sz="4" w:space="0"/>
              <w:left w:val="single" w:color="auto" w:sz="4" w:space="0"/>
              <w:bottom w:val="single" w:color="auto" w:sz="4" w:space="0"/>
              <w:right w:val="single" w:color="auto" w:sz="4" w:space="0"/>
            </w:tcBorders>
            <w:vAlign w:val="center"/>
          </w:tcPr>
          <w:p w14:paraId="4C4A247F">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曹慧峰</w:t>
            </w:r>
          </w:p>
        </w:tc>
        <w:tc>
          <w:tcPr>
            <w:tcW w:w="1149" w:type="pct"/>
            <w:tcBorders>
              <w:top w:val="single" w:color="auto" w:sz="4" w:space="0"/>
              <w:left w:val="single" w:color="auto" w:sz="4" w:space="0"/>
              <w:bottom w:val="single" w:color="auto" w:sz="4" w:space="0"/>
              <w:right w:val="single" w:color="auto" w:sz="4" w:space="0"/>
            </w:tcBorders>
            <w:vAlign w:val="center"/>
          </w:tcPr>
          <w:p w14:paraId="5BA7B72E">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18635022633</w:t>
            </w:r>
          </w:p>
        </w:tc>
      </w:tr>
      <w:tr w14:paraId="792A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5A3E8D2D">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418872B">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平源街道</w:t>
            </w:r>
          </w:p>
        </w:tc>
        <w:tc>
          <w:tcPr>
            <w:tcW w:w="970" w:type="pct"/>
            <w:tcBorders>
              <w:top w:val="single" w:color="auto" w:sz="4" w:space="0"/>
              <w:left w:val="single" w:color="auto" w:sz="4" w:space="0"/>
              <w:bottom w:val="single" w:color="auto" w:sz="4" w:space="0"/>
              <w:right w:val="single" w:color="auto" w:sz="4" w:space="0"/>
            </w:tcBorders>
            <w:vAlign w:val="center"/>
          </w:tcPr>
          <w:p w14:paraId="5F131ED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4057313</w:t>
            </w:r>
          </w:p>
        </w:tc>
        <w:tc>
          <w:tcPr>
            <w:tcW w:w="744" w:type="pct"/>
            <w:tcBorders>
              <w:top w:val="single" w:color="auto" w:sz="4" w:space="0"/>
              <w:left w:val="single" w:color="auto" w:sz="4" w:space="0"/>
              <w:bottom w:val="single" w:color="auto" w:sz="4" w:space="0"/>
              <w:right w:val="single" w:color="auto" w:sz="4" w:space="0"/>
            </w:tcBorders>
            <w:vAlign w:val="center"/>
          </w:tcPr>
          <w:p w14:paraId="33385DD8">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李治中</w:t>
            </w:r>
          </w:p>
        </w:tc>
        <w:tc>
          <w:tcPr>
            <w:tcW w:w="1149" w:type="pct"/>
            <w:tcBorders>
              <w:top w:val="single" w:color="auto" w:sz="4" w:space="0"/>
              <w:left w:val="single" w:color="auto" w:sz="4" w:space="0"/>
              <w:bottom w:val="single" w:color="auto" w:sz="4" w:space="0"/>
              <w:right w:val="single" w:color="auto" w:sz="4" w:space="0"/>
            </w:tcBorders>
            <w:vAlign w:val="center"/>
          </w:tcPr>
          <w:p w14:paraId="77CC338B">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18603524109</w:t>
            </w:r>
          </w:p>
        </w:tc>
      </w:tr>
      <w:tr w14:paraId="5769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20572503">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74DC7322">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云冈镇</w:t>
            </w:r>
          </w:p>
        </w:tc>
        <w:tc>
          <w:tcPr>
            <w:tcW w:w="970" w:type="pct"/>
            <w:tcBorders>
              <w:top w:val="single" w:color="auto" w:sz="4" w:space="0"/>
              <w:left w:val="single" w:color="auto" w:sz="4" w:space="0"/>
              <w:bottom w:val="single" w:color="auto" w:sz="4" w:space="0"/>
              <w:right w:val="single" w:color="auto" w:sz="4" w:space="0"/>
            </w:tcBorders>
            <w:vAlign w:val="center"/>
          </w:tcPr>
          <w:p w14:paraId="428D5DD8">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3208777</w:t>
            </w:r>
          </w:p>
        </w:tc>
        <w:tc>
          <w:tcPr>
            <w:tcW w:w="744" w:type="pct"/>
            <w:tcBorders>
              <w:top w:val="single" w:color="auto" w:sz="4" w:space="0"/>
              <w:left w:val="single" w:color="auto" w:sz="4" w:space="0"/>
              <w:bottom w:val="single" w:color="auto" w:sz="4" w:space="0"/>
              <w:right w:val="single" w:color="auto" w:sz="4" w:space="0"/>
            </w:tcBorders>
            <w:vAlign w:val="center"/>
          </w:tcPr>
          <w:p w14:paraId="5C2FDB4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赵志杰</w:t>
            </w:r>
          </w:p>
        </w:tc>
        <w:tc>
          <w:tcPr>
            <w:tcW w:w="1149" w:type="pct"/>
            <w:tcBorders>
              <w:top w:val="single" w:color="auto" w:sz="4" w:space="0"/>
              <w:left w:val="single" w:color="auto" w:sz="4" w:space="0"/>
              <w:bottom w:val="single" w:color="auto" w:sz="4" w:space="0"/>
              <w:right w:val="single" w:color="auto" w:sz="4" w:space="0"/>
            </w:tcBorders>
            <w:vAlign w:val="center"/>
          </w:tcPr>
          <w:p w14:paraId="0D565DA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13934262688</w:t>
            </w:r>
          </w:p>
        </w:tc>
      </w:tr>
      <w:tr w14:paraId="196D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22CFBD82">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DA6A0EE">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和瑞街道</w:t>
            </w:r>
          </w:p>
        </w:tc>
        <w:tc>
          <w:tcPr>
            <w:tcW w:w="970" w:type="pct"/>
            <w:tcBorders>
              <w:top w:val="single" w:color="auto" w:sz="4" w:space="0"/>
              <w:left w:val="single" w:color="auto" w:sz="4" w:space="0"/>
              <w:bottom w:val="single" w:color="auto" w:sz="4" w:space="0"/>
              <w:right w:val="single" w:color="auto" w:sz="4" w:space="0"/>
            </w:tcBorders>
            <w:vAlign w:val="center"/>
          </w:tcPr>
          <w:p w14:paraId="2F4EC332">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4055035</w:t>
            </w:r>
          </w:p>
        </w:tc>
        <w:tc>
          <w:tcPr>
            <w:tcW w:w="744" w:type="pct"/>
            <w:tcBorders>
              <w:top w:val="single" w:color="auto" w:sz="4" w:space="0"/>
              <w:left w:val="single" w:color="auto" w:sz="4" w:space="0"/>
              <w:bottom w:val="single" w:color="auto" w:sz="4" w:space="0"/>
              <w:right w:val="single" w:color="auto" w:sz="4" w:space="0"/>
            </w:tcBorders>
            <w:vAlign w:val="center"/>
          </w:tcPr>
          <w:p w14:paraId="2EF92882">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陈俊斌</w:t>
            </w:r>
          </w:p>
        </w:tc>
        <w:tc>
          <w:tcPr>
            <w:tcW w:w="1149" w:type="pct"/>
            <w:tcBorders>
              <w:top w:val="single" w:color="auto" w:sz="4" w:space="0"/>
              <w:left w:val="single" w:color="auto" w:sz="4" w:space="0"/>
              <w:bottom w:val="single" w:color="auto" w:sz="4" w:space="0"/>
              <w:right w:val="single" w:color="auto" w:sz="4" w:space="0"/>
            </w:tcBorders>
            <w:vAlign w:val="center"/>
          </w:tcPr>
          <w:p w14:paraId="57EA2A1F">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13357394444</w:t>
            </w:r>
          </w:p>
        </w:tc>
      </w:tr>
      <w:tr w14:paraId="0614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753BC77E">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469D511E">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云燕街道办事处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2505828F">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3096001</w:t>
            </w:r>
          </w:p>
        </w:tc>
        <w:tc>
          <w:tcPr>
            <w:tcW w:w="744" w:type="pct"/>
            <w:tcBorders>
              <w:top w:val="single" w:color="auto" w:sz="4" w:space="0"/>
              <w:left w:val="single" w:color="auto" w:sz="4" w:space="0"/>
              <w:bottom w:val="single" w:color="auto" w:sz="4" w:space="0"/>
              <w:right w:val="single" w:color="auto" w:sz="4" w:space="0"/>
            </w:tcBorders>
            <w:vAlign w:val="center"/>
          </w:tcPr>
          <w:p w14:paraId="3831A115">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田佳俊</w:t>
            </w:r>
          </w:p>
        </w:tc>
        <w:tc>
          <w:tcPr>
            <w:tcW w:w="1149" w:type="pct"/>
            <w:tcBorders>
              <w:top w:val="single" w:color="auto" w:sz="4" w:space="0"/>
              <w:left w:val="single" w:color="auto" w:sz="4" w:space="0"/>
              <w:bottom w:val="single" w:color="auto" w:sz="4" w:space="0"/>
              <w:right w:val="single" w:color="auto" w:sz="4" w:space="0"/>
            </w:tcBorders>
            <w:vAlign w:val="center"/>
          </w:tcPr>
          <w:p w14:paraId="117515E6">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13293927842</w:t>
            </w:r>
          </w:p>
        </w:tc>
      </w:tr>
      <w:tr w14:paraId="35DA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30B6A96A">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381CF3DB">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口泉街道办事处</w:t>
            </w:r>
          </w:p>
        </w:tc>
        <w:tc>
          <w:tcPr>
            <w:tcW w:w="970" w:type="pct"/>
            <w:tcBorders>
              <w:top w:val="single" w:color="auto" w:sz="4" w:space="0"/>
              <w:left w:val="single" w:color="auto" w:sz="4" w:space="0"/>
              <w:bottom w:val="single" w:color="auto" w:sz="4" w:space="0"/>
              <w:right w:val="single" w:color="auto" w:sz="4" w:space="0"/>
            </w:tcBorders>
            <w:vAlign w:val="center"/>
          </w:tcPr>
          <w:p w14:paraId="267F266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4093215</w:t>
            </w:r>
          </w:p>
        </w:tc>
        <w:tc>
          <w:tcPr>
            <w:tcW w:w="744" w:type="pct"/>
            <w:tcBorders>
              <w:top w:val="single" w:color="auto" w:sz="4" w:space="0"/>
              <w:left w:val="single" w:color="auto" w:sz="4" w:space="0"/>
              <w:bottom w:val="single" w:color="auto" w:sz="4" w:space="0"/>
              <w:right w:val="single" w:color="auto" w:sz="4" w:space="0"/>
            </w:tcBorders>
            <w:vAlign w:val="center"/>
          </w:tcPr>
          <w:p w14:paraId="0354298C">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郭卫刚</w:t>
            </w:r>
          </w:p>
        </w:tc>
        <w:tc>
          <w:tcPr>
            <w:tcW w:w="1149" w:type="pct"/>
            <w:tcBorders>
              <w:top w:val="single" w:color="auto" w:sz="4" w:space="0"/>
              <w:left w:val="single" w:color="auto" w:sz="4" w:space="0"/>
              <w:bottom w:val="single" w:color="auto" w:sz="4" w:space="0"/>
              <w:right w:val="single" w:color="auto" w:sz="4" w:space="0"/>
            </w:tcBorders>
            <w:vAlign w:val="center"/>
          </w:tcPr>
          <w:p w14:paraId="6AC3A6CA">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13903523646</w:t>
            </w:r>
          </w:p>
        </w:tc>
      </w:tr>
      <w:tr w14:paraId="4DA6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773F13B8">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29EC44F6">
            <w:pPr>
              <w:pStyle w:val="11"/>
              <w:spacing w:line="460" w:lineRule="exact"/>
              <w:ind w:firstLine="0" w:firstLineChars="0"/>
              <w:rPr>
                <w:rFonts w:ascii="Times New Roman" w:hAnsi="Times New Roman"/>
                <w:sz w:val="24"/>
                <w:szCs w:val="24"/>
              </w:rPr>
            </w:pPr>
            <w:r>
              <w:rPr>
                <w:rFonts w:ascii="Times New Roman" w:hAnsi="Times New Roman"/>
                <w:sz w:val="24"/>
                <w:szCs w:val="24"/>
              </w:rPr>
              <w:t>平旺乡人民政府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1C102209">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4030077</w:t>
            </w:r>
          </w:p>
        </w:tc>
        <w:tc>
          <w:tcPr>
            <w:tcW w:w="744" w:type="pct"/>
            <w:tcBorders>
              <w:top w:val="single" w:color="auto" w:sz="4" w:space="0"/>
              <w:left w:val="single" w:color="auto" w:sz="4" w:space="0"/>
              <w:bottom w:val="single" w:color="auto" w:sz="4" w:space="0"/>
              <w:right w:val="single" w:color="auto" w:sz="4" w:space="0"/>
            </w:tcBorders>
            <w:vAlign w:val="center"/>
          </w:tcPr>
          <w:p w14:paraId="78AA9A1D">
            <w:pPr>
              <w:pStyle w:val="11"/>
              <w:spacing w:line="460" w:lineRule="exact"/>
              <w:ind w:firstLine="0" w:firstLineChars="0"/>
              <w:jc w:val="center"/>
              <w:rPr>
                <w:rFonts w:ascii="Times New Roman" w:hAnsi="Times New Roman"/>
                <w:sz w:val="24"/>
                <w:szCs w:val="24"/>
              </w:rPr>
            </w:pPr>
            <w:r>
              <w:rPr>
                <w:rFonts w:ascii="Times New Roman" w:hAnsi="Times New Roman"/>
                <w:sz w:val="24"/>
                <w:szCs w:val="24"/>
              </w:rPr>
              <w:t>聂俊欣</w:t>
            </w:r>
          </w:p>
        </w:tc>
        <w:tc>
          <w:tcPr>
            <w:tcW w:w="1149" w:type="pct"/>
            <w:tcBorders>
              <w:top w:val="single" w:color="auto" w:sz="4" w:space="0"/>
              <w:left w:val="single" w:color="auto" w:sz="4" w:space="0"/>
              <w:bottom w:val="single" w:color="auto" w:sz="4" w:space="0"/>
              <w:right w:val="single" w:color="auto" w:sz="4" w:space="0"/>
            </w:tcBorders>
            <w:vAlign w:val="center"/>
          </w:tcPr>
          <w:p w14:paraId="7AA461CD">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13994394852</w:t>
            </w:r>
          </w:p>
        </w:tc>
      </w:tr>
      <w:tr w14:paraId="225A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right w:val="single" w:color="auto" w:sz="4" w:space="0"/>
            </w:tcBorders>
            <w:vAlign w:val="center"/>
          </w:tcPr>
          <w:p w14:paraId="06331DC6">
            <w:pPr>
              <w:pStyle w:val="11"/>
              <w:spacing w:line="460" w:lineRule="exact"/>
              <w:ind w:firstLine="0" w:firstLineChars="0"/>
              <w:rPr>
                <w:rFonts w:ascii="Times New Roman" w:hAnsi="Times New Roman"/>
                <w:sz w:val="24"/>
                <w:szCs w:val="24"/>
              </w:rPr>
            </w:pPr>
          </w:p>
        </w:tc>
        <w:tc>
          <w:tcPr>
            <w:tcW w:w="1403" w:type="pct"/>
            <w:tcBorders>
              <w:top w:val="single" w:color="auto" w:sz="4" w:space="0"/>
              <w:left w:val="single" w:color="auto" w:sz="4" w:space="0"/>
              <w:bottom w:val="single" w:color="auto" w:sz="4" w:space="0"/>
              <w:right w:val="single" w:color="auto" w:sz="4" w:space="0"/>
            </w:tcBorders>
            <w:vAlign w:val="center"/>
          </w:tcPr>
          <w:p w14:paraId="65151985">
            <w:pPr>
              <w:pStyle w:val="11"/>
              <w:spacing w:line="460" w:lineRule="exact"/>
              <w:ind w:firstLine="0" w:firstLineChars="0"/>
              <w:rPr>
                <w:rFonts w:ascii="Times New Roman" w:hAnsi="Times New Roman"/>
                <w:sz w:val="24"/>
                <w:szCs w:val="24"/>
              </w:rPr>
            </w:pPr>
            <w:r>
              <w:rPr>
                <w:rFonts w:hint="eastAsia" w:ascii="Times New Roman" w:hAnsi="Times New Roman"/>
                <w:sz w:val="24"/>
                <w:szCs w:val="24"/>
              </w:rPr>
              <w:t>西韩岭乡</w:t>
            </w:r>
          </w:p>
        </w:tc>
        <w:tc>
          <w:tcPr>
            <w:tcW w:w="970" w:type="pct"/>
            <w:tcBorders>
              <w:top w:val="single" w:color="auto" w:sz="4" w:space="0"/>
              <w:left w:val="single" w:color="auto" w:sz="4" w:space="0"/>
              <w:bottom w:val="single" w:color="auto" w:sz="4" w:space="0"/>
              <w:right w:val="single" w:color="auto" w:sz="4" w:space="0"/>
            </w:tcBorders>
            <w:vAlign w:val="center"/>
          </w:tcPr>
          <w:p w14:paraId="0847F438">
            <w:pPr>
              <w:pStyle w:val="11"/>
              <w:spacing w:line="460" w:lineRule="exact"/>
              <w:ind w:firstLine="0" w:firstLineChars="0"/>
              <w:jc w:val="center"/>
              <w:rPr>
                <w:rFonts w:ascii="Times New Roman" w:hAnsi="Times New Roman"/>
                <w:sz w:val="24"/>
                <w:szCs w:val="24"/>
              </w:rPr>
            </w:pPr>
            <w:r>
              <w:rPr>
                <w:rFonts w:hint="eastAsia" w:ascii="Times New Roman" w:hAnsi="Times New Roman"/>
                <w:sz w:val="24"/>
                <w:szCs w:val="24"/>
              </w:rPr>
              <w:t>5525356</w:t>
            </w:r>
          </w:p>
        </w:tc>
        <w:tc>
          <w:tcPr>
            <w:tcW w:w="744" w:type="pct"/>
            <w:tcBorders>
              <w:top w:val="single" w:color="auto" w:sz="4" w:space="0"/>
              <w:left w:val="single" w:color="auto" w:sz="4" w:space="0"/>
              <w:bottom w:val="single" w:color="auto" w:sz="4" w:space="0"/>
              <w:right w:val="single" w:color="auto" w:sz="4" w:space="0"/>
            </w:tcBorders>
            <w:vAlign w:val="center"/>
          </w:tcPr>
          <w:p w14:paraId="51260A05">
            <w:pPr>
              <w:pStyle w:val="11"/>
              <w:spacing w:line="460" w:lineRule="exact"/>
              <w:ind w:firstLine="0" w:firstLineChars="0"/>
              <w:jc w:val="center"/>
              <w:rPr>
                <w:rFonts w:ascii="Times New Roman" w:hAnsi="Times New Roman"/>
                <w:sz w:val="24"/>
                <w:szCs w:val="24"/>
              </w:rPr>
            </w:pPr>
          </w:p>
        </w:tc>
        <w:tc>
          <w:tcPr>
            <w:tcW w:w="1149" w:type="pct"/>
            <w:tcBorders>
              <w:top w:val="single" w:color="auto" w:sz="4" w:space="0"/>
              <w:left w:val="single" w:color="auto" w:sz="4" w:space="0"/>
              <w:bottom w:val="single" w:color="auto" w:sz="4" w:space="0"/>
              <w:right w:val="single" w:color="auto" w:sz="4" w:space="0"/>
            </w:tcBorders>
            <w:vAlign w:val="center"/>
          </w:tcPr>
          <w:p w14:paraId="301D2166">
            <w:pPr>
              <w:pStyle w:val="11"/>
              <w:spacing w:line="460" w:lineRule="exact"/>
              <w:ind w:firstLine="0" w:firstLineChars="0"/>
              <w:jc w:val="center"/>
              <w:rPr>
                <w:rFonts w:ascii="Times New Roman" w:hAnsi="Times New Roman"/>
                <w:sz w:val="24"/>
                <w:szCs w:val="24"/>
              </w:rPr>
            </w:pPr>
          </w:p>
        </w:tc>
      </w:tr>
      <w:tr w14:paraId="2454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left w:val="single" w:color="auto" w:sz="4" w:space="0"/>
              <w:right w:val="single" w:color="auto" w:sz="4" w:space="0"/>
            </w:tcBorders>
            <w:vAlign w:val="center"/>
          </w:tcPr>
          <w:p w14:paraId="4811EFFD">
            <w:pPr>
              <w:spacing w:line="360" w:lineRule="auto"/>
              <w:rPr>
                <w:rFonts w:ascii="宋体" w:hAnsi="宋体" w:eastAsia="宋体" w:cs="Times New Roman"/>
                <w:sz w:val="24"/>
                <w:szCs w:val="24"/>
              </w:rPr>
            </w:pPr>
            <w:r>
              <w:rPr>
                <w:rFonts w:hint="eastAsia" w:ascii="宋体" w:hAnsi="宋体" w:eastAsia="宋体" w:cs="Times New Roman"/>
                <w:sz w:val="24"/>
                <w:szCs w:val="24"/>
              </w:rPr>
              <w:t>备注：每年</w:t>
            </w:r>
            <w:r>
              <w:rPr>
                <w:rFonts w:ascii="宋体" w:hAnsi="宋体" w:eastAsia="宋体" w:cs="Times New Roman"/>
                <w:sz w:val="24"/>
                <w:szCs w:val="24"/>
              </w:rPr>
              <w:t>12月由区生态环境局牵头核实并更新成员名单，更新结果在区政府官网公示，确保应急联络时效性。</w:t>
            </w:r>
          </w:p>
        </w:tc>
      </w:tr>
    </w:tbl>
    <w:p w14:paraId="11725206">
      <w:pPr>
        <w:pStyle w:val="34"/>
        <w:rPr>
          <w:color w:val="auto"/>
        </w:rPr>
      </w:pPr>
    </w:p>
    <w:p w14:paraId="3D3D3AF1">
      <w:pPr>
        <w:pStyle w:val="34"/>
        <w:rPr>
          <w:color w:val="auto"/>
        </w:rPr>
        <w:sectPr>
          <w:pgSz w:w="11906" w:h="16838"/>
          <w:pgMar w:top="1440" w:right="1134" w:bottom="1440" w:left="1134" w:header="851" w:footer="992" w:gutter="0"/>
          <w:cols w:space="425" w:num="1"/>
          <w:docGrid w:type="lines" w:linePitch="312" w:charSpace="0"/>
        </w:sectPr>
      </w:pPr>
    </w:p>
    <w:p w14:paraId="65DA28BD">
      <w:pPr>
        <w:pStyle w:val="36"/>
      </w:pPr>
      <w:bookmarkStart w:id="182" w:name="_Toc205835070"/>
      <w:bookmarkStart w:id="183" w:name="_Toc205823027"/>
      <w:bookmarkStart w:id="184" w:name="_Toc213413236"/>
      <w:r>
        <w:rPr>
          <w:rFonts w:hint="eastAsia"/>
        </w:rPr>
        <w:t>附件6</w:t>
      </w:r>
      <w:r>
        <w:t xml:space="preserve"> </w:t>
      </w:r>
      <w:r>
        <w:rPr>
          <w:rFonts w:hint="eastAsia"/>
        </w:rPr>
        <w:t>突发环境事件应急措施</w:t>
      </w:r>
      <w:bookmarkEnd w:id="182"/>
      <w:bookmarkEnd w:id="183"/>
      <w:bookmarkEnd w:id="184"/>
    </w:p>
    <w:p w14:paraId="691FD921">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1</w:t>
      </w:r>
      <w:r>
        <w:rPr>
          <w:rFonts w:hint="eastAsia" w:ascii="仿宋" w:hAnsi="仿宋" w:eastAsia="仿宋" w:cstheme="majorBidi"/>
          <w:b/>
          <w:bCs/>
          <w:sz w:val="32"/>
          <w:szCs w:val="28"/>
        </w:rPr>
        <w:t>、易挥发有毒有害气体泄漏挥发事件处置措施</w:t>
      </w:r>
    </w:p>
    <w:p w14:paraId="152D43CA">
      <w:pPr>
        <w:pStyle w:val="34"/>
        <w:rPr>
          <w:color w:val="auto"/>
        </w:rPr>
      </w:pPr>
      <w:r>
        <w:rPr>
          <w:rFonts w:hint="eastAsia"/>
          <w:color w:val="auto"/>
        </w:rPr>
        <w:t>（1）发生有毒有害气体泄漏事件后，事发企业应及时启动企业应急预案，切断泄露源，控制事件的影响范围。</w:t>
      </w:r>
    </w:p>
    <w:p w14:paraId="2E0E2941">
      <w:pPr>
        <w:pStyle w:val="34"/>
        <w:rPr>
          <w:color w:val="auto"/>
        </w:rPr>
      </w:pPr>
      <w:r>
        <w:rPr>
          <w:rFonts w:hint="eastAsia"/>
          <w:color w:val="auto"/>
        </w:rPr>
        <w:t>（2）气体泄漏量较大，可能挥发至企业外环境时，企业立即向应急指挥部办公室汇报发生事件的情况，包括泄漏气体的性质、泄漏量、严重程度、可控能力、影响范围等，</w:t>
      </w:r>
      <w:r>
        <w:rPr>
          <w:color w:val="auto"/>
        </w:rPr>
        <w:t>应急指挥部办公室接收到企业报告的事件情况后</w:t>
      </w:r>
      <w:r>
        <w:rPr>
          <w:rFonts w:hint="eastAsia"/>
          <w:color w:val="auto"/>
        </w:rPr>
        <w:t>立刻上报区应急</w:t>
      </w:r>
      <w:r>
        <w:rPr>
          <w:color w:val="auto"/>
        </w:rPr>
        <w:t>指挥部</w:t>
      </w:r>
      <w:r>
        <w:rPr>
          <w:rFonts w:hint="eastAsia"/>
          <w:color w:val="auto"/>
        </w:rPr>
        <w:t>。</w:t>
      </w:r>
    </w:p>
    <w:p w14:paraId="06191871">
      <w:pPr>
        <w:pStyle w:val="34"/>
        <w:rPr>
          <w:color w:val="auto"/>
        </w:rPr>
      </w:pPr>
      <w:r>
        <w:rPr>
          <w:rFonts w:hint="eastAsia"/>
          <w:color w:val="auto"/>
        </w:rPr>
        <w:t>（3）区应急指挥部根据企业报告情况评估事件等级，根据评估结果进行应急响应，现场指挥部协调各专业处置小组组长指挥各自成员按职责对突发环境事件进行应急处置，并通知专业应急救援队伍支援。在核实现场情况的基础上，向上级汇报突发环境事件的情况，有必要时请求上级政府部门支援。</w:t>
      </w:r>
    </w:p>
    <w:p w14:paraId="3520C2EC">
      <w:pPr>
        <w:pStyle w:val="34"/>
        <w:rPr>
          <w:color w:val="auto"/>
        </w:rPr>
      </w:pPr>
      <w:r>
        <w:rPr>
          <w:rFonts w:hint="eastAsia"/>
          <w:color w:val="auto"/>
        </w:rPr>
        <w:t>（4）专家组根据事件情况、发生地风向风速以及大气稳定度针对泄漏的气体选用合适的预测模型，分析可能受影响的范围和程度。</w:t>
      </w:r>
    </w:p>
    <w:p w14:paraId="17AEBE03">
      <w:pPr>
        <w:pStyle w:val="34"/>
        <w:rPr>
          <w:color w:val="auto"/>
        </w:rPr>
      </w:pPr>
      <w:r>
        <w:rPr>
          <w:rFonts w:hint="eastAsia"/>
          <w:color w:val="auto"/>
        </w:rPr>
        <w:t>（5）根据预测的范围和程度，确定需要疏散的人员和疏散路线。根据污染物的性质，事件类型、可控性、严重程度和影响范围，风向和风速，结合事发企业事业单位的环境应急预案做出应急响应工作。应急处置小组应迅速组织查明泄漏源和泄漏原因，采取措施切断泄漏源，尽量减少泄漏量。</w:t>
      </w:r>
    </w:p>
    <w:p w14:paraId="142F4019">
      <w:pPr>
        <w:pStyle w:val="34"/>
        <w:rPr>
          <w:color w:val="auto"/>
        </w:rPr>
      </w:pPr>
      <w:r>
        <w:rPr>
          <w:rFonts w:hint="eastAsia"/>
          <w:color w:val="auto"/>
        </w:rPr>
        <w:t>（6）根据污染物的类型和泄漏量，采取相应降低污染物危害的措施。利用高压水枪，在向有害物喷射雾状水稀释并覆盖污染物，加速气体向高空扩散；对于可燃物，也可以在现场施放大量水蒸汽或氮气，破坏燃烧条件；对于液体泄漏，为降低物料向大气中的蒸发速度，可用泡沫或其它覆盖物品覆盖外泄的料，在其表面形成覆盖层，抑制其蒸发；对于部分遇湿易挥发的物质，消防人员需佩戴防毒面具、穿全身消防服，在上风向灭火，灭火剂采用干粉、砂土，禁止用二氧化碳和酸碱灭火剂灭火。对于酸性物质的泄漏，用砂士、干燥石灰或苏打灰混合，也可用大量水冲洗，挥发的酸性气体应及时喷洒苏打水处理。</w:t>
      </w:r>
    </w:p>
    <w:p w14:paraId="048BC91B">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2</w:t>
      </w:r>
      <w:r>
        <w:rPr>
          <w:rFonts w:hint="eastAsia" w:ascii="仿宋" w:hAnsi="仿宋" w:eastAsia="仿宋" w:cstheme="majorBidi"/>
          <w:b/>
          <w:bCs/>
          <w:sz w:val="32"/>
          <w:szCs w:val="28"/>
        </w:rPr>
        <w:t>、易燃物质火灾、燃烧、爆炸应急处置措施</w:t>
      </w:r>
    </w:p>
    <w:p w14:paraId="2E3010A4">
      <w:pPr>
        <w:pStyle w:val="34"/>
        <w:rPr>
          <w:color w:val="auto"/>
        </w:rPr>
      </w:pPr>
      <w:r>
        <w:rPr>
          <w:rFonts w:hint="eastAsia"/>
          <w:color w:val="auto"/>
        </w:rPr>
        <w:t>（1）隔离事发地点周围易燃可燃物品控制火势，防止火灾蔓延扩大，周围人员疏散至安全区域。</w:t>
      </w:r>
    </w:p>
    <w:p w14:paraId="535CD1E5">
      <w:pPr>
        <w:pStyle w:val="34"/>
        <w:rPr>
          <w:color w:val="auto"/>
        </w:rPr>
      </w:pPr>
      <w:r>
        <w:rPr>
          <w:rFonts w:hint="eastAsia"/>
          <w:color w:val="auto"/>
        </w:rPr>
        <w:t>（2）应急处置队伍穿戴好防护设备后利用公共区域的消防水带、消防车、灭火器等设施灭火，及时通知当地的消防部门进行灭火。</w:t>
      </w:r>
    </w:p>
    <w:p w14:paraId="1B296FEB">
      <w:pPr>
        <w:pStyle w:val="34"/>
        <w:rPr>
          <w:color w:val="auto"/>
        </w:rPr>
      </w:pPr>
      <w:r>
        <w:rPr>
          <w:rFonts w:hint="eastAsia"/>
          <w:color w:val="auto"/>
        </w:rPr>
        <w:t>（3）就近利用企业的污水处理设施对消防废水进行处理，或利用槽罐车将消防废水运至其他污水处理设施处理达标后外排，将火灾过程中产生的沉渣进行清运无害化处理。</w:t>
      </w:r>
    </w:p>
    <w:p w14:paraId="00DC693A">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3</w:t>
      </w:r>
      <w:r>
        <w:rPr>
          <w:rFonts w:hint="eastAsia" w:ascii="仿宋" w:hAnsi="仿宋" w:eastAsia="仿宋" w:cstheme="majorBidi"/>
          <w:b/>
          <w:bCs/>
          <w:sz w:val="32"/>
          <w:szCs w:val="28"/>
        </w:rPr>
        <w:t>、水污染事件应急处置措施</w:t>
      </w:r>
    </w:p>
    <w:p w14:paraId="2C80106E">
      <w:pPr>
        <w:pStyle w:val="34"/>
        <w:rPr>
          <w:color w:val="auto"/>
        </w:rPr>
      </w:pPr>
      <w:r>
        <w:rPr>
          <w:rFonts w:hint="eastAsia"/>
          <w:color w:val="auto"/>
        </w:rPr>
        <w:t>（1）应急处置人员第一时间切断突发环境事件产生污染物的污染源，尽可能减少物料流失，并对废水排放口、雨水排口进行封堵，必要时事发企业应紧急停产。</w:t>
      </w:r>
    </w:p>
    <w:p w14:paraId="33D05645">
      <w:pPr>
        <w:pStyle w:val="34"/>
        <w:rPr>
          <w:color w:val="auto"/>
        </w:rPr>
      </w:pPr>
      <w:r>
        <w:rPr>
          <w:rFonts w:hint="eastAsia"/>
          <w:color w:val="auto"/>
        </w:rPr>
        <w:t>（2）现场指挥部协调各专业处置小组组长指挥各自成员按职责对突发环境事件进行应急处置。根据事发地点地形地貌、泄露物料的理化性质，依据污染扩散模型，确定合理警戒区域，划定紧急隔离带。</w:t>
      </w:r>
    </w:p>
    <w:p w14:paraId="750E837B">
      <w:pPr>
        <w:pStyle w:val="34"/>
        <w:rPr>
          <w:color w:val="auto"/>
        </w:rPr>
      </w:pPr>
      <w:r>
        <w:rPr>
          <w:rFonts w:hint="eastAsia"/>
          <w:color w:val="auto"/>
        </w:rPr>
        <w:t>（3）根据泄漏污染物的去向，在污水流经途径的关键节点位置用沙包封堵，尽可能将泄漏的污染物拦截在地面上，减少污染物进入地表水的量。</w:t>
      </w:r>
    </w:p>
    <w:p w14:paraId="76BFECA0">
      <w:pPr>
        <w:pStyle w:val="34"/>
        <w:rPr>
          <w:color w:val="auto"/>
        </w:rPr>
      </w:pPr>
      <w:r>
        <w:rPr>
          <w:rFonts w:hint="eastAsia"/>
          <w:color w:val="auto"/>
        </w:rPr>
        <w:t>（4）若污染物通过管网或地面漫流进入区域地表水系统，在下游水体中采取筑坝的方式拦截受污染的河水，以减少污染物扩散范围，减轻对水体的污染。</w:t>
      </w:r>
    </w:p>
    <w:p w14:paraId="08459A38">
      <w:pPr>
        <w:pStyle w:val="34"/>
        <w:rPr>
          <w:color w:val="auto"/>
        </w:rPr>
      </w:pPr>
      <w:r>
        <w:rPr>
          <w:rFonts w:hint="eastAsia"/>
          <w:color w:val="auto"/>
        </w:rPr>
        <w:t>（</w:t>
      </w:r>
      <w:r>
        <w:rPr>
          <w:color w:val="auto"/>
        </w:rPr>
        <w:t>5</w:t>
      </w:r>
      <w:r>
        <w:rPr>
          <w:rFonts w:hint="eastAsia"/>
          <w:color w:val="auto"/>
        </w:rPr>
        <w:t>）若饮用水水源被污染，应全面启动水源地防控措施，加密监测点和频次，采取隔离污水、治理污染、调水稀释、停止供水、启用备用水源等方法尽快消除污染威胁。同时与上下游水厂联系人取得联系，启动水厂应急预案，并通知相关居民停止取水、用水。通知下游供水企业停水或采取保护措施。</w:t>
      </w:r>
    </w:p>
    <w:p w14:paraId="499A3C87">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4</w:t>
      </w:r>
      <w:r>
        <w:rPr>
          <w:rFonts w:hint="eastAsia" w:ascii="仿宋" w:hAnsi="仿宋" w:eastAsia="仿宋" w:cstheme="majorBidi"/>
          <w:b/>
          <w:bCs/>
          <w:sz w:val="32"/>
          <w:szCs w:val="28"/>
        </w:rPr>
        <w:t>、公路</w:t>
      </w:r>
      <w:r>
        <w:rPr>
          <w:rFonts w:ascii="仿宋" w:hAnsi="仿宋" w:eastAsia="仿宋" w:cstheme="majorBidi"/>
          <w:b/>
          <w:bCs/>
          <w:sz w:val="32"/>
          <w:szCs w:val="28"/>
        </w:rPr>
        <w:t>运输突发环境事件</w:t>
      </w:r>
      <w:r>
        <w:rPr>
          <w:rFonts w:hint="eastAsia" w:ascii="仿宋" w:hAnsi="仿宋" w:eastAsia="仿宋" w:cstheme="majorBidi"/>
          <w:b/>
          <w:bCs/>
          <w:sz w:val="32"/>
          <w:szCs w:val="28"/>
        </w:rPr>
        <w:t>应急</w:t>
      </w:r>
      <w:r>
        <w:rPr>
          <w:rFonts w:ascii="仿宋" w:hAnsi="仿宋" w:eastAsia="仿宋" w:cstheme="majorBidi"/>
          <w:b/>
          <w:bCs/>
          <w:sz w:val="32"/>
          <w:szCs w:val="28"/>
        </w:rPr>
        <w:t>处置措施</w:t>
      </w:r>
    </w:p>
    <w:p w14:paraId="595510A9">
      <w:pPr>
        <w:pStyle w:val="34"/>
        <w:rPr>
          <w:color w:val="auto"/>
        </w:rPr>
      </w:pPr>
      <w:r>
        <w:rPr>
          <w:rFonts w:hint="eastAsia"/>
          <w:color w:val="auto"/>
        </w:rPr>
        <w:t>1、风险物质泄漏现场应急处置措施</w:t>
      </w:r>
    </w:p>
    <w:p w14:paraId="41268D5D">
      <w:pPr>
        <w:pStyle w:val="34"/>
        <w:rPr>
          <w:color w:val="auto"/>
        </w:rPr>
      </w:pPr>
      <w:r>
        <w:rPr>
          <w:rFonts w:hint="eastAsia"/>
          <w:color w:val="auto"/>
        </w:rPr>
        <w:t>（1）确认发生风险物质泄漏事件后，根据泄漏风险物质性质、事故点地形地貌、气象条件，依据污染扩散模型，确定合理警戒区域，划定紧急隔离带。防止无关人员进入事发区域，实行交通管制。</w:t>
      </w:r>
    </w:p>
    <w:p w14:paraId="56FEA0F4">
      <w:pPr>
        <w:pStyle w:val="34"/>
        <w:rPr>
          <w:color w:val="auto"/>
        </w:rPr>
      </w:pPr>
      <w:r>
        <w:rPr>
          <w:rFonts w:hint="eastAsia"/>
          <w:color w:val="auto"/>
        </w:rPr>
        <w:t>（2）现场应急处理人员根据泄漏情况采取适当的切断泄漏源的措施，若为运输车辆侧翻导致的泄漏，应利用吊车将运输车辆扶正后采用木楔、外封式堵漏袋等方式进行堵漏。</w:t>
      </w:r>
    </w:p>
    <w:p w14:paraId="6476F395">
      <w:pPr>
        <w:pStyle w:val="34"/>
        <w:rPr>
          <w:color w:val="auto"/>
        </w:rPr>
      </w:pPr>
      <w:r>
        <w:rPr>
          <w:rFonts w:hint="eastAsia"/>
          <w:color w:val="auto"/>
        </w:rPr>
        <w:t>（3）根据查明泄漏污染物的去向，对污水流经途径的关键节点位置进行截断，用沙包封堵污染物进入雨水系统周围的沟渠或雨水井，尽可能将污染物限制在事发地点附近低洼处或雨水管网内，防止或减少污染物进入地表水的量。</w:t>
      </w:r>
    </w:p>
    <w:p w14:paraId="3724610B">
      <w:pPr>
        <w:pStyle w:val="34"/>
        <w:rPr>
          <w:color w:val="auto"/>
        </w:rPr>
      </w:pPr>
      <w:r>
        <w:rPr>
          <w:rFonts w:hint="eastAsia"/>
          <w:color w:val="auto"/>
        </w:rPr>
        <w:t>（4）环境风险物质及消防废水流入雨水管网，根据雨水分区情况和雨水进入区域地表水系统排放口分布情况，用沙袋堵住雨水进入区域地表水系统排放口，对污染物进行拦截。</w:t>
      </w:r>
    </w:p>
    <w:p w14:paraId="742BAA9D">
      <w:pPr>
        <w:pStyle w:val="34"/>
        <w:rPr>
          <w:color w:val="auto"/>
        </w:rPr>
      </w:pPr>
      <w:r>
        <w:rPr>
          <w:rFonts w:hint="eastAsia"/>
          <w:color w:val="auto"/>
        </w:rPr>
        <w:t>对截留在雨水系统的污染物进行应急处置，必要时利用槽罐车将污水送至污水处理厂或有处理资质的单位处理。</w:t>
      </w:r>
    </w:p>
    <w:p w14:paraId="48C15E43">
      <w:pPr>
        <w:pStyle w:val="34"/>
        <w:rPr>
          <w:color w:val="auto"/>
        </w:rPr>
      </w:pPr>
      <w:r>
        <w:rPr>
          <w:rFonts w:hint="eastAsia"/>
          <w:color w:val="auto"/>
        </w:rPr>
        <w:t>（5）如污染物进入市政污水管网系统，则通知污水处理厂，调整各污水处理厂工艺运行参数和药剂投加量，直到调整系统运行出水达标。</w:t>
      </w:r>
    </w:p>
    <w:p w14:paraId="20DD37B0">
      <w:pPr>
        <w:pStyle w:val="34"/>
        <w:rPr>
          <w:color w:val="auto"/>
        </w:rPr>
      </w:pPr>
      <w:r>
        <w:rPr>
          <w:rFonts w:hint="eastAsia"/>
          <w:color w:val="auto"/>
        </w:rPr>
        <w:t>2、火灾爆炸现场应急处置措施</w:t>
      </w:r>
    </w:p>
    <w:p w14:paraId="06565EE6">
      <w:pPr>
        <w:pStyle w:val="34"/>
        <w:rPr>
          <w:color w:val="auto"/>
        </w:rPr>
      </w:pPr>
      <w:r>
        <w:rPr>
          <w:rFonts w:hint="eastAsia"/>
          <w:color w:val="auto"/>
        </w:rPr>
        <w:t>确认发生火灾爆炸事件后，在事发点附近区域设立警戒区，防止无关人员进入事发区域；现场指挥部通知各应急处置</w:t>
      </w:r>
      <w:r>
        <w:rPr>
          <w:color w:val="auto"/>
        </w:rPr>
        <w:t>队伍</w:t>
      </w:r>
      <w:r>
        <w:rPr>
          <w:rFonts w:hint="eastAsia"/>
          <w:color w:val="auto"/>
        </w:rPr>
        <w:t>快速集结投入灭火行动，若事故现场继续蔓延扩大，按应急指挥人员要求，通知当地消防部门进行灭火，并派人接应支援。</w:t>
      </w:r>
    </w:p>
    <w:p w14:paraId="777C90D3">
      <w:pPr>
        <w:pStyle w:val="34"/>
        <w:rPr>
          <w:color w:val="auto"/>
        </w:rPr>
      </w:pPr>
      <w:r>
        <w:rPr>
          <w:rFonts w:hint="eastAsia"/>
          <w:color w:val="auto"/>
        </w:rPr>
        <w:t>消防部门及时到达时，根据消防部门专业人员的指示和安排，企业有关</w:t>
      </w:r>
      <w:r>
        <w:rPr>
          <w:color w:val="auto"/>
        </w:rPr>
        <w:t>人员</w:t>
      </w:r>
      <w:r>
        <w:rPr>
          <w:rFonts w:hint="eastAsia"/>
          <w:color w:val="auto"/>
        </w:rPr>
        <w:t>配合开展灭火或污染防治行动，救援人员应佩戴正压式呼吸器，开展应急灭火行动。</w:t>
      </w:r>
    </w:p>
    <w:p w14:paraId="2FE317BE">
      <w:pPr>
        <w:pStyle w:val="34"/>
        <w:rPr>
          <w:color w:val="auto"/>
        </w:rPr>
      </w:pPr>
      <w:r>
        <w:rPr>
          <w:rFonts w:hint="eastAsia"/>
          <w:color w:val="auto"/>
        </w:rPr>
        <w:t>根据事故发生地地形地势，判断消防废水流动方向，将消防废水引至附近较低洼地带，待事后抽走处置。</w:t>
      </w:r>
    </w:p>
    <w:p w14:paraId="706FB208">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5</w:t>
      </w:r>
      <w:r>
        <w:rPr>
          <w:rFonts w:hint="eastAsia" w:ascii="仿宋" w:hAnsi="仿宋" w:eastAsia="仿宋" w:cstheme="majorBidi"/>
          <w:b/>
          <w:bCs/>
          <w:sz w:val="32"/>
          <w:szCs w:val="28"/>
        </w:rPr>
        <w:t>、饮用水水源地突发</w:t>
      </w:r>
      <w:r>
        <w:rPr>
          <w:rFonts w:ascii="仿宋" w:hAnsi="仿宋" w:eastAsia="仿宋" w:cstheme="majorBidi"/>
          <w:b/>
          <w:bCs/>
          <w:sz w:val="32"/>
          <w:szCs w:val="28"/>
        </w:rPr>
        <w:t>环境事件应急处置措施</w:t>
      </w:r>
    </w:p>
    <w:p w14:paraId="6457D0EE">
      <w:pPr>
        <w:pStyle w:val="34"/>
        <w:rPr>
          <w:color w:val="auto"/>
        </w:rPr>
      </w:pPr>
      <w:r>
        <w:rPr>
          <w:rFonts w:hint="eastAsia"/>
          <w:color w:val="auto"/>
        </w:rPr>
        <w:t>饮用水</w:t>
      </w:r>
      <w:r>
        <w:rPr>
          <w:color w:val="auto"/>
        </w:rPr>
        <w:t>水源地突发环境事件</w:t>
      </w:r>
      <w:r>
        <w:rPr>
          <w:rFonts w:hint="eastAsia"/>
          <w:color w:val="auto"/>
        </w:rPr>
        <w:t>指饮用水水源地因固定源、流动源、非点源以及水华灾害等事件情景所导致的水源地突发环境事件的预防、预警、控制和应急处置。具体</w:t>
      </w:r>
      <w:r>
        <w:rPr>
          <w:color w:val="auto"/>
        </w:rPr>
        <w:t>包括：</w:t>
      </w:r>
    </w:p>
    <w:p w14:paraId="05EE8A87">
      <w:pPr>
        <w:pStyle w:val="34"/>
        <w:rPr>
          <w:color w:val="auto"/>
        </w:rPr>
      </w:pPr>
      <w:r>
        <w:rPr>
          <w:rFonts w:hint="eastAsia"/>
          <w:color w:val="auto"/>
        </w:rPr>
        <w:t>（1）固定源突发环境事件：可能发生突发环境事件的排放污染物企业事业单位，生产、储存、运输、使用危险化学品的企业，产生、收集、贮存、运输、利用、处置危险废物的企业，以及尾矿库等固定源，因自然灾害、生产安全事故、违法排污等原因，导致水源地风险物质直接或间接排入水源保护区或其上游连接水体，造成水质污染的事件。</w:t>
      </w:r>
    </w:p>
    <w:p w14:paraId="2B9339B5">
      <w:pPr>
        <w:pStyle w:val="34"/>
        <w:rPr>
          <w:color w:val="auto"/>
        </w:rPr>
      </w:pPr>
      <w:r>
        <w:rPr>
          <w:rFonts w:hint="eastAsia"/>
          <w:color w:val="auto"/>
        </w:rPr>
        <w:t>（2）流动源突发环境事件：在公路或水路运输过程中，由于交通事故等原因，导致油品、化学品或其他有毒有害物质进入水源保护区或其上游连接水体，造成水质污染的事件。</w:t>
      </w:r>
    </w:p>
    <w:p w14:paraId="0DC87286">
      <w:pPr>
        <w:pStyle w:val="34"/>
        <w:rPr>
          <w:color w:val="auto"/>
        </w:rPr>
      </w:pPr>
      <w:r>
        <w:rPr>
          <w:rFonts w:hint="eastAsia"/>
          <w:color w:val="auto"/>
        </w:rPr>
        <w:t>（3）非点源突发环境事件：主要包括以下两种情形：一是暴雨冲刷畜禽养殖废物、农田或果园土壤，导致大量细菌、农药、化肥等随地表或地下径流进入水源保护区或其上游连接水体，造成水质污染的事件；二是闸坝调控等原因，导致坝前污水短期内集中排放造成水源保护区或其上游连接水体水质污染的事件。</w:t>
      </w:r>
    </w:p>
    <w:p w14:paraId="49DB019F">
      <w:pPr>
        <w:pStyle w:val="34"/>
        <w:rPr>
          <w:color w:val="auto"/>
        </w:rPr>
      </w:pPr>
      <w:r>
        <w:rPr>
          <w:rFonts w:hint="eastAsia"/>
          <w:color w:val="auto"/>
        </w:rPr>
        <w:t>（4）水华灾害环境事件：封闭型或半封闭型的水域（湖泊、水库）在营养条件、水动力条件、光热条件等适宜情况下，浮游藻类大量繁殖并聚集，使得水体色度发生变化、水体溶氧降低、藻类厌氧分解产生异味或毒性物质，导致水华灾害的事件。</w:t>
      </w:r>
    </w:p>
    <w:p w14:paraId="39D9ED41">
      <w:pPr>
        <w:pStyle w:val="34"/>
        <w:rPr>
          <w:color w:val="auto"/>
        </w:rPr>
      </w:pPr>
      <w:r>
        <w:rPr>
          <w:rFonts w:hint="eastAsia"/>
          <w:color w:val="auto"/>
        </w:rPr>
        <w:t>（5）其它突发事件：因自然（如干旱、洪水、泥石流、季节性断流等）和人为破坏因素（如蓄意投毒等）造成饮用水源污染，不能满足正常供水需求的突发性环境事件。</w:t>
      </w:r>
    </w:p>
    <w:p w14:paraId="208A0CA8">
      <w:pPr>
        <w:pStyle w:val="34"/>
        <w:rPr>
          <w:color w:val="auto"/>
        </w:rPr>
      </w:pPr>
      <w:r>
        <w:rPr>
          <w:rFonts w:hint="eastAsia"/>
          <w:color w:val="auto"/>
        </w:rPr>
        <w:t>当饮用水</w:t>
      </w:r>
      <w:r>
        <w:rPr>
          <w:color w:val="auto"/>
        </w:rPr>
        <w:t>水源地突发环境事件发生时，</w:t>
      </w:r>
      <w:r>
        <w:rPr>
          <w:rFonts w:hint="eastAsia"/>
          <w:color w:val="auto"/>
        </w:rPr>
        <w:t>有关</w:t>
      </w:r>
      <w:r>
        <w:rPr>
          <w:color w:val="auto"/>
        </w:rPr>
        <w:t>部门</w:t>
      </w:r>
      <w:r>
        <w:rPr>
          <w:rFonts w:hint="eastAsia"/>
          <w:color w:val="auto"/>
        </w:rPr>
        <w:t>应及时、主动、有效地进行先期处置，果断切断污染源，防止污染蔓延，减轻或者消除污染危害，全力控制事态。不明污染源头的，各相关职能部门要立即开展污染来源排查，通过特征污染物筛查、风险源现场调查、重点监测、逆向溯源等方式，尽快确定污染来源，责任单位立即采取风险防范措施；通报可能受到污染危害的单位和居民，并及时报告事件和有关先期处置情况。各应急</w:t>
      </w:r>
      <w:r>
        <w:rPr>
          <w:color w:val="auto"/>
        </w:rPr>
        <w:t>处置队伍</w:t>
      </w:r>
      <w:r>
        <w:rPr>
          <w:rFonts w:hint="eastAsia"/>
          <w:color w:val="auto"/>
        </w:rPr>
        <w:t>按照以下</w:t>
      </w:r>
      <w:r>
        <w:rPr>
          <w:color w:val="auto"/>
        </w:rPr>
        <w:t>要求开展先期处置：</w:t>
      </w:r>
    </w:p>
    <w:p w14:paraId="4C19CFA3">
      <w:pPr>
        <w:pStyle w:val="34"/>
        <w:rPr>
          <w:color w:val="auto"/>
        </w:rPr>
      </w:pPr>
      <w:r>
        <w:rPr>
          <w:rFonts w:hint="eastAsia"/>
          <w:color w:val="auto"/>
        </w:rPr>
        <w:t>（1）污染</w:t>
      </w:r>
      <w:r>
        <w:rPr>
          <w:color w:val="auto"/>
        </w:rPr>
        <w:t>处置组</w:t>
      </w:r>
      <w:r>
        <w:rPr>
          <w:rFonts w:hint="eastAsia"/>
          <w:color w:val="auto"/>
        </w:rPr>
        <w:t>查明基本情况（污染物种类、数量、泄漏源头、扩散范围、主要危害等），在确保自身安全的情况下，可选择采取隔离、堵漏、转移、吸附围拦、打捞、扰动、氧化、沉淀、投加菌群、消毒、引流等方法进行处置，在最短时间内完成污染物的削减工作，降低污染物浓度和影响程度。全面监控并妥善处置治污载体，防止发生二次污染。</w:t>
      </w:r>
    </w:p>
    <w:p w14:paraId="7AE5F419">
      <w:pPr>
        <w:pStyle w:val="34"/>
        <w:rPr>
          <w:color w:val="auto"/>
        </w:rPr>
      </w:pPr>
      <w:r>
        <w:rPr>
          <w:rFonts w:hint="eastAsia"/>
          <w:color w:val="auto"/>
        </w:rPr>
        <w:t>（2）应急监测</w:t>
      </w:r>
      <w:r>
        <w:rPr>
          <w:color w:val="auto"/>
        </w:rPr>
        <w:t>组</w:t>
      </w:r>
      <w:r>
        <w:rPr>
          <w:rFonts w:hint="eastAsia"/>
          <w:color w:val="auto"/>
        </w:rPr>
        <w:t>开展应急现场监测工作，根据泄漏和扩散情况以及发展态势，并综合考虑溪流、沟渠分布，判断扩散方向和速度，在各关键控制点开展水质、土壤、大气采样监测，跟踪水质变化情况，作为应急指挥部决策的重要依据。根据监测数据和现场调查，向应急指挥部建议设立污染警戒区域（划定禁止取水区域或居住区域），并根据指挥部的指示向社会发布。</w:t>
      </w:r>
    </w:p>
    <w:p w14:paraId="60D1833F">
      <w:pPr>
        <w:pStyle w:val="34"/>
        <w:rPr>
          <w:color w:val="auto"/>
        </w:rPr>
      </w:pPr>
      <w:r>
        <w:rPr>
          <w:rFonts w:hint="eastAsia"/>
          <w:color w:val="auto"/>
        </w:rPr>
        <w:t>（3）污染</w:t>
      </w:r>
      <w:r>
        <w:rPr>
          <w:color w:val="auto"/>
        </w:rPr>
        <w:t>处置组</w:t>
      </w:r>
      <w:r>
        <w:rPr>
          <w:rFonts w:hint="eastAsia"/>
          <w:color w:val="auto"/>
        </w:rPr>
        <w:t>实施交通管制、疏散人群、保护高危人群等措施，保护公众生命安全与身体健康。若为化学品车辆泄漏事故，应迅速处置事故车辆，组织人员疏散，在事故现场划定隔离区域，并设立警戒线，防止无关人员及车辆进入。同时在水库或溪流的污染区岸边设置警示标志，防止附近村民误饮污染水和捞食死鱼、动物死尸。</w:t>
      </w:r>
    </w:p>
    <w:p w14:paraId="6322E05E">
      <w:pPr>
        <w:pStyle w:val="34"/>
        <w:rPr>
          <w:color w:val="auto"/>
        </w:rPr>
      </w:pPr>
      <w:r>
        <w:rPr>
          <w:rFonts w:hint="eastAsia"/>
          <w:color w:val="auto"/>
        </w:rPr>
        <w:t>（4）污染处置</w:t>
      </w:r>
      <w:r>
        <w:rPr>
          <w:color w:val="auto"/>
        </w:rPr>
        <w:t>组</w:t>
      </w:r>
      <w:r>
        <w:rPr>
          <w:rFonts w:hint="eastAsia"/>
          <w:color w:val="auto"/>
        </w:rPr>
        <w:t>根据应急监测组反馈的信息和应急指挥部发布的指令，随时准备执行开放闸作业，控制污染水外流。如取水口水质受到污染，应急指挥部应及时通知取水单位采取应急措施，采取吸附、消毒、过滤消除等深度处理净化水质，停水、减压供水、改路供水，启用备用水源等应急处置措施，保障下游居民饮用水的安全。</w:t>
      </w:r>
    </w:p>
    <w:p w14:paraId="78193AD0">
      <w:pPr>
        <w:pStyle w:val="34"/>
        <w:rPr>
          <w:color w:val="auto"/>
        </w:rPr>
      </w:pPr>
      <w:r>
        <w:rPr>
          <w:rFonts w:hint="eastAsia"/>
          <w:color w:val="auto"/>
        </w:rPr>
        <w:t>（5）医学</w:t>
      </w:r>
      <w:r>
        <w:rPr>
          <w:color w:val="auto"/>
        </w:rPr>
        <w:t>救援组</w:t>
      </w:r>
      <w:r>
        <w:rPr>
          <w:rFonts w:hint="eastAsia"/>
          <w:color w:val="auto"/>
        </w:rPr>
        <w:t>到达后首先查明有无受伤或中毒人员，并对伤员进行现场紧急救护，对伤势较重者送到就近医院抢救，同时密切关注整个事件处置过程中现场人员出现的不良反应，一旦发现及时检查医治。</w:t>
      </w:r>
    </w:p>
    <w:p w14:paraId="4B1E081B">
      <w:pPr>
        <w:pStyle w:val="34"/>
        <w:rPr>
          <w:color w:val="auto"/>
        </w:rPr>
      </w:pPr>
      <w:r>
        <w:rPr>
          <w:rFonts w:hint="eastAsia"/>
          <w:color w:val="auto"/>
        </w:rPr>
        <w:t>（6）应急</w:t>
      </w:r>
      <w:r>
        <w:rPr>
          <w:color w:val="auto"/>
        </w:rPr>
        <w:t>保障组</w:t>
      </w:r>
      <w:r>
        <w:rPr>
          <w:rFonts w:hint="eastAsia"/>
          <w:color w:val="auto"/>
        </w:rPr>
        <w:t>及</w:t>
      </w:r>
      <w:r>
        <w:rPr>
          <w:color w:val="auto"/>
        </w:rPr>
        <w:t>社会稳定组</w:t>
      </w:r>
      <w:r>
        <w:rPr>
          <w:rFonts w:hint="eastAsia"/>
          <w:color w:val="auto"/>
        </w:rPr>
        <w:t>根据事态发展和应急指挥部要求，负责对自来水供应进行科学合理调度，对全区的桶装水、矿泉水、纯净水和备用水源进行统一调配，停止建筑、洗车、绿化、娱乐、洗浴等行业用水，限制直至关闭工业用水，优先保证居民生活及主要公共场所设施用水，并合理调配洒水车、消防车等车辆为居民送水；对取用井水等自备水源单位的供水，加强水质监测，确保饮用水安全；商务、市监等部门积极组织瓶装水的生产和供应，物价、市场管理等部门加强市场监管、稳定物价，避免引起群众的恐慌。</w:t>
      </w:r>
    </w:p>
    <w:p w14:paraId="1FCBD1BE">
      <w:pPr>
        <w:pStyle w:val="34"/>
        <w:rPr>
          <w:color w:val="auto"/>
        </w:rPr>
      </w:pPr>
      <w:r>
        <w:rPr>
          <w:rFonts w:hint="eastAsia"/>
          <w:color w:val="auto"/>
        </w:rPr>
        <w:t>（7）新闻</w:t>
      </w:r>
      <w:r>
        <w:rPr>
          <w:color w:val="auto"/>
        </w:rPr>
        <w:t>宣传组</w:t>
      </w:r>
      <w:r>
        <w:rPr>
          <w:rFonts w:hint="eastAsia"/>
          <w:color w:val="auto"/>
        </w:rPr>
        <w:t>根据应急指挥部的意见向社会发布污染水源和应急处置进展情况，并作社会动员，防止恐慌，必要时通过各种媒体通知单位和居民及时做好应急储水工作，开展节水知识宣传。当有不良舆情扩散传播时，要及时发布正面宣传报道，安抚群众恐慌心理。在让社会知晓突发事件的情况下，联合公安等部门对散布网络不利舆情事件进行立案调查，对别有用心扰乱社会秩序的不法分子进行处罚，控制网络不利舆情扩散传播，维护社会稳定。</w:t>
      </w:r>
    </w:p>
    <w:p w14:paraId="0160BA0F">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6</w:t>
      </w:r>
      <w:r>
        <w:rPr>
          <w:rFonts w:hint="eastAsia" w:ascii="仿宋" w:hAnsi="仿宋" w:eastAsia="仿宋" w:cstheme="majorBidi"/>
          <w:b/>
          <w:bCs/>
          <w:sz w:val="32"/>
          <w:szCs w:val="28"/>
        </w:rPr>
        <w:t>、污水</w:t>
      </w:r>
      <w:r>
        <w:rPr>
          <w:rFonts w:ascii="仿宋" w:hAnsi="仿宋" w:eastAsia="仿宋" w:cstheme="majorBidi"/>
          <w:b/>
          <w:bCs/>
          <w:sz w:val="32"/>
          <w:szCs w:val="28"/>
        </w:rPr>
        <w:t>处理厂</w:t>
      </w:r>
      <w:r>
        <w:rPr>
          <w:rFonts w:hint="eastAsia" w:ascii="仿宋" w:hAnsi="仿宋" w:eastAsia="仿宋" w:cstheme="majorBidi"/>
          <w:b/>
          <w:bCs/>
          <w:sz w:val="32"/>
          <w:szCs w:val="28"/>
        </w:rPr>
        <w:t>事故</w:t>
      </w:r>
      <w:r>
        <w:rPr>
          <w:rFonts w:ascii="仿宋" w:hAnsi="仿宋" w:eastAsia="仿宋" w:cstheme="majorBidi"/>
          <w:b/>
          <w:bCs/>
          <w:sz w:val="32"/>
          <w:szCs w:val="28"/>
        </w:rPr>
        <w:t>应急处置措施</w:t>
      </w:r>
    </w:p>
    <w:p w14:paraId="5EEAA7AC">
      <w:pPr>
        <w:pStyle w:val="34"/>
        <w:rPr>
          <w:color w:val="auto"/>
        </w:rPr>
      </w:pPr>
      <w:r>
        <w:rPr>
          <w:rFonts w:hint="eastAsia"/>
          <w:color w:val="auto"/>
        </w:rPr>
        <w:t>污水处理厂事故主要包含出水水质超标和进水水量超量，针对水质超标和水量超量采取以下措施：</w:t>
      </w:r>
    </w:p>
    <w:p w14:paraId="7039890B">
      <w:pPr>
        <w:pStyle w:val="34"/>
        <w:rPr>
          <w:color w:val="auto"/>
        </w:rPr>
      </w:pPr>
      <w:r>
        <w:rPr>
          <w:rFonts w:hint="eastAsia"/>
          <w:color w:val="auto"/>
        </w:rPr>
        <w:t>（1）切断污染源，控制污染物扩散</w:t>
      </w:r>
    </w:p>
    <w:p w14:paraId="00B37F06">
      <w:pPr>
        <w:pStyle w:val="34"/>
        <w:rPr>
          <w:color w:val="auto"/>
        </w:rPr>
      </w:pPr>
      <w:r>
        <w:rPr>
          <w:rFonts w:hint="eastAsia"/>
          <w:color w:val="auto"/>
        </w:rPr>
        <w:t>立即关闭污水处理厂排污口，停止废水事故排放，利用调节池对来水进行暂时收容，并通知上游排污企业加强废水监控和应急收容，减少污水处理厂来水量，通知各</w:t>
      </w:r>
      <w:r>
        <w:rPr>
          <w:color w:val="auto"/>
        </w:rPr>
        <w:t>中水用户</w:t>
      </w:r>
      <w:r>
        <w:rPr>
          <w:rFonts w:hint="eastAsia"/>
          <w:color w:val="auto"/>
        </w:rPr>
        <w:t>暂停取水。</w:t>
      </w:r>
    </w:p>
    <w:p w14:paraId="5DD22F1F">
      <w:pPr>
        <w:pStyle w:val="34"/>
        <w:rPr>
          <w:color w:val="auto"/>
        </w:rPr>
      </w:pPr>
      <w:r>
        <w:rPr>
          <w:rFonts w:hint="eastAsia"/>
          <w:color w:val="auto"/>
        </w:rPr>
        <w:t>（2）切断扩散途径、污染物的收集、污染物的处理</w:t>
      </w:r>
    </w:p>
    <w:p w14:paraId="0883F0A8">
      <w:pPr>
        <w:pStyle w:val="34"/>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立即联系运营公司和专业维修单位对故障设施进行修理修复。</w:t>
      </w:r>
    </w:p>
    <w:p w14:paraId="4907CCD2">
      <w:pPr>
        <w:pStyle w:val="34"/>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在排污口、排污口下游100m及下游1km等设置若干活性炭过滤坝（活性炭过滤坝可根据实际情况酌情增加），向排污口下游投加适量石灰和硫化钠，对废水</w:t>
      </w:r>
      <w:r>
        <w:rPr>
          <w:color w:val="auto"/>
        </w:rPr>
        <w:t>中的重金属污染物进行处理</w:t>
      </w:r>
      <w:r>
        <w:rPr>
          <w:rFonts w:hint="eastAsia"/>
          <w:color w:val="auto"/>
        </w:rPr>
        <w:t>；必要时周边湖泊、上游河流开闸放水、稀释排污口水质。</w:t>
      </w:r>
    </w:p>
    <w:p w14:paraId="5D6FD912">
      <w:pPr>
        <w:pStyle w:val="34"/>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rPr>
        <w:t>根据现场应急监测结果，如有必要时候委托有资质的环境修复单位对下游受污染的底泥进行清淤修复。</w:t>
      </w:r>
    </w:p>
    <w:p w14:paraId="6A3CF77B">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7</w:t>
      </w:r>
      <w:r>
        <w:rPr>
          <w:rFonts w:hint="eastAsia" w:ascii="仿宋" w:hAnsi="仿宋" w:eastAsia="仿宋" w:cstheme="majorBidi"/>
          <w:b/>
          <w:bCs/>
          <w:sz w:val="32"/>
          <w:szCs w:val="28"/>
        </w:rPr>
        <w:t>、固废未妥善处理引发的次生污染突发环境风险应急处置措施</w:t>
      </w:r>
    </w:p>
    <w:p w14:paraId="447CD020">
      <w:pPr>
        <w:pStyle w:val="34"/>
        <w:rPr>
          <w:color w:val="auto"/>
        </w:rPr>
      </w:pPr>
      <w:r>
        <w:rPr>
          <w:rFonts w:hint="eastAsia"/>
          <w:color w:val="auto"/>
        </w:rPr>
        <w:t>（1）对固废和污染的土壤进行清理，集中后送资质单位处理；</w:t>
      </w:r>
    </w:p>
    <w:p w14:paraId="3859FC34">
      <w:pPr>
        <w:pStyle w:val="34"/>
        <w:rPr>
          <w:color w:val="auto"/>
        </w:rPr>
      </w:pPr>
      <w:r>
        <w:rPr>
          <w:rFonts w:hint="eastAsia"/>
          <w:color w:val="auto"/>
        </w:rPr>
        <w:t>（2）对于固废运输、装卸、储存未妥善处理导致污染物进入雨水系统和地表水体的突发</w:t>
      </w:r>
      <w:r>
        <w:rPr>
          <w:color w:val="auto"/>
        </w:rPr>
        <w:t>环境事件</w:t>
      </w:r>
      <w:r>
        <w:rPr>
          <w:rFonts w:hint="eastAsia"/>
          <w:color w:val="auto"/>
        </w:rPr>
        <w:t>应急处置，按水</w:t>
      </w:r>
      <w:r>
        <w:rPr>
          <w:color w:val="auto"/>
        </w:rPr>
        <w:t>污染事件</w:t>
      </w:r>
      <w:r>
        <w:rPr>
          <w:rFonts w:hint="eastAsia"/>
          <w:color w:val="auto"/>
        </w:rPr>
        <w:t>应急处置要求进行。</w:t>
      </w:r>
    </w:p>
    <w:p w14:paraId="6A882198">
      <w:pPr>
        <w:keepNext/>
        <w:keepLines/>
        <w:spacing w:line="560" w:lineRule="exact"/>
        <w:outlineLvl w:val="3"/>
        <w:rPr>
          <w:rFonts w:ascii="仿宋" w:hAnsi="仿宋" w:eastAsia="仿宋" w:cstheme="majorBidi"/>
          <w:b/>
          <w:bCs/>
          <w:sz w:val="32"/>
          <w:szCs w:val="28"/>
        </w:rPr>
      </w:pPr>
      <w:r>
        <w:rPr>
          <w:rFonts w:ascii="仿宋" w:hAnsi="仿宋" w:eastAsia="仿宋" w:cstheme="majorBidi"/>
          <w:b/>
          <w:bCs/>
          <w:sz w:val="32"/>
          <w:szCs w:val="28"/>
        </w:rPr>
        <w:t>8</w:t>
      </w:r>
      <w:r>
        <w:rPr>
          <w:rFonts w:hint="eastAsia" w:ascii="仿宋" w:hAnsi="仿宋" w:eastAsia="仿宋" w:cstheme="majorBidi"/>
          <w:b/>
          <w:bCs/>
          <w:sz w:val="32"/>
          <w:szCs w:val="28"/>
        </w:rPr>
        <w:t>、复合型突发</w:t>
      </w:r>
      <w:r>
        <w:rPr>
          <w:rFonts w:ascii="仿宋" w:hAnsi="仿宋" w:eastAsia="仿宋" w:cstheme="majorBidi"/>
          <w:b/>
          <w:bCs/>
          <w:sz w:val="32"/>
          <w:szCs w:val="28"/>
        </w:rPr>
        <w:t>环境</w:t>
      </w:r>
      <w:r>
        <w:rPr>
          <w:rFonts w:hint="eastAsia" w:ascii="仿宋" w:hAnsi="仿宋" w:eastAsia="仿宋" w:cstheme="majorBidi"/>
          <w:b/>
          <w:bCs/>
          <w:sz w:val="32"/>
          <w:szCs w:val="28"/>
        </w:rPr>
        <w:t>事件</w:t>
      </w:r>
      <w:r>
        <w:rPr>
          <w:rFonts w:ascii="仿宋" w:hAnsi="仿宋" w:eastAsia="仿宋" w:cstheme="majorBidi"/>
          <w:b/>
          <w:bCs/>
          <w:sz w:val="32"/>
          <w:szCs w:val="28"/>
        </w:rPr>
        <w:t>应急处置措施</w:t>
      </w:r>
    </w:p>
    <w:p w14:paraId="4B298DC5">
      <w:pPr>
        <w:pStyle w:val="34"/>
        <w:rPr>
          <w:color w:val="auto"/>
        </w:rPr>
      </w:pPr>
      <w:r>
        <w:rPr>
          <w:rFonts w:hint="eastAsia"/>
          <w:color w:val="auto"/>
        </w:rPr>
        <w:t>当重大危险源发生泄漏、火灾、爆炸等情形结合极端天气耦合条件下形成的复合突发环境事件情景，会对大气、地表水、土壤等造成污染。其应急措施如下：</w:t>
      </w:r>
    </w:p>
    <w:p w14:paraId="180DD538">
      <w:pPr>
        <w:pStyle w:val="34"/>
        <w:rPr>
          <w:color w:val="auto"/>
        </w:rPr>
      </w:pPr>
      <w:r>
        <w:rPr>
          <w:rFonts w:hint="eastAsia"/>
          <w:color w:val="auto"/>
        </w:rPr>
        <w:t>（</w:t>
      </w:r>
      <w:r>
        <w:rPr>
          <w:color w:val="auto"/>
        </w:rPr>
        <w:t>1</w:t>
      </w:r>
      <w:r>
        <w:rPr>
          <w:rFonts w:hint="eastAsia"/>
          <w:color w:val="auto"/>
        </w:rPr>
        <w:t>）由污染处置组根据事故情景分为大气环境风险源控制小组、水环境风险源控制小组、土壤环境风险源控制小组，各控制小组进行针对性抢险救援。</w:t>
      </w:r>
    </w:p>
    <w:p w14:paraId="64FD6A3B">
      <w:pPr>
        <w:pStyle w:val="34"/>
        <w:rPr>
          <w:color w:val="auto"/>
        </w:rPr>
      </w:pPr>
      <w:r>
        <w:rPr>
          <w:rFonts w:hint="eastAsia"/>
          <w:color w:val="auto"/>
        </w:rPr>
        <w:t>（</w:t>
      </w:r>
      <w:r>
        <w:rPr>
          <w:color w:val="auto"/>
        </w:rPr>
        <w:t>2</w:t>
      </w:r>
      <w:r>
        <w:rPr>
          <w:rFonts w:hint="eastAsia"/>
          <w:color w:val="auto"/>
        </w:rPr>
        <w:t>）应急保障组向各控制小组提供专用的污染控制物资及人员防护用具。</w:t>
      </w:r>
    </w:p>
    <w:p w14:paraId="7FA4EEF7">
      <w:pPr>
        <w:pStyle w:val="34"/>
        <w:rPr>
          <w:color w:val="auto"/>
        </w:rPr>
      </w:pPr>
      <w:r>
        <w:rPr>
          <w:rFonts w:hint="eastAsia"/>
          <w:color w:val="auto"/>
        </w:rPr>
        <w:t>（3）立即就各风险源位置拟定警戒区域，疏散人员。</w:t>
      </w:r>
    </w:p>
    <w:p w14:paraId="0E3A5D43">
      <w:pPr>
        <w:pStyle w:val="34"/>
        <w:rPr>
          <w:color w:val="auto"/>
        </w:rPr>
      </w:pPr>
      <w:r>
        <w:rPr>
          <w:rFonts w:hint="eastAsia"/>
          <w:color w:val="auto"/>
        </w:rPr>
        <w:t>（4）当风险事故超出可控制范围，立即上报应急救援指挥部，请求外部救援。</w:t>
      </w:r>
    </w:p>
    <w:p w14:paraId="31CBEAF7">
      <w:pPr>
        <w:snapToGrid w:val="0"/>
        <w:spacing w:line="680" w:lineRule="exact"/>
        <w:ind w:firstLine="567"/>
        <w:rPr>
          <w:rFonts w:ascii="仿宋" w:hAnsi="仿宋" w:eastAsia="仿宋"/>
          <w:sz w:val="32"/>
        </w:rPr>
      </w:pPr>
    </w:p>
    <w:p w14:paraId="13DCF6F5">
      <w:pPr>
        <w:snapToGrid w:val="0"/>
        <w:spacing w:line="680" w:lineRule="exact"/>
        <w:ind w:firstLine="567"/>
        <w:rPr>
          <w:rFonts w:ascii="仿宋" w:hAnsi="仿宋" w:eastAsia="仿宋"/>
          <w:sz w:val="32"/>
        </w:rPr>
      </w:pPr>
    </w:p>
    <w:p w14:paraId="5E3502F9">
      <w:pPr>
        <w:pStyle w:val="36"/>
      </w:pPr>
      <w:bookmarkStart w:id="185" w:name="_Toc213413237"/>
      <w:r>
        <w:rPr>
          <w:rFonts w:hint="eastAsia"/>
        </w:rPr>
        <w:t>附件7</w:t>
      </w:r>
      <w:r>
        <w:t xml:space="preserve"> </w:t>
      </w:r>
      <w:r>
        <w:rPr>
          <w:rFonts w:hint="eastAsia"/>
        </w:rPr>
        <w:t>云冈区企业应急物资配备行业清单</w:t>
      </w:r>
      <w:bookmarkEnd w:id="185"/>
    </w:p>
    <w:p w14:paraId="13172B2E">
      <w:pPr>
        <w:pStyle w:val="34"/>
        <w:ind w:firstLine="0"/>
        <w:jc w:val="center"/>
        <w:rPr>
          <w:color w:val="auto"/>
        </w:rPr>
      </w:pPr>
      <w:r>
        <w:rPr>
          <w:rFonts w:hint="eastAsia"/>
          <w:color w:val="auto"/>
        </w:rPr>
        <w:t>煤矿行业应急物资清单</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57"/>
        <w:gridCol w:w="2032"/>
        <w:gridCol w:w="6665"/>
      </w:tblGrid>
      <w:tr w14:paraId="428F6C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3B5ECD6F">
            <w:pPr>
              <w:pStyle w:val="63"/>
              <w:spacing w:line="400" w:lineRule="exact"/>
              <w:rPr>
                <w:rFonts w:ascii="仿宋" w:hAnsi="仿宋"/>
                <w:szCs w:val="24"/>
              </w:rPr>
            </w:pPr>
            <w:r>
              <w:rPr>
                <w:rFonts w:ascii="仿宋" w:hAnsi="仿宋"/>
                <w:szCs w:val="24"/>
              </w:rPr>
              <w:t>序号</w:t>
            </w:r>
          </w:p>
        </w:tc>
        <w:tc>
          <w:tcPr>
            <w:tcW w:w="1031" w:type="pct"/>
            <w:vAlign w:val="center"/>
          </w:tcPr>
          <w:p w14:paraId="51C530DF">
            <w:pPr>
              <w:pStyle w:val="63"/>
              <w:spacing w:line="400" w:lineRule="exact"/>
              <w:rPr>
                <w:rFonts w:ascii="仿宋" w:hAnsi="仿宋"/>
                <w:szCs w:val="24"/>
              </w:rPr>
            </w:pPr>
            <w:r>
              <w:rPr>
                <w:rFonts w:ascii="仿宋" w:hAnsi="仿宋"/>
                <w:szCs w:val="24"/>
              </w:rPr>
              <w:t>名称</w:t>
            </w:r>
          </w:p>
        </w:tc>
        <w:tc>
          <w:tcPr>
            <w:tcW w:w="3382" w:type="pct"/>
            <w:vAlign w:val="center"/>
          </w:tcPr>
          <w:p w14:paraId="59573689">
            <w:pPr>
              <w:pStyle w:val="63"/>
              <w:spacing w:line="400" w:lineRule="exact"/>
              <w:rPr>
                <w:rFonts w:ascii="仿宋" w:hAnsi="仿宋"/>
                <w:szCs w:val="24"/>
              </w:rPr>
            </w:pPr>
            <w:r>
              <w:rPr>
                <w:rFonts w:hint="eastAsia" w:ascii="仿宋" w:hAnsi="仿宋"/>
                <w:szCs w:val="24"/>
              </w:rPr>
              <w:t>应急物资</w:t>
            </w:r>
          </w:p>
        </w:tc>
      </w:tr>
      <w:tr w14:paraId="086FD3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06391511">
            <w:pPr>
              <w:pStyle w:val="63"/>
              <w:spacing w:line="400" w:lineRule="exact"/>
              <w:rPr>
                <w:rFonts w:ascii="仿宋" w:hAnsi="仿宋"/>
                <w:szCs w:val="24"/>
              </w:rPr>
            </w:pPr>
            <w:r>
              <w:rPr>
                <w:rFonts w:ascii="仿宋" w:hAnsi="仿宋"/>
                <w:szCs w:val="24"/>
              </w:rPr>
              <w:t>1</w:t>
            </w:r>
          </w:p>
        </w:tc>
        <w:tc>
          <w:tcPr>
            <w:tcW w:w="1031" w:type="pct"/>
            <w:vAlign w:val="center"/>
          </w:tcPr>
          <w:p w14:paraId="642161F4">
            <w:pPr>
              <w:pStyle w:val="63"/>
              <w:spacing w:line="400" w:lineRule="exact"/>
              <w:rPr>
                <w:rFonts w:ascii="仿宋" w:hAnsi="仿宋"/>
                <w:szCs w:val="24"/>
              </w:rPr>
            </w:pPr>
            <w:r>
              <w:rPr>
                <w:rFonts w:ascii="仿宋" w:hAnsi="仿宋"/>
                <w:szCs w:val="24"/>
              </w:rPr>
              <w:t>个人防护装备</w:t>
            </w:r>
          </w:p>
        </w:tc>
        <w:tc>
          <w:tcPr>
            <w:tcW w:w="3382" w:type="pct"/>
            <w:vAlign w:val="center"/>
          </w:tcPr>
          <w:p w14:paraId="15933271">
            <w:pPr>
              <w:pStyle w:val="63"/>
              <w:spacing w:line="400" w:lineRule="exact"/>
              <w:jc w:val="both"/>
              <w:rPr>
                <w:rFonts w:ascii="仿宋" w:hAnsi="仿宋"/>
                <w:szCs w:val="24"/>
              </w:rPr>
            </w:pPr>
            <w:r>
              <w:rPr>
                <w:rFonts w:hint="eastAsia" w:ascii="仿宋" w:hAnsi="仿宋"/>
                <w:szCs w:val="24"/>
              </w:rPr>
              <w:t>防毒面具（含滤毒罐）、正压式空气呼吸器、</w:t>
            </w:r>
            <w:r>
              <w:rPr>
                <w:rFonts w:ascii="仿宋" w:hAnsi="仿宋"/>
                <w:szCs w:val="24"/>
              </w:rPr>
              <w:t>化学防护服（防酸碱、防静电）、防尘口罩</w:t>
            </w:r>
            <w:r>
              <w:rPr>
                <w:rFonts w:hint="eastAsia" w:ascii="仿宋" w:hAnsi="仿宋"/>
                <w:szCs w:val="24"/>
              </w:rPr>
              <w:t>、</w:t>
            </w:r>
            <w:r>
              <w:rPr>
                <w:rFonts w:ascii="仿宋" w:hAnsi="仿宋"/>
                <w:szCs w:val="24"/>
              </w:rPr>
              <w:t>安全帽、防爆头灯、防护手套（防割、防化）、安全绳</w:t>
            </w:r>
            <w:r>
              <w:rPr>
                <w:rFonts w:hint="eastAsia" w:ascii="仿宋" w:hAnsi="仿宋"/>
                <w:szCs w:val="24"/>
              </w:rPr>
              <w:t>、</w:t>
            </w:r>
            <w:r>
              <w:rPr>
                <w:rFonts w:ascii="仿宋" w:hAnsi="仿宋"/>
                <w:szCs w:val="24"/>
              </w:rPr>
              <w:t>耐高温靴、防水靴、救生衣</w:t>
            </w:r>
          </w:p>
        </w:tc>
      </w:tr>
      <w:tr w14:paraId="7CFEDB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5C0E9F3F">
            <w:pPr>
              <w:pStyle w:val="63"/>
              <w:spacing w:line="400" w:lineRule="exact"/>
              <w:rPr>
                <w:rFonts w:ascii="仿宋" w:hAnsi="仿宋"/>
                <w:szCs w:val="24"/>
              </w:rPr>
            </w:pPr>
            <w:r>
              <w:rPr>
                <w:rFonts w:hint="eastAsia" w:ascii="仿宋" w:hAnsi="仿宋"/>
                <w:szCs w:val="24"/>
              </w:rPr>
              <w:t>2</w:t>
            </w:r>
          </w:p>
        </w:tc>
        <w:tc>
          <w:tcPr>
            <w:tcW w:w="1031" w:type="pct"/>
            <w:vAlign w:val="center"/>
          </w:tcPr>
          <w:p w14:paraId="48AEC007">
            <w:pPr>
              <w:pStyle w:val="63"/>
              <w:spacing w:line="400" w:lineRule="exact"/>
              <w:rPr>
                <w:rFonts w:ascii="仿宋" w:hAnsi="仿宋"/>
                <w:szCs w:val="24"/>
              </w:rPr>
            </w:pPr>
            <w:r>
              <w:rPr>
                <w:rFonts w:hint="eastAsia" w:ascii="仿宋" w:hAnsi="仿宋"/>
                <w:szCs w:val="24"/>
              </w:rPr>
              <w:t>消防与泄漏控制装备</w:t>
            </w:r>
          </w:p>
        </w:tc>
        <w:tc>
          <w:tcPr>
            <w:tcW w:w="3382" w:type="pct"/>
            <w:vAlign w:val="center"/>
          </w:tcPr>
          <w:p w14:paraId="48AE81D6">
            <w:pPr>
              <w:pStyle w:val="63"/>
              <w:spacing w:line="400" w:lineRule="exact"/>
              <w:jc w:val="both"/>
              <w:rPr>
                <w:rFonts w:ascii="仿宋" w:hAnsi="仿宋"/>
                <w:szCs w:val="24"/>
              </w:rPr>
            </w:pPr>
            <w:r>
              <w:rPr>
                <w:rFonts w:hint="eastAsia" w:ascii="仿宋" w:hAnsi="仿宋"/>
                <w:szCs w:val="24"/>
              </w:rPr>
              <w:t>灭火器（干粉、</w:t>
            </w:r>
            <w:r>
              <w:rPr>
                <w:rFonts w:ascii="仿宋" w:hAnsi="仿宋"/>
                <w:szCs w:val="24"/>
              </w:rPr>
              <w:t>CO</w:t>
            </w:r>
            <w:r>
              <w:rPr>
                <w:rFonts w:ascii="Cambria Math" w:hAnsi="Cambria Math" w:cs="Cambria Math"/>
                <w:szCs w:val="24"/>
              </w:rPr>
              <w:t>₂</w:t>
            </w:r>
            <w:r>
              <w:rPr>
                <w:rFonts w:ascii="仿宋" w:hAnsi="仿宋"/>
                <w:szCs w:val="24"/>
              </w:rPr>
              <w:t>、泡沫）、消防沙、消防铲</w:t>
            </w:r>
            <w:r>
              <w:rPr>
                <w:rFonts w:hint="eastAsia" w:ascii="仿宋" w:hAnsi="仿宋"/>
                <w:szCs w:val="24"/>
              </w:rPr>
              <w:t>、</w:t>
            </w:r>
            <w:r>
              <w:rPr>
                <w:rFonts w:ascii="仿宋" w:hAnsi="仿宋"/>
                <w:szCs w:val="24"/>
              </w:rPr>
              <w:t>防火毯、防爆抽水泵、堵漏工具（木楔、堵漏胶）</w:t>
            </w:r>
            <w:r>
              <w:rPr>
                <w:rFonts w:hint="eastAsia" w:ascii="仿宋" w:hAnsi="仿宋"/>
                <w:szCs w:val="24"/>
              </w:rPr>
              <w:t>、</w:t>
            </w:r>
            <w:r>
              <w:rPr>
                <w:rFonts w:ascii="仿宋" w:hAnsi="仿宋"/>
                <w:szCs w:val="24"/>
              </w:rPr>
              <w:t>吸附材料（吸油毡、活性炭）、围油栏（防止油污扩散）</w:t>
            </w:r>
            <w:r>
              <w:rPr>
                <w:rFonts w:hint="eastAsia" w:ascii="仿宋" w:hAnsi="仿宋"/>
                <w:szCs w:val="24"/>
              </w:rPr>
              <w:t>、水带</w:t>
            </w:r>
          </w:p>
        </w:tc>
      </w:tr>
      <w:tr w14:paraId="750D0B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716796D0">
            <w:pPr>
              <w:pStyle w:val="63"/>
              <w:spacing w:line="400" w:lineRule="exact"/>
              <w:rPr>
                <w:rFonts w:ascii="仿宋" w:hAnsi="仿宋"/>
                <w:szCs w:val="24"/>
              </w:rPr>
            </w:pPr>
            <w:r>
              <w:rPr>
                <w:rFonts w:hint="eastAsia" w:ascii="仿宋" w:hAnsi="仿宋"/>
                <w:szCs w:val="24"/>
              </w:rPr>
              <w:t>3</w:t>
            </w:r>
          </w:p>
        </w:tc>
        <w:tc>
          <w:tcPr>
            <w:tcW w:w="1031" w:type="pct"/>
            <w:vAlign w:val="center"/>
          </w:tcPr>
          <w:p w14:paraId="1EA3CB95">
            <w:pPr>
              <w:pStyle w:val="63"/>
              <w:spacing w:line="400" w:lineRule="exact"/>
              <w:jc w:val="both"/>
              <w:rPr>
                <w:rFonts w:ascii="仿宋" w:hAnsi="仿宋"/>
                <w:szCs w:val="24"/>
              </w:rPr>
            </w:pPr>
            <w:r>
              <w:rPr>
                <w:rFonts w:hint="eastAsia" w:ascii="仿宋" w:hAnsi="仿宋"/>
                <w:szCs w:val="24"/>
              </w:rPr>
              <w:t>监测与检测设备</w:t>
            </w:r>
          </w:p>
        </w:tc>
        <w:tc>
          <w:tcPr>
            <w:tcW w:w="3382" w:type="pct"/>
            <w:vAlign w:val="center"/>
          </w:tcPr>
          <w:p w14:paraId="2EB70990">
            <w:pPr>
              <w:pStyle w:val="63"/>
              <w:spacing w:line="400" w:lineRule="exact"/>
              <w:jc w:val="both"/>
              <w:rPr>
                <w:rFonts w:ascii="仿宋" w:hAnsi="仿宋"/>
                <w:szCs w:val="24"/>
              </w:rPr>
            </w:pPr>
            <w:r>
              <w:rPr>
                <w:rFonts w:ascii="仿宋" w:hAnsi="仿宋"/>
                <w:szCs w:val="24"/>
              </w:rPr>
              <w:t>气体检测仪（CH</w:t>
            </w:r>
            <w:r>
              <w:rPr>
                <w:rFonts w:ascii="Cambria Math" w:hAnsi="Cambria Math" w:cs="Cambria Math"/>
                <w:szCs w:val="24"/>
              </w:rPr>
              <w:t>₄</w:t>
            </w:r>
            <w:r>
              <w:rPr>
                <w:rFonts w:ascii="仿宋" w:hAnsi="仿宋"/>
                <w:szCs w:val="24"/>
              </w:rPr>
              <w:t>、CO、H</w:t>
            </w:r>
            <w:r>
              <w:rPr>
                <w:rFonts w:ascii="Cambria Math" w:hAnsi="Cambria Math" w:cs="Cambria Math"/>
                <w:szCs w:val="24"/>
              </w:rPr>
              <w:t>₂</w:t>
            </w:r>
            <w:r>
              <w:rPr>
                <w:rFonts w:ascii="仿宋" w:hAnsi="仿宋"/>
                <w:szCs w:val="24"/>
              </w:rPr>
              <w:t>S、O</w:t>
            </w:r>
            <w:r>
              <w:rPr>
                <w:rFonts w:ascii="Cambria Math" w:hAnsi="Cambria Math" w:cs="Cambria Math"/>
                <w:szCs w:val="24"/>
              </w:rPr>
              <w:t>₂</w:t>
            </w:r>
            <w:r>
              <w:rPr>
                <w:rFonts w:ascii="仿宋" w:hAnsi="仿宋"/>
                <w:szCs w:val="24"/>
              </w:rPr>
              <w:t>等）、粉尘检测仪</w:t>
            </w:r>
            <w:r>
              <w:rPr>
                <w:rFonts w:hint="eastAsia" w:ascii="仿宋" w:hAnsi="仿宋"/>
                <w:szCs w:val="24"/>
              </w:rPr>
              <w:t>、</w:t>
            </w:r>
            <w:bookmarkStart w:id="186" w:name="OLE_LINK15"/>
            <w:bookmarkStart w:id="187" w:name="OLE_LINK12"/>
            <w:r>
              <w:rPr>
                <w:rFonts w:ascii="仿宋" w:hAnsi="仿宋"/>
                <w:szCs w:val="24"/>
              </w:rPr>
              <w:t>便携式水质快速检测仪</w:t>
            </w:r>
            <w:bookmarkEnd w:id="186"/>
            <w:bookmarkEnd w:id="187"/>
            <w:r>
              <w:rPr>
                <w:rFonts w:ascii="仿宋" w:hAnsi="仿宋"/>
                <w:szCs w:val="24"/>
              </w:rPr>
              <w:t xml:space="preserve">（pH、COD、重金属等）  </w:t>
            </w:r>
          </w:p>
        </w:tc>
      </w:tr>
      <w:tr w14:paraId="21A49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49C11F25">
            <w:pPr>
              <w:pStyle w:val="63"/>
              <w:spacing w:line="400" w:lineRule="exact"/>
              <w:rPr>
                <w:rFonts w:ascii="仿宋" w:hAnsi="仿宋"/>
                <w:szCs w:val="24"/>
              </w:rPr>
            </w:pPr>
            <w:bookmarkStart w:id="188" w:name="_Hlk206172678"/>
            <w:r>
              <w:rPr>
                <w:rFonts w:ascii="仿宋" w:hAnsi="仿宋"/>
                <w:szCs w:val="24"/>
              </w:rPr>
              <w:t>4</w:t>
            </w:r>
          </w:p>
        </w:tc>
        <w:tc>
          <w:tcPr>
            <w:tcW w:w="1031" w:type="pct"/>
            <w:vAlign w:val="center"/>
          </w:tcPr>
          <w:p w14:paraId="51FFA93D">
            <w:pPr>
              <w:pStyle w:val="63"/>
              <w:spacing w:line="400" w:lineRule="exact"/>
              <w:rPr>
                <w:rFonts w:ascii="仿宋" w:hAnsi="仿宋"/>
                <w:szCs w:val="24"/>
              </w:rPr>
            </w:pPr>
            <w:r>
              <w:rPr>
                <w:rFonts w:hint="eastAsia" w:ascii="仿宋" w:hAnsi="仿宋"/>
                <w:szCs w:val="24"/>
              </w:rPr>
              <w:t>污染控制物资</w:t>
            </w:r>
          </w:p>
        </w:tc>
        <w:tc>
          <w:tcPr>
            <w:tcW w:w="3382" w:type="pct"/>
            <w:vAlign w:val="center"/>
          </w:tcPr>
          <w:p w14:paraId="485DA73C">
            <w:pPr>
              <w:pStyle w:val="63"/>
              <w:spacing w:line="400" w:lineRule="exact"/>
              <w:jc w:val="both"/>
              <w:rPr>
                <w:rFonts w:ascii="仿宋" w:hAnsi="仿宋"/>
                <w:szCs w:val="24"/>
              </w:rPr>
            </w:pPr>
            <w:r>
              <w:rPr>
                <w:rFonts w:hint="eastAsia" w:ascii="仿宋" w:hAnsi="仿宋"/>
                <w:szCs w:val="24"/>
              </w:rPr>
              <w:t>事故池、</w:t>
            </w:r>
            <w:r>
              <w:rPr>
                <w:rFonts w:ascii="仿宋" w:hAnsi="仿宋"/>
                <w:szCs w:val="24"/>
              </w:rPr>
              <w:t>中和剂、絮凝剂</w:t>
            </w:r>
            <w:r>
              <w:rPr>
                <w:rFonts w:hint="eastAsia" w:ascii="仿宋" w:hAnsi="仿宋"/>
                <w:szCs w:val="24"/>
              </w:rPr>
              <w:t>、</w:t>
            </w:r>
            <w:r>
              <w:rPr>
                <w:rFonts w:ascii="仿宋" w:hAnsi="仿宋"/>
                <w:szCs w:val="24"/>
              </w:rPr>
              <w:t>防渗塑料布、沙袋</w:t>
            </w:r>
            <w:r>
              <w:rPr>
                <w:rFonts w:hint="eastAsia" w:ascii="仿宋" w:hAnsi="仿宋"/>
                <w:szCs w:val="24"/>
              </w:rPr>
              <w:t>、</w:t>
            </w:r>
          </w:p>
          <w:p w14:paraId="4C5FADFA">
            <w:pPr>
              <w:pStyle w:val="63"/>
              <w:spacing w:line="400" w:lineRule="exact"/>
              <w:jc w:val="both"/>
              <w:rPr>
                <w:rFonts w:ascii="仿宋" w:hAnsi="仿宋"/>
                <w:szCs w:val="24"/>
              </w:rPr>
            </w:pPr>
            <w:r>
              <w:rPr>
                <w:rFonts w:hint="eastAsia" w:ascii="仿宋" w:hAnsi="仿宋"/>
                <w:szCs w:val="24"/>
              </w:rPr>
              <w:t>拦污网、生物降解剂、</w:t>
            </w:r>
            <w:r>
              <w:rPr>
                <w:rFonts w:ascii="仿宋" w:hAnsi="仿宋"/>
                <w:szCs w:val="24"/>
              </w:rPr>
              <w:t>应急植被覆盖材料</w:t>
            </w:r>
          </w:p>
        </w:tc>
      </w:tr>
      <w:tr w14:paraId="10A8E9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023366A5">
            <w:pPr>
              <w:pStyle w:val="63"/>
              <w:spacing w:line="400" w:lineRule="exact"/>
              <w:rPr>
                <w:rFonts w:ascii="仿宋" w:hAnsi="仿宋"/>
                <w:szCs w:val="24"/>
              </w:rPr>
            </w:pPr>
            <w:r>
              <w:rPr>
                <w:rFonts w:hint="eastAsia" w:ascii="仿宋" w:hAnsi="仿宋"/>
                <w:szCs w:val="24"/>
              </w:rPr>
              <w:t>5</w:t>
            </w:r>
          </w:p>
        </w:tc>
        <w:tc>
          <w:tcPr>
            <w:tcW w:w="1031" w:type="pct"/>
            <w:vAlign w:val="center"/>
          </w:tcPr>
          <w:p w14:paraId="2A271D18">
            <w:pPr>
              <w:pStyle w:val="63"/>
              <w:spacing w:line="400" w:lineRule="exact"/>
              <w:rPr>
                <w:rFonts w:ascii="仿宋" w:hAnsi="仿宋"/>
                <w:szCs w:val="24"/>
              </w:rPr>
            </w:pPr>
            <w:r>
              <w:rPr>
                <w:rFonts w:hint="eastAsia" w:ascii="仿宋" w:hAnsi="仿宋"/>
                <w:szCs w:val="24"/>
              </w:rPr>
              <w:t>医疗救援物资</w:t>
            </w:r>
          </w:p>
        </w:tc>
        <w:tc>
          <w:tcPr>
            <w:tcW w:w="3382" w:type="pct"/>
            <w:vAlign w:val="center"/>
          </w:tcPr>
          <w:p w14:paraId="6F40D680">
            <w:pPr>
              <w:pStyle w:val="63"/>
              <w:spacing w:line="400" w:lineRule="exact"/>
              <w:jc w:val="both"/>
              <w:rPr>
                <w:rFonts w:ascii="仿宋" w:hAnsi="仿宋"/>
                <w:szCs w:val="24"/>
              </w:rPr>
            </w:pPr>
            <w:r>
              <w:rPr>
                <w:rFonts w:hint="eastAsia" w:ascii="仿宋" w:hAnsi="仿宋"/>
                <w:szCs w:val="24"/>
              </w:rPr>
              <w:t>急救箱（含止血带、烧伤膏、解毒剂等）、</w:t>
            </w:r>
            <w:r>
              <w:rPr>
                <w:rFonts w:ascii="仿宋" w:hAnsi="仿宋"/>
                <w:szCs w:val="24"/>
              </w:rPr>
              <w:t>担架、氧气瓶、简易洗眼器</w:t>
            </w:r>
            <w:r>
              <w:rPr>
                <w:rFonts w:hint="eastAsia" w:ascii="仿宋" w:hAnsi="仿宋"/>
                <w:szCs w:val="24"/>
              </w:rPr>
              <w:t>、</w:t>
            </w:r>
            <w:r>
              <w:rPr>
                <w:rFonts w:ascii="仿宋" w:hAnsi="仿宋"/>
                <w:szCs w:val="24"/>
              </w:rPr>
              <w:t xml:space="preserve">常用药品  </w:t>
            </w:r>
          </w:p>
        </w:tc>
      </w:tr>
      <w:tr w14:paraId="140CD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4618F2F9">
            <w:pPr>
              <w:pStyle w:val="63"/>
              <w:spacing w:line="400" w:lineRule="exact"/>
              <w:rPr>
                <w:rFonts w:ascii="仿宋" w:hAnsi="仿宋"/>
                <w:szCs w:val="24"/>
              </w:rPr>
            </w:pPr>
            <w:r>
              <w:rPr>
                <w:rFonts w:hint="eastAsia" w:ascii="仿宋" w:hAnsi="仿宋"/>
                <w:szCs w:val="24"/>
              </w:rPr>
              <w:t>6</w:t>
            </w:r>
          </w:p>
        </w:tc>
        <w:tc>
          <w:tcPr>
            <w:tcW w:w="1031" w:type="pct"/>
            <w:vAlign w:val="center"/>
          </w:tcPr>
          <w:p w14:paraId="16573950">
            <w:pPr>
              <w:pStyle w:val="63"/>
              <w:spacing w:line="400" w:lineRule="exact"/>
              <w:rPr>
                <w:rFonts w:ascii="仿宋" w:hAnsi="仿宋"/>
                <w:szCs w:val="24"/>
              </w:rPr>
            </w:pPr>
            <w:r>
              <w:rPr>
                <w:rFonts w:hint="eastAsia" w:ascii="仿宋" w:hAnsi="仿宋"/>
                <w:szCs w:val="24"/>
              </w:rPr>
              <w:t>其他辅助物资</w:t>
            </w:r>
          </w:p>
        </w:tc>
        <w:tc>
          <w:tcPr>
            <w:tcW w:w="3382" w:type="pct"/>
            <w:vAlign w:val="center"/>
          </w:tcPr>
          <w:p w14:paraId="798F06C6">
            <w:pPr>
              <w:pStyle w:val="63"/>
              <w:spacing w:line="400" w:lineRule="exact"/>
              <w:rPr>
                <w:rFonts w:ascii="仿宋" w:hAnsi="仿宋"/>
                <w:szCs w:val="24"/>
              </w:rPr>
            </w:pPr>
            <w:r>
              <w:rPr>
                <w:rFonts w:ascii="仿宋" w:hAnsi="仿宋"/>
                <w:szCs w:val="24"/>
              </w:rPr>
              <w:t>应急车辆（防爆运输车、救护车）</w:t>
            </w:r>
            <w:r>
              <w:rPr>
                <w:rFonts w:hint="eastAsia" w:ascii="仿宋" w:hAnsi="仿宋"/>
                <w:szCs w:val="24"/>
              </w:rPr>
              <w:t>、</w:t>
            </w:r>
            <w:r>
              <w:rPr>
                <w:rFonts w:ascii="仿宋" w:hAnsi="仿宋"/>
                <w:szCs w:val="24"/>
              </w:rPr>
              <w:t>临时帐篷、应急食品</w:t>
            </w:r>
            <w:r>
              <w:rPr>
                <w:rFonts w:hint="eastAsia" w:ascii="仿宋" w:hAnsi="仿宋"/>
                <w:szCs w:val="24"/>
              </w:rPr>
              <w:t>、</w:t>
            </w:r>
            <w:r>
              <w:rPr>
                <w:rFonts w:ascii="仿宋" w:hAnsi="仿宋"/>
                <w:szCs w:val="24"/>
              </w:rPr>
              <w:t>饮用水</w:t>
            </w:r>
            <w:r>
              <w:rPr>
                <w:rFonts w:hint="eastAsia" w:ascii="仿宋" w:hAnsi="仿宋"/>
                <w:szCs w:val="24"/>
              </w:rPr>
              <w:t>、</w:t>
            </w:r>
            <w:r>
              <w:rPr>
                <w:rFonts w:ascii="仿宋" w:hAnsi="仿宋"/>
                <w:szCs w:val="24"/>
              </w:rPr>
              <w:t>标识标牌（警示带、风向标、逃生路线指示牌）</w:t>
            </w:r>
          </w:p>
        </w:tc>
      </w:tr>
      <w:bookmarkEnd w:id="188"/>
    </w:tbl>
    <w:p w14:paraId="3C61A4DB">
      <w:pPr>
        <w:pStyle w:val="34"/>
        <w:ind w:firstLine="0"/>
        <w:jc w:val="center"/>
        <w:rPr>
          <w:color w:val="auto"/>
        </w:rPr>
      </w:pPr>
      <w:r>
        <w:rPr>
          <w:rFonts w:hint="eastAsia"/>
          <w:color w:val="auto"/>
        </w:rPr>
        <w:t>化工行业应急物资清单</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57"/>
        <w:gridCol w:w="2032"/>
        <w:gridCol w:w="6665"/>
      </w:tblGrid>
      <w:tr w14:paraId="18034C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7507DD17">
            <w:pPr>
              <w:pStyle w:val="63"/>
              <w:spacing w:line="400" w:lineRule="exact"/>
              <w:rPr>
                <w:rFonts w:ascii="仿宋" w:hAnsi="仿宋"/>
                <w:szCs w:val="24"/>
              </w:rPr>
            </w:pPr>
            <w:r>
              <w:rPr>
                <w:rFonts w:hint="eastAsia" w:ascii="仿宋" w:hAnsi="仿宋"/>
                <w:szCs w:val="24"/>
              </w:rPr>
              <w:t>序号</w:t>
            </w:r>
          </w:p>
        </w:tc>
        <w:tc>
          <w:tcPr>
            <w:tcW w:w="1031" w:type="pct"/>
            <w:vAlign w:val="center"/>
          </w:tcPr>
          <w:p w14:paraId="58EA03D7">
            <w:pPr>
              <w:pStyle w:val="63"/>
              <w:spacing w:line="400" w:lineRule="exact"/>
              <w:rPr>
                <w:rFonts w:ascii="仿宋" w:hAnsi="仿宋"/>
                <w:szCs w:val="24"/>
              </w:rPr>
            </w:pPr>
            <w:r>
              <w:rPr>
                <w:rFonts w:hint="eastAsia" w:ascii="仿宋" w:hAnsi="仿宋"/>
                <w:szCs w:val="24"/>
              </w:rPr>
              <w:t>名称</w:t>
            </w:r>
          </w:p>
        </w:tc>
        <w:tc>
          <w:tcPr>
            <w:tcW w:w="3382" w:type="pct"/>
            <w:vAlign w:val="center"/>
          </w:tcPr>
          <w:p w14:paraId="324666A2">
            <w:pPr>
              <w:pStyle w:val="63"/>
              <w:spacing w:line="400" w:lineRule="exact"/>
              <w:rPr>
                <w:rFonts w:ascii="仿宋" w:hAnsi="仿宋"/>
                <w:szCs w:val="24"/>
              </w:rPr>
            </w:pPr>
            <w:r>
              <w:rPr>
                <w:rFonts w:hint="eastAsia" w:ascii="仿宋" w:hAnsi="仿宋"/>
                <w:szCs w:val="24"/>
              </w:rPr>
              <w:t>应急物资</w:t>
            </w:r>
          </w:p>
        </w:tc>
      </w:tr>
      <w:tr w14:paraId="46DDB9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3DF5995A">
            <w:pPr>
              <w:pStyle w:val="63"/>
              <w:spacing w:line="400" w:lineRule="exact"/>
              <w:rPr>
                <w:rFonts w:ascii="仿宋" w:hAnsi="仿宋"/>
                <w:szCs w:val="24"/>
              </w:rPr>
            </w:pPr>
            <w:r>
              <w:rPr>
                <w:rFonts w:hint="eastAsia" w:ascii="仿宋" w:hAnsi="仿宋"/>
                <w:szCs w:val="24"/>
              </w:rPr>
              <w:t>1</w:t>
            </w:r>
          </w:p>
        </w:tc>
        <w:tc>
          <w:tcPr>
            <w:tcW w:w="1031" w:type="pct"/>
            <w:vAlign w:val="center"/>
          </w:tcPr>
          <w:p w14:paraId="7E0C9382">
            <w:pPr>
              <w:pStyle w:val="63"/>
              <w:spacing w:line="400" w:lineRule="exact"/>
              <w:rPr>
                <w:rFonts w:ascii="仿宋" w:hAnsi="仿宋"/>
                <w:szCs w:val="24"/>
              </w:rPr>
            </w:pPr>
            <w:r>
              <w:rPr>
                <w:rFonts w:hint="eastAsia" w:ascii="仿宋" w:hAnsi="仿宋"/>
                <w:szCs w:val="24"/>
              </w:rPr>
              <w:t>个人防护装备</w:t>
            </w:r>
          </w:p>
        </w:tc>
        <w:tc>
          <w:tcPr>
            <w:tcW w:w="3382" w:type="pct"/>
            <w:vAlign w:val="center"/>
          </w:tcPr>
          <w:p w14:paraId="7BEF4C5A">
            <w:pPr>
              <w:pStyle w:val="63"/>
              <w:spacing w:line="400" w:lineRule="exact"/>
              <w:jc w:val="both"/>
              <w:rPr>
                <w:rFonts w:ascii="仿宋" w:hAnsi="仿宋"/>
                <w:szCs w:val="24"/>
              </w:rPr>
            </w:pPr>
            <w:bookmarkStart w:id="189" w:name="OLE_LINK18"/>
            <w:bookmarkStart w:id="190" w:name="OLE_LINK50"/>
            <w:r>
              <w:rPr>
                <w:rFonts w:ascii="仿宋" w:hAnsi="仿宋"/>
                <w:szCs w:val="24"/>
              </w:rPr>
              <w:t>防毒面具（含滤毒罐）、正压式空气呼吸器、化学防护服（防酸碱）、防尘口罩、安全帽、防爆头灯、防护手套（</w:t>
            </w:r>
            <w:r>
              <w:rPr>
                <w:rFonts w:hint="eastAsia" w:ascii="仿宋" w:hAnsi="仿宋"/>
                <w:szCs w:val="24"/>
              </w:rPr>
              <w:t>防腐</w:t>
            </w:r>
            <w:r>
              <w:rPr>
                <w:rFonts w:ascii="仿宋" w:hAnsi="仿宋"/>
                <w:szCs w:val="24"/>
              </w:rPr>
              <w:t>、防化）、安全绳、耐高温靴、防水靴、救生衣</w:t>
            </w:r>
            <w:bookmarkEnd w:id="189"/>
            <w:bookmarkEnd w:id="190"/>
          </w:p>
        </w:tc>
      </w:tr>
      <w:tr w14:paraId="65FE7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75122A73">
            <w:pPr>
              <w:pStyle w:val="63"/>
              <w:spacing w:line="400" w:lineRule="exact"/>
              <w:rPr>
                <w:rFonts w:ascii="仿宋" w:hAnsi="仿宋"/>
                <w:szCs w:val="24"/>
              </w:rPr>
            </w:pPr>
            <w:r>
              <w:rPr>
                <w:rFonts w:hint="eastAsia" w:ascii="仿宋" w:hAnsi="仿宋"/>
                <w:szCs w:val="24"/>
              </w:rPr>
              <w:t>2</w:t>
            </w:r>
          </w:p>
        </w:tc>
        <w:tc>
          <w:tcPr>
            <w:tcW w:w="1031" w:type="pct"/>
            <w:vAlign w:val="center"/>
          </w:tcPr>
          <w:p w14:paraId="3F03011A">
            <w:pPr>
              <w:pStyle w:val="63"/>
              <w:spacing w:line="400" w:lineRule="exact"/>
              <w:rPr>
                <w:rFonts w:ascii="仿宋" w:hAnsi="仿宋"/>
                <w:szCs w:val="24"/>
              </w:rPr>
            </w:pPr>
            <w:r>
              <w:rPr>
                <w:rFonts w:hint="eastAsia" w:ascii="仿宋" w:hAnsi="仿宋"/>
                <w:szCs w:val="24"/>
              </w:rPr>
              <w:t>消防装备</w:t>
            </w:r>
          </w:p>
        </w:tc>
        <w:tc>
          <w:tcPr>
            <w:tcW w:w="3382" w:type="pct"/>
            <w:vAlign w:val="center"/>
          </w:tcPr>
          <w:p w14:paraId="131FE25E">
            <w:pPr>
              <w:pStyle w:val="63"/>
              <w:spacing w:line="400" w:lineRule="exact"/>
              <w:jc w:val="both"/>
              <w:rPr>
                <w:rFonts w:ascii="仿宋" w:hAnsi="仿宋"/>
                <w:szCs w:val="24"/>
              </w:rPr>
            </w:pPr>
            <w:r>
              <w:rPr>
                <w:rFonts w:hint="eastAsia" w:ascii="仿宋" w:hAnsi="仿宋"/>
                <w:szCs w:val="24"/>
              </w:rPr>
              <w:t>灭火器（干粉、</w:t>
            </w:r>
            <w:r>
              <w:rPr>
                <w:rFonts w:ascii="仿宋" w:hAnsi="仿宋"/>
                <w:szCs w:val="24"/>
              </w:rPr>
              <w:t>CO</w:t>
            </w:r>
            <w:r>
              <w:rPr>
                <w:rFonts w:ascii="Cambria Math" w:hAnsi="Cambria Math" w:cs="Cambria Math"/>
                <w:szCs w:val="24"/>
              </w:rPr>
              <w:t>₂</w:t>
            </w:r>
            <w:r>
              <w:rPr>
                <w:rFonts w:ascii="仿宋" w:hAnsi="仿宋"/>
                <w:szCs w:val="24"/>
              </w:rPr>
              <w:t>、泡沫）、消防沙、消防铲、防火毯、防爆抽水泵、堵漏工具（木楔、堵漏胶）、吸附材料（吸油毡、活性炭）、围油栏（防止油污扩散）、水带</w:t>
            </w:r>
            <w:r>
              <w:rPr>
                <w:rFonts w:hint="eastAsia" w:ascii="仿宋" w:hAnsi="仿宋"/>
                <w:szCs w:val="24"/>
              </w:rPr>
              <w:t>、消防水回用装备</w:t>
            </w:r>
          </w:p>
        </w:tc>
      </w:tr>
      <w:tr w14:paraId="6D16D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668E5F44">
            <w:pPr>
              <w:pStyle w:val="63"/>
              <w:spacing w:line="400" w:lineRule="exact"/>
              <w:rPr>
                <w:rFonts w:ascii="仿宋" w:hAnsi="仿宋"/>
                <w:szCs w:val="24"/>
              </w:rPr>
            </w:pPr>
            <w:r>
              <w:rPr>
                <w:rFonts w:hint="eastAsia" w:ascii="仿宋" w:hAnsi="仿宋"/>
                <w:szCs w:val="24"/>
              </w:rPr>
              <w:t>3</w:t>
            </w:r>
          </w:p>
        </w:tc>
        <w:tc>
          <w:tcPr>
            <w:tcW w:w="1031" w:type="pct"/>
            <w:vAlign w:val="center"/>
          </w:tcPr>
          <w:p w14:paraId="4DFEBED9">
            <w:pPr>
              <w:pStyle w:val="63"/>
              <w:spacing w:line="400" w:lineRule="exact"/>
              <w:rPr>
                <w:rFonts w:ascii="仿宋" w:hAnsi="仿宋"/>
                <w:szCs w:val="24"/>
              </w:rPr>
            </w:pPr>
            <w:r>
              <w:rPr>
                <w:rFonts w:hint="eastAsia" w:ascii="仿宋" w:hAnsi="仿宋"/>
                <w:szCs w:val="24"/>
              </w:rPr>
              <w:t>监测与检测设备</w:t>
            </w:r>
          </w:p>
        </w:tc>
        <w:tc>
          <w:tcPr>
            <w:tcW w:w="3382" w:type="pct"/>
            <w:vAlign w:val="center"/>
          </w:tcPr>
          <w:p w14:paraId="1C75C929">
            <w:pPr>
              <w:pStyle w:val="63"/>
              <w:spacing w:line="400" w:lineRule="exact"/>
              <w:jc w:val="both"/>
              <w:rPr>
                <w:rFonts w:ascii="仿宋" w:hAnsi="仿宋"/>
                <w:szCs w:val="24"/>
              </w:rPr>
            </w:pPr>
            <w:r>
              <w:rPr>
                <w:rFonts w:hint="eastAsia" w:ascii="仿宋" w:hAnsi="仿宋"/>
                <w:szCs w:val="24"/>
              </w:rPr>
              <w:t>四合一可燃有毒气体检测仪、风向标、</w:t>
            </w:r>
            <w:r>
              <w:rPr>
                <w:rFonts w:ascii="仿宋" w:hAnsi="仿宋"/>
                <w:szCs w:val="24"/>
              </w:rPr>
              <w:t>便携式水质快速检测仪</w:t>
            </w:r>
            <w:r>
              <w:rPr>
                <w:rFonts w:hint="eastAsia" w:ascii="仿宋" w:hAnsi="仿宋"/>
                <w:szCs w:val="24"/>
              </w:rPr>
              <w:t>、无人机+红外热成像（监测挥发性泄漏）</w:t>
            </w:r>
          </w:p>
        </w:tc>
      </w:tr>
      <w:tr w14:paraId="117EA0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7BBD4913">
            <w:pPr>
              <w:pStyle w:val="63"/>
              <w:spacing w:line="400" w:lineRule="exact"/>
              <w:rPr>
                <w:rFonts w:ascii="仿宋" w:hAnsi="仿宋"/>
                <w:szCs w:val="24"/>
              </w:rPr>
            </w:pPr>
            <w:r>
              <w:rPr>
                <w:rFonts w:hint="eastAsia" w:ascii="仿宋" w:hAnsi="仿宋"/>
                <w:szCs w:val="24"/>
              </w:rPr>
              <w:t>4</w:t>
            </w:r>
          </w:p>
        </w:tc>
        <w:tc>
          <w:tcPr>
            <w:tcW w:w="1031" w:type="pct"/>
            <w:tcBorders>
              <w:top w:val="single" w:color="auto" w:sz="2" w:space="0"/>
              <w:left w:val="single" w:color="auto" w:sz="2" w:space="0"/>
              <w:bottom w:val="single" w:color="auto" w:sz="2" w:space="0"/>
              <w:right w:val="single" w:color="auto" w:sz="2" w:space="0"/>
            </w:tcBorders>
            <w:vAlign w:val="center"/>
          </w:tcPr>
          <w:p w14:paraId="0B2348CE">
            <w:pPr>
              <w:pStyle w:val="63"/>
              <w:spacing w:line="400" w:lineRule="exact"/>
              <w:rPr>
                <w:rFonts w:ascii="仿宋" w:hAnsi="仿宋"/>
                <w:szCs w:val="24"/>
              </w:rPr>
            </w:pPr>
            <w:r>
              <w:rPr>
                <w:rFonts w:hint="eastAsia" w:ascii="仿宋" w:hAnsi="仿宋"/>
                <w:szCs w:val="24"/>
              </w:rPr>
              <w:t>污染控制物资</w:t>
            </w:r>
          </w:p>
        </w:tc>
        <w:tc>
          <w:tcPr>
            <w:tcW w:w="3382" w:type="pct"/>
            <w:vAlign w:val="center"/>
          </w:tcPr>
          <w:p w14:paraId="09180CDE">
            <w:pPr>
              <w:pStyle w:val="63"/>
              <w:spacing w:line="400" w:lineRule="exact"/>
              <w:jc w:val="both"/>
              <w:rPr>
                <w:rFonts w:ascii="仿宋" w:hAnsi="仿宋"/>
                <w:szCs w:val="24"/>
              </w:rPr>
            </w:pPr>
          </w:p>
        </w:tc>
      </w:tr>
      <w:tr w14:paraId="5DDF0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46FF0E0D">
            <w:pPr>
              <w:pStyle w:val="63"/>
              <w:spacing w:line="400" w:lineRule="exact"/>
              <w:rPr>
                <w:rFonts w:ascii="仿宋" w:hAnsi="仿宋"/>
                <w:szCs w:val="24"/>
              </w:rPr>
            </w:pPr>
            <w:r>
              <w:rPr>
                <w:rFonts w:hint="eastAsia" w:ascii="仿宋" w:hAnsi="仿宋"/>
                <w:szCs w:val="24"/>
              </w:rPr>
              <w:t>4</w:t>
            </w:r>
            <w:r>
              <w:rPr>
                <w:rFonts w:ascii="仿宋" w:hAnsi="仿宋"/>
                <w:szCs w:val="24"/>
              </w:rPr>
              <w:t>.1</w:t>
            </w:r>
          </w:p>
        </w:tc>
        <w:tc>
          <w:tcPr>
            <w:tcW w:w="1031" w:type="pct"/>
            <w:tcBorders>
              <w:top w:val="single" w:color="auto" w:sz="2" w:space="0"/>
              <w:left w:val="single" w:color="auto" w:sz="2" w:space="0"/>
              <w:bottom w:val="single" w:color="auto" w:sz="2" w:space="0"/>
              <w:right w:val="single" w:color="auto" w:sz="2" w:space="0"/>
            </w:tcBorders>
            <w:vAlign w:val="center"/>
          </w:tcPr>
          <w:p w14:paraId="7DB89496">
            <w:pPr>
              <w:pStyle w:val="63"/>
              <w:spacing w:line="400" w:lineRule="exact"/>
              <w:rPr>
                <w:rFonts w:ascii="仿宋" w:hAnsi="仿宋"/>
                <w:szCs w:val="24"/>
              </w:rPr>
            </w:pPr>
            <w:r>
              <w:rPr>
                <w:rFonts w:hint="eastAsia" w:ascii="仿宋" w:hAnsi="仿宋"/>
                <w:szCs w:val="24"/>
              </w:rPr>
              <w:t>堵漏作业装备</w:t>
            </w:r>
          </w:p>
          <w:p w14:paraId="6A40EA31">
            <w:pPr>
              <w:pStyle w:val="63"/>
              <w:spacing w:line="400" w:lineRule="exact"/>
              <w:rPr>
                <w:rFonts w:ascii="仿宋" w:hAnsi="仿宋"/>
                <w:szCs w:val="24"/>
              </w:rPr>
            </w:pPr>
            <w:r>
              <w:rPr>
                <w:rFonts w:hint="eastAsia" w:ascii="仿宋" w:hAnsi="仿宋"/>
                <w:szCs w:val="24"/>
              </w:rPr>
              <w:t>与材料</w:t>
            </w:r>
          </w:p>
        </w:tc>
        <w:tc>
          <w:tcPr>
            <w:tcW w:w="3382" w:type="pct"/>
            <w:vAlign w:val="center"/>
          </w:tcPr>
          <w:p w14:paraId="7B90A0BA">
            <w:pPr>
              <w:pStyle w:val="63"/>
              <w:spacing w:line="400" w:lineRule="exact"/>
              <w:jc w:val="both"/>
              <w:rPr>
                <w:rFonts w:ascii="仿宋" w:hAnsi="仿宋"/>
                <w:szCs w:val="24"/>
              </w:rPr>
            </w:pPr>
            <w:r>
              <w:rPr>
                <w:rFonts w:hint="eastAsia" w:ascii="仿宋" w:hAnsi="仿宋"/>
                <w:szCs w:val="24"/>
              </w:rPr>
              <w:t>金属堵漏套管；管道密封套；堵漏枪；堵漏工具（注入式、粘贴式、电磁式、柔性施压式、气动吸盘</w:t>
            </w:r>
          </w:p>
          <w:p w14:paraId="248CF488">
            <w:pPr>
              <w:pStyle w:val="63"/>
              <w:spacing w:line="400" w:lineRule="exact"/>
              <w:jc w:val="both"/>
              <w:rPr>
                <w:rFonts w:ascii="仿宋" w:hAnsi="仿宋"/>
                <w:szCs w:val="24"/>
              </w:rPr>
            </w:pPr>
            <w:r>
              <w:rPr>
                <w:rFonts w:hint="eastAsia" w:ascii="仿宋" w:hAnsi="仿宋"/>
                <w:szCs w:val="24"/>
              </w:rPr>
              <w:t>式）；堵漏密封胶；木制堵漏楔；管道粘结剂；堵漏袋；下水道阻流袋等</w:t>
            </w:r>
          </w:p>
        </w:tc>
      </w:tr>
      <w:tr w14:paraId="0AD8EF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612BBFDC">
            <w:pPr>
              <w:pStyle w:val="63"/>
              <w:spacing w:line="400" w:lineRule="exact"/>
              <w:rPr>
                <w:rFonts w:ascii="仿宋" w:hAnsi="仿宋"/>
                <w:szCs w:val="24"/>
              </w:rPr>
            </w:pPr>
            <w:r>
              <w:rPr>
                <w:rFonts w:hint="eastAsia" w:ascii="仿宋" w:hAnsi="仿宋"/>
                <w:szCs w:val="24"/>
              </w:rPr>
              <w:t>4</w:t>
            </w:r>
            <w:r>
              <w:rPr>
                <w:rFonts w:ascii="仿宋" w:hAnsi="仿宋"/>
                <w:szCs w:val="24"/>
              </w:rPr>
              <w:t>.2</w:t>
            </w:r>
          </w:p>
        </w:tc>
        <w:tc>
          <w:tcPr>
            <w:tcW w:w="1031" w:type="pct"/>
            <w:tcBorders>
              <w:top w:val="single" w:color="auto" w:sz="2" w:space="0"/>
              <w:left w:val="single" w:color="auto" w:sz="2" w:space="0"/>
              <w:bottom w:val="single" w:color="auto" w:sz="2" w:space="0"/>
              <w:right w:val="single" w:color="auto" w:sz="2" w:space="0"/>
            </w:tcBorders>
            <w:vAlign w:val="center"/>
          </w:tcPr>
          <w:p w14:paraId="69044FDC">
            <w:pPr>
              <w:pStyle w:val="63"/>
              <w:spacing w:line="400" w:lineRule="exact"/>
              <w:rPr>
                <w:rFonts w:ascii="仿宋" w:hAnsi="仿宋"/>
                <w:szCs w:val="24"/>
              </w:rPr>
            </w:pPr>
            <w:r>
              <w:rPr>
                <w:rFonts w:hint="eastAsia" w:ascii="仿宋" w:hAnsi="仿宋"/>
                <w:szCs w:val="24"/>
              </w:rPr>
              <w:t>污染物收集</w:t>
            </w:r>
          </w:p>
        </w:tc>
        <w:tc>
          <w:tcPr>
            <w:tcW w:w="3382" w:type="pct"/>
            <w:vAlign w:val="center"/>
          </w:tcPr>
          <w:p w14:paraId="0C9A84C0">
            <w:pPr>
              <w:pStyle w:val="63"/>
              <w:spacing w:line="400" w:lineRule="exact"/>
              <w:jc w:val="both"/>
              <w:rPr>
                <w:rFonts w:ascii="仿宋" w:hAnsi="仿宋"/>
                <w:szCs w:val="24"/>
              </w:rPr>
            </w:pPr>
            <w:r>
              <w:rPr>
                <w:rFonts w:hint="eastAsia" w:ascii="仿宋" w:hAnsi="仿宋"/>
                <w:szCs w:val="24"/>
              </w:rPr>
              <w:t>抽吸泵；排污泵；移动拦截工具；移动存储设施；有毒物质密封桶；污水袋；吸附袋；活性炭、事故应急池等</w:t>
            </w:r>
          </w:p>
        </w:tc>
      </w:tr>
      <w:tr w14:paraId="251E52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076DF902">
            <w:pPr>
              <w:pStyle w:val="63"/>
              <w:spacing w:line="400" w:lineRule="exact"/>
              <w:rPr>
                <w:rFonts w:ascii="仿宋" w:hAnsi="仿宋"/>
                <w:szCs w:val="24"/>
              </w:rPr>
            </w:pPr>
            <w:r>
              <w:rPr>
                <w:rFonts w:hint="eastAsia" w:ascii="仿宋" w:hAnsi="仿宋"/>
                <w:szCs w:val="24"/>
              </w:rPr>
              <w:t>4</w:t>
            </w:r>
            <w:r>
              <w:rPr>
                <w:rFonts w:ascii="仿宋" w:hAnsi="仿宋"/>
                <w:szCs w:val="24"/>
              </w:rPr>
              <w:t>.3</w:t>
            </w:r>
          </w:p>
        </w:tc>
        <w:tc>
          <w:tcPr>
            <w:tcW w:w="1031" w:type="pct"/>
            <w:tcBorders>
              <w:top w:val="single" w:color="auto" w:sz="2" w:space="0"/>
              <w:left w:val="single" w:color="auto" w:sz="2" w:space="0"/>
              <w:bottom w:val="single" w:color="auto" w:sz="2" w:space="0"/>
              <w:right w:val="single" w:color="auto" w:sz="2" w:space="0"/>
            </w:tcBorders>
            <w:vAlign w:val="center"/>
          </w:tcPr>
          <w:p w14:paraId="0DAE86DA">
            <w:pPr>
              <w:pStyle w:val="63"/>
              <w:spacing w:line="400" w:lineRule="exact"/>
              <w:rPr>
                <w:rFonts w:ascii="仿宋" w:hAnsi="仿宋"/>
                <w:szCs w:val="24"/>
              </w:rPr>
            </w:pPr>
            <w:r>
              <w:rPr>
                <w:rFonts w:hint="eastAsia" w:ascii="仿宋" w:hAnsi="仿宋"/>
                <w:szCs w:val="24"/>
              </w:rPr>
              <w:t>污染物处理</w:t>
            </w:r>
          </w:p>
        </w:tc>
        <w:tc>
          <w:tcPr>
            <w:tcW w:w="3382" w:type="pct"/>
            <w:vAlign w:val="center"/>
          </w:tcPr>
          <w:p w14:paraId="09145A0B">
            <w:pPr>
              <w:pStyle w:val="63"/>
              <w:spacing w:line="400" w:lineRule="exact"/>
              <w:jc w:val="both"/>
              <w:rPr>
                <w:rFonts w:ascii="仿宋" w:hAnsi="仿宋"/>
                <w:szCs w:val="24"/>
              </w:rPr>
            </w:pPr>
            <w:r>
              <w:rPr>
                <w:rFonts w:hint="eastAsia" w:ascii="仿宋" w:hAnsi="仿宋"/>
                <w:szCs w:val="24"/>
              </w:rPr>
              <w:t>应急水幕（包括水幕水带、移动式水幕等器材）、可移动围堰、沙袋、防渗收集槽、导流泵</w:t>
            </w:r>
          </w:p>
        </w:tc>
      </w:tr>
      <w:tr w14:paraId="37B10B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4F34236C">
            <w:pPr>
              <w:pStyle w:val="63"/>
              <w:spacing w:line="400" w:lineRule="exact"/>
              <w:rPr>
                <w:rFonts w:ascii="仿宋" w:hAnsi="仿宋"/>
                <w:szCs w:val="24"/>
              </w:rPr>
            </w:pPr>
            <w:r>
              <w:rPr>
                <w:rFonts w:hint="eastAsia" w:ascii="仿宋" w:hAnsi="仿宋"/>
                <w:szCs w:val="24"/>
              </w:rPr>
              <w:t>5</w:t>
            </w:r>
          </w:p>
        </w:tc>
        <w:tc>
          <w:tcPr>
            <w:tcW w:w="1031" w:type="pct"/>
            <w:tcBorders>
              <w:top w:val="single" w:color="auto" w:sz="2" w:space="0"/>
              <w:left w:val="single" w:color="auto" w:sz="2" w:space="0"/>
              <w:bottom w:val="single" w:color="auto" w:sz="2" w:space="0"/>
              <w:right w:val="single" w:color="auto" w:sz="2" w:space="0"/>
            </w:tcBorders>
            <w:vAlign w:val="center"/>
          </w:tcPr>
          <w:p w14:paraId="1B3136E6">
            <w:pPr>
              <w:pStyle w:val="63"/>
              <w:spacing w:line="400" w:lineRule="exact"/>
              <w:rPr>
                <w:rFonts w:ascii="仿宋" w:hAnsi="仿宋"/>
                <w:szCs w:val="24"/>
              </w:rPr>
            </w:pPr>
            <w:r>
              <w:rPr>
                <w:rFonts w:hint="eastAsia" w:ascii="仿宋" w:hAnsi="仿宋"/>
                <w:szCs w:val="24"/>
              </w:rPr>
              <w:t>医疗救援物资</w:t>
            </w:r>
          </w:p>
        </w:tc>
        <w:tc>
          <w:tcPr>
            <w:tcW w:w="3382" w:type="pct"/>
            <w:vAlign w:val="center"/>
          </w:tcPr>
          <w:p w14:paraId="61106012">
            <w:pPr>
              <w:pStyle w:val="63"/>
              <w:spacing w:line="400" w:lineRule="exact"/>
              <w:jc w:val="both"/>
              <w:rPr>
                <w:rFonts w:ascii="仿宋" w:hAnsi="仿宋"/>
                <w:szCs w:val="24"/>
              </w:rPr>
            </w:pPr>
            <w:r>
              <w:rPr>
                <w:rFonts w:hint="eastAsia" w:ascii="仿宋" w:hAnsi="仿宋"/>
                <w:szCs w:val="24"/>
              </w:rPr>
              <w:t>急救箱（含止血带、烧伤膏、解毒剂等）、担架、氧气瓶、简易洗眼器、常用药品</w:t>
            </w:r>
          </w:p>
        </w:tc>
      </w:tr>
      <w:tr w14:paraId="31FD0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4B3FEB14">
            <w:pPr>
              <w:pStyle w:val="63"/>
              <w:spacing w:line="400" w:lineRule="exact"/>
              <w:rPr>
                <w:rFonts w:ascii="仿宋" w:hAnsi="仿宋"/>
                <w:szCs w:val="24"/>
              </w:rPr>
            </w:pPr>
            <w:r>
              <w:rPr>
                <w:rFonts w:hint="eastAsia" w:ascii="仿宋" w:hAnsi="仿宋"/>
                <w:szCs w:val="24"/>
              </w:rPr>
              <w:t>6</w:t>
            </w:r>
          </w:p>
        </w:tc>
        <w:tc>
          <w:tcPr>
            <w:tcW w:w="1031" w:type="pct"/>
            <w:tcBorders>
              <w:top w:val="single" w:color="auto" w:sz="2" w:space="0"/>
              <w:left w:val="single" w:color="auto" w:sz="2" w:space="0"/>
              <w:bottom w:val="single" w:color="auto" w:sz="2" w:space="0"/>
              <w:right w:val="single" w:color="auto" w:sz="2" w:space="0"/>
            </w:tcBorders>
            <w:vAlign w:val="center"/>
          </w:tcPr>
          <w:p w14:paraId="44A75632">
            <w:pPr>
              <w:pStyle w:val="63"/>
              <w:spacing w:line="400" w:lineRule="exact"/>
              <w:rPr>
                <w:rFonts w:ascii="仿宋" w:hAnsi="仿宋"/>
                <w:szCs w:val="24"/>
              </w:rPr>
            </w:pPr>
            <w:r>
              <w:rPr>
                <w:rFonts w:hint="eastAsia" w:ascii="仿宋" w:hAnsi="仿宋"/>
                <w:szCs w:val="24"/>
              </w:rPr>
              <w:t>其他辅助物资</w:t>
            </w:r>
          </w:p>
        </w:tc>
        <w:tc>
          <w:tcPr>
            <w:tcW w:w="3382" w:type="pct"/>
            <w:vAlign w:val="center"/>
          </w:tcPr>
          <w:p w14:paraId="3C497527">
            <w:pPr>
              <w:pStyle w:val="63"/>
              <w:spacing w:line="400" w:lineRule="exact"/>
              <w:jc w:val="both"/>
              <w:rPr>
                <w:rFonts w:ascii="仿宋" w:hAnsi="仿宋"/>
                <w:szCs w:val="24"/>
              </w:rPr>
            </w:pPr>
            <w:r>
              <w:rPr>
                <w:rFonts w:hint="eastAsia" w:ascii="仿宋" w:hAnsi="仿宋"/>
                <w:szCs w:val="24"/>
              </w:rPr>
              <w:t>应急车辆（防爆运输车、救护车）、临时帐篷、应急食品、饮用水、标识标牌（警示带、风向标、逃生路线指示牌）</w:t>
            </w:r>
          </w:p>
        </w:tc>
      </w:tr>
    </w:tbl>
    <w:p w14:paraId="60EA25E9">
      <w:pPr>
        <w:pStyle w:val="34"/>
        <w:ind w:firstLine="0"/>
        <w:jc w:val="center"/>
        <w:rPr>
          <w:color w:val="auto"/>
        </w:rPr>
      </w:pPr>
      <w:r>
        <w:rPr>
          <w:rFonts w:hint="eastAsia"/>
          <w:color w:val="auto"/>
        </w:rPr>
        <w:t>加油站应急物资清单</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57"/>
        <w:gridCol w:w="2032"/>
        <w:gridCol w:w="6665"/>
      </w:tblGrid>
      <w:tr w14:paraId="2A3FA5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41725B20">
            <w:pPr>
              <w:pStyle w:val="63"/>
              <w:spacing w:line="400" w:lineRule="exact"/>
              <w:rPr>
                <w:rFonts w:ascii="仿宋" w:hAnsi="仿宋"/>
                <w:szCs w:val="24"/>
              </w:rPr>
            </w:pPr>
            <w:r>
              <w:rPr>
                <w:rFonts w:hint="eastAsia" w:ascii="仿宋" w:hAnsi="仿宋"/>
                <w:szCs w:val="24"/>
              </w:rPr>
              <w:t>序号</w:t>
            </w:r>
          </w:p>
        </w:tc>
        <w:tc>
          <w:tcPr>
            <w:tcW w:w="1031" w:type="pct"/>
            <w:vAlign w:val="center"/>
          </w:tcPr>
          <w:p w14:paraId="3FE315C0">
            <w:pPr>
              <w:pStyle w:val="63"/>
              <w:spacing w:line="400" w:lineRule="exact"/>
              <w:rPr>
                <w:rFonts w:ascii="仿宋" w:hAnsi="仿宋"/>
                <w:szCs w:val="24"/>
              </w:rPr>
            </w:pPr>
            <w:r>
              <w:rPr>
                <w:rFonts w:hint="eastAsia" w:ascii="仿宋" w:hAnsi="仿宋"/>
                <w:szCs w:val="24"/>
              </w:rPr>
              <w:t>名称</w:t>
            </w:r>
          </w:p>
        </w:tc>
        <w:tc>
          <w:tcPr>
            <w:tcW w:w="3382" w:type="pct"/>
            <w:vAlign w:val="center"/>
          </w:tcPr>
          <w:p w14:paraId="7F5482C6">
            <w:pPr>
              <w:pStyle w:val="63"/>
              <w:spacing w:line="400" w:lineRule="exact"/>
              <w:rPr>
                <w:rFonts w:ascii="仿宋" w:hAnsi="仿宋"/>
                <w:szCs w:val="24"/>
              </w:rPr>
            </w:pPr>
            <w:r>
              <w:rPr>
                <w:rFonts w:hint="eastAsia" w:ascii="仿宋" w:hAnsi="仿宋"/>
                <w:szCs w:val="24"/>
              </w:rPr>
              <w:t>应急物资</w:t>
            </w:r>
          </w:p>
        </w:tc>
      </w:tr>
      <w:tr w14:paraId="2DC31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2115476C">
            <w:pPr>
              <w:pStyle w:val="63"/>
              <w:spacing w:line="400" w:lineRule="exact"/>
              <w:rPr>
                <w:rFonts w:ascii="仿宋" w:hAnsi="仿宋"/>
                <w:szCs w:val="24"/>
              </w:rPr>
            </w:pPr>
            <w:r>
              <w:rPr>
                <w:rFonts w:hint="eastAsia" w:ascii="仿宋" w:hAnsi="仿宋"/>
                <w:szCs w:val="24"/>
              </w:rPr>
              <w:t>1</w:t>
            </w:r>
          </w:p>
        </w:tc>
        <w:tc>
          <w:tcPr>
            <w:tcW w:w="1031" w:type="pct"/>
            <w:vAlign w:val="center"/>
          </w:tcPr>
          <w:p w14:paraId="6DF4C6C6">
            <w:pPr>
              <w:pStyle w:val="63"/>
              <w:spacing w:line="400" w:lineRule="exact"/>
              <w:rPr>
                <w:rFonts w:ascii="仿宋" w:hAnsi="仿宋"/>
                <w:szCs w:val="24"/>
              </w:rPr>
            </w:pPr>
            <w:r>
              <w:rPr>
                <w:rFonts w:hint="eastAsia" w:ascii="仿宋" w:hAnsi="仿宋"/>
                <w:szCs w:val="24"/>
              </w:rPr>
              <w:t>个人防护装备</w:t>
            </w:r>
          </w:p>
        </w:tc>
        <w:tc>
          <w:tcPr>
            <w:tcW w:w="3382" w:type="pct"/>
            <w:vAlign w:val="center"/>
          </w:tcPr>
          <w:p w14:paraId="2F9A99A6">
            <w:pPr>
              <w:pStyle w:val="63"/>
              <w:spacing w:line="400" w:lineRule="exact"/>
              <w:jc w:val="both"/>
              <w:rPr>
                <w:rFonts w:ascii="仿宋" w:hAnsi="仿宋"/>
                <w:szCs w:val="24"/>
              </w:rPr>
            </w:pPr>
            <w:r>
              <w:rPr>
                <w:rFonts w:hint="eastAsia" w:ascii="仿宋" w:hAnsi="仿宋"/>
                <w:szCs w:val="24"/>
              </w:rPr>
              <w:t>防毒面具、紧急逃生呼吸器、耐油橡胶手套、防化靴、护目镜/全面罩</w:t>
            </w:r>
          </w:p>
        </w:tc>
      </w:tr>
      <w:tr w14:paraId="70A12B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31F84FF2">
            <w:pPr>
              <w:pStyle w:val="63"/>
              <w:spacing w:line="400" w:lineRule="exact"/>
              <w:rPr>
                <w:rFonts w:ascii="仿宋" w:hAnsi="仿宋"/>
                <w:szCs w:val="24"/>
              </w:rPr>
            </w:pPr>
            <w:r>
              <w:rPr>
                <w:rFonts w:hint="eastAsia" w:ascii="仿宋" w:hAnsi="仿宋"/>
                <w:szCs w:val="24"/>
              </w:rPr>
              <w:t>2</w:t>
            </w:r>
          </w:p>
        </w:tc>
        <w:tc>
          <w:tcPr>
            <w:tcW w:w="1031" w:type="pct"/>
            <w:vAlign w:val="center"/>
          </w:tcPr>
          <w:p w14:paraId="6A3DC474">
            <w:pPr>
              <w:pStyle w:val="63"/>
              <w:spacing w:line="400" w:lineRule="exact"/>
              <w:rPr>
                <w:rFonts w:ascii="仿宋" w:hAnsi="仿宋"/>
                <w:szCs w:val="24"/>
              </w:rPr>
            </w:pPr>
            <w:r>
              <w:rPr>
                <w:rFonts w:hint="eastAsia" w:ascii="仿宋" w:hAnsi="仿宋"/>
                <w:szCs w:val="24"/>
              </w:rPr>
              <w:t>消防灭火物资</w:t>
            </w:r>
          </w:p>
        </w:tc>
        <w:tc>
          <w:tcPr>
            <w:tcW w:w="3382" w:type="pct"/>
            <w:vAlign w:val="center"/>
          </w:tcPr>
          <w:p w14:paraId="6374D18E">
            <w:pPr>
              <w:pStyle w:val="63"/>
              <w:spacing w:line="400" w:lineRule="exact"/>
              <w:jc w:val="both"/>
              <w:rPr>
                <w:rFonts w:ascii="仿宋" w:hAnsi="仿宋"/>
                <w:szCs w:val="24"/>
              </w:rPr>
            </w:pPr>
            <w:r>
              <w:rPr>
                <w:rFonts w:ascii="仿宋" w:hAnsi="仿宋"/>
                <w:szCs w:val="24"/>
              </w:rPr>
              <w:t>手提式干粉灭火器</w:t>
            </w:r>
            <w:r>
              <w:rPr>
                <w:rFonts w:hint="eastAsia" w:ascii="仿宋" w:hAnsi="仿宋"/>
                <w:szCs w:val="24"/>
              </w:rPr>
              <w:t>、</w:t>
            </w:r>
            <w:r>
              <w:rPr>
                <w:rFonts w:ascii="仿宋" w:hAnsi="仿宋"/>
                <w:szCs w:val="24"/>
              </w:rPr>
              <w:t>推车式干粉灭火器</w:t>
            </w:r>
            <w:r>
              <w:rPr>
                <w:rFonts w:hint="eastAsia" w:ascii="仿宋" w:hAnsi="仿宋"/>
                <w:szCs w:val="24"/>
              </w:rPr>
              <w:t>、</w:t>
            </w:r>
            <w:r>
              <w:rPr>
                <w:rFonts w:ascii="仿宋" w:hAnsi="仿宋"/>
                <w:szCs w:val="24"/>
              </w:rPr>
              <w:t>灭火器</w:t>
            </w:r>
            <w:r>
              <w:rPr>
                <w:rFonts w:hint="eastAsia" w:ascii="仿宋" w:hAnsi="仿宋"/>
                <w:szCs w:val="24"/>
              </w:rPr>
              <w:t>、消防砂、防火毯</w:t>
            </w:r>
          </w:p>
        </w:tc>
      </w:tr>
      <w:tr w14:paraId="7A94C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vAlign w:val="center"/>
          </w:tcPr>
          <w:p w14:paraId="16F2557F">
            <w:pPr>
              <w:pStyle w:val="63"/>
              <w:spacing w:line="400" w:lineRule="exact"/>
              <w:rPr>
                <w:rFonts w:ascii="仿宋" w:hAnsi="仿宋"/>
                <w:szCs w:val="24"/>
              </w:rPr>
            </w:pPr>
            <w:r>
              <w:rPr>
                <w:rFonts w:hint="eastAsia" w:ascii="仿宋" w:hAnsi="仿宋"/>
                <w:szCs w:val="24"/>
              </w:rPr>
              <w:t>3</w:t>
            </w:r>
          </w:p>
        </w:tc>
        <w:tc>
          <w:tcPr>
            <w:tcW w:w="1031" w:type="pct"/>
            <w:vAlign w:val="center"/>
          </w:tcPr>
          <w:p w14:paraId="2658A1F8">
            <w:pPr>
              <w:pStyle w:val="63"/>
              <w:spacing w:line="400" w:lineRule="exact"/>
              <w:rPr>
                <w:rFonts w:ascii="仿宋" w:hAnsi="仿宋"/>
                <w:szCs w:val="24"/>
              </w:rPr>
            </w:pPr>
            <w:r>
              <w:rPr>
                <w:rFonts w:hint="eastAsia" w:ascii="仿宋" w:hAnsi="仿宋"/>
                <w:szCs w:val="24"/>
              </w:rPr>
              <w:t>监测与报警</w:t>
            </w:r>
          </w:p>
        </w:tc>
        <w:tc>
          <w:tcPr>
            <w:tcW w:w="3382" w:type="pct"/>
            <w:vAlign w:val="center"/>
          </w:tcPr>
          <w:p w14:paraId="264ECB43">
            <w:pPr>
              <w:pStyle w:val="63"/>
              <w:spacing w:line="400" w:lineRule="exact"/>
              <w:jc w:val="both"/>
              <w:rPr>
                <w:rFonts w:ascii="仿宋" w:hAnsi="仿宋"/>
                <w:szCs w:val="24"/>
              </w:rPr>
            </w:pPr>
            <w:r>
              <w:rPr>
                <w:rFonts w:hint="eastAsia" w:ascii="仿宋" w:hAnsi="仿宋"/>
                <w:szCs w:val="24"/>
              </w:rPr>
              <w:t>可燃气体报警器、便携式V</w:t>
            </w:r>
            <w:r>
              <w:rPr>
                <w:rFonts w:ascii="仿宋" w:hAnsi="仿宋"/>
                <w:szCs w:val="24"/>
              </w:rPr>
              <w:t>OC</w:t>
            </w:r>
            <w:r>
              <w:rPr>
                <w:rFonts w:hint="eastAsia" w:ascii="仿宋" w:hAnsi="仿宋"/>
                <w:szCs w:val="24"/>
              </w:rPr>
              <w:t>s监测仪、风险标</w:t>
            </w:r>
          </w:p>
        </w:tc>
      </w:tr>
      <w:tr w14:paraId="15ED5F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37A27DEC">
            <w:pPr>
              <w:pStyle w:val="63"/>
              <w:spacing w:line="400" w:lineRule="exact"/>
              <w:rPr>
                <w:rFonts w:ascii="仿宋" w:hAnsi="仿宋"/>
                <w:szCs w:val="24"/>
              </w:rPr>
            </w:pPr>
            <w:r>
              <w:rPr>
                <w:rFonts w:hint="eastAsia" w:ascii="仿宋" w:hAnsi="仿宋"/>
                <w:szCs w:val="24"/>
              </w:rPr>
              <w:t>4</w:t>
            </w:r>
          </w:p>
        </w:tc>
        <w:tc>
          <w:tcPr>
            <w:tcW w:w="1031" w:type="pct"/>
            <w:tcBorders>
              <w:top w:val="single" w:color="auto" w:sz="2" w:space="0"/>
              <w:left w:val="single" w:color="auto" w:sz="2" w:space="0"/>
              <w:bottom w:val="single" w:color="auto" w:sz="2" w:space="0"/>
              <w:right w:val="single" w:color="auto" w:sz="2" w:space="0"/>
            </w:tcBorders>
            <w:vAlign w:val="center"/>
          </w:tcPr>
          <w:p w14:paraId="5AE009D2">
            <w:pPr>
              <w:pStyle w:val="63"/>
              <w:spacing w:line="400" w:lineRule="exact"/>
              <w:rPr>
                <w:rFonts w:ascii="仿宋" w:hAnsi="仿宋"/>
                <w:szCs w:val="24"/>
              </w:rPr>
            </w:pPr>
            <w:r>
              <w:rPr>
                <w:rFonts w:hint="eastAsia" w:ascii="仿宋" w:hAnsi="仿宋"/>
                <w:szCs w:val="24"/>
              </w:rPr>
              <w:t>油品泄漏处理</w:t>
            </w:r>
          </w:p>
          <w:p w14:paraId="63644846">
            <w:pPr>
              <w:pStyle w:val="63"/>
              <w:spacing w:line="400" w:lineRule="exact"/>
              <w:rPr>
                <w:rFonts w:ascii="仿宋" w:hAnsi="仿宋"/>
                <w:szCs w:val="24"/>
              </w:rPr>
            </w:pPr>
            <w:r>
              <w:rPr>
                <w:rFonts w:hint="eastAsia" w:ascii="仿宋" w:hAnsi="仿宋"/>
                <w:szCs w:val="24"/>
              </w:rPr>
              <w:t>工具</w:t>
            </w:r>
          </w:p>
        </w:tc>
        <w:tc>
          <w:tcPr>
            <w:tcW w:w="3382" w:type="pct"/>
            <w:vAlign w:val="center"/>
          </w:tcPr>
          <w:p w14:paraId="412E1DBF">
            <w:pPr>
              <w:pStyle w:val="63"/>
              <w:spacing w:line="400" w:lineRule="exact"/>
              <w:jc w:val="both"/>
              <w:rPr>
                <w:rFonts w:ascii="仿宋" w:hAnsi="仿宋"/>
                <w:szCs w:val="24"/>
              </w:rPr>
            </w:pPr>
            <w:r>
              <w:rPr>
                <w:rFonts w:hint="eastAsia" w:ascii="仿宋" w:hAnsi="仿宋"/>
                <w:szCs w:val="24"/>
              </w:rPr>
              <w:t>防爆油泵、防爆铲、泵及配套管道等、吸油毡垫、灭火毯</w:t>
            </w:r>
          </w:p>
        </w:tc>
      </w:tr>
      <w:tr w14:paraId="29D248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4CE0985A">
            <w:pPr>
              <w:pStyle w:val="63"/>
              <w:spacing w:line="400" w:lineRule="exact"/>
              <w:rPr>
                <w:rFonts w:ascii="仿宋" w:hAnsi="仿宋"/>
                <w:szCs w:val="24"/>
              </w:rPr>
            </w:pPr>
            <w:r>
              <w:rPr>
                <w:rFonts w:hint="eastAsia" w:ascii="仿宋" w:hAnsi="仿宋"/>
                <w:szCs w:val="24"/>
              </w:rPr>
              <w:t>5</w:t>
            </w:r>
          </w:p>
        </w:tc>
        <w:tc>
          <w:tcPr>
            <w:tcW w:w="1031" w:type="pct"/>
            <w:tcBorders>
              <w:top w:val="single" w:color="auto" w:sz="2" w:space="0"/>
              <w:left w:val="single" w:color="auto" w:sz="2" w:space="0"/>
              <w:bottom w:val="single" w:color="auto" w:sz="2" w:space="0"/>
              <w:right w:val="single" w:color="auto" w:sz="2" w:space="0"/>
            </w:tcBorders>
            <w:vAlign w:val="center"/>
          </w:tcPr>
          <w:p w14:paraId="049A25FC">
            <w:pPr>
              <w:pStyle w:val="63"/>
              <w:spacing w:line="400" w:lineRule="exact"/>
              <w:rPr>
                <w:rFonts w:ascii="仿宋" w:hAnsi="仿宋"/>
                <w:szCs w:val="24"/>
              </w:rPr>
            </w:pPr>
            <w:r>
              <w:rPr>
                <w:rFonts w:hint="eastAsia" w:ascii="仿宋" w:hAnsi="仿宋"/>
                <w:szCs w:val="24"/>
              </w:rPr>
              <w:t>医疗救援</w:t>
            </w:r>
          </w:p>
        </w:tc>
        <w:tc>
          <w:tcPr>
            <w:tcW w:w="3382" w:type="pct"/>
            <w:vAlign w:val="center"/>
          </w:tcPr>
          <w:p w14:paraId="554669C9">
            <w:pPr>
              <w:pStyle w:val="63"/>
              <w:spacing w:line="400" w:lineRule="exact"/>
              <w:jc w:val="both"/>
              <w:rPr>
                <w:rFonts w:ascii="仿宋" w:hAnsi="仿宋"/>
                <w:szCs w:val="24"/>
              </w:rPr>
            </w:pPr>
            <w:r>
              <w:rPr>
                <w:rFonts w:hint="eastAsia" w:ascii="仿宋" w:hAnsi="仿宋"/>
                <w:szCs w:val="24"/>
              </w:rPr>
              <w:t>急救箱（含烧伤膏、止血带等）、洗眼器/紧急冲淋装置</w:t>
            </w:r>
          </w:p>
        </w:tc>
      </w:tr>
      <w:tr w14:paraId="021171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87" w:type="pct"/>
            <w:tcBorders>
              <w:top w:val="single" w:color="auto" w:sz="2" w:space="0"/>
              <w:left w:val="single" w:color="auto" w:sz="2" w:space="0"/>
              <w:bottom w:val="single" w:color="auto" w:sz="2" w:space="0"/>
              <w:right w:val="single" w:color="auto" w:sz="2" w:space="0"/>
            </w:tcBorders>
            <w:vAlign w:val="center"/>
          </w:tcPr>
          <w:p w14:paraId="0EA2DD5F">
            <w:pPr>
              <w:pStyle w:val="63"/>
              <w:spacing w:line="400" w:lineRule="exact"/>
              <w:rPr>
                <w:rFonts w:ascii="仿宋" w:hAnsi="仿宋"/>
                <w:szCs w:val="24"/>
              </w:rPr>
            </w:pPr>
            <w:r>
              <w:rPr>
                <w:rFonts w:hint="eastAsia" w:ascii="仿宋" w:hAnsi="仿宋"/>
                <w:szCs w:val="24"/>
              </w:rPr>
              <w:t>6</w:t>
            </w:r>
          </w:p>
        </w:tc>
        <w:tc>
          <w:tcPr>
            <w:tcW w:w="1031" w:type="pct"/>
            <w:tcBorders>
              <w:top w:val="single" w:color="auto" w:sz="2" w:space="0"/>
              <w:left w:val="single" w:color="auto" w:sz="2" w:space="0"/>
              <w:bottom w:val="single" w:color="auto" w:sz="2" w:space="0"/>
              <w:right w:val="single" w:color="auto" w:sz="2" w:space="0"/>
            </w:tcBorders>
            <w:vAlign w:val="center"/>
          </w:tcPr>
          <w:p w14:paraId="117D0FD7">
            <w:pPr>
              <w:pStyle w:val="63"/>
              <w:spacing w:line="400" w:lineRule="exact"/>
              <w:rPr>
                <w:rFonts w:ascii="仿宋" w:hAnsi="仿宋"/>
                <w:szCs w:val="24"/>
              </w:rPr>
            </w:pPr>
            <w:r>
              <w:rPr>
                <w:rFonts w:hint="eastAsia" w:ascii="仿宋" w:hAnsi="仿宋"/>
                <w:szCs w:val="24"/>
              </w:rPr>
              <w:t>其他辅助物资</w:t>
            </w:r>
          </w:p>
        </w:tc>
        <w:tc>
          <w:tcPr>
            <w:tcW w:w="3382" w:type="pct"/>
            <w:vAlign w:val="center"/>
          </w:tcPr>
          <w:p w14:paraId="7EB112D7">
            <w:pPr>
              <w:pStyle w:val="63"/>
              <w:spacing w:line="400" w:lineRule="exact"/>
              <w:jc w:val="both"/>
              <w:rPr>
                <w:rFonts w:ascii="仿宋" w:hAnsi="仿宋"/>
                <w:szCs w:val="24"/>
              </w:rPr>
            </w:pPr>
            <w:r>
              <w:rPr>
                <w:rFonts w:hint="eastAsia" w:ascii="仿宋" w:hAnsi="仿宋"/>
                <w:szCs w:val="24"/>
              </w:rPr>
              <w:t>应急车辆（防爆运输车、救护车）、标识标牌（警示带、风向标、逃生路线指示牌）</w:t>
            </w:r>
          </w:p>
        </w:tc>
      </w:tr>
    </w:tbl>
    <w:p w14:paraId="7B2119E5">
      <w:pPr>
        <w:snapToGrid w:val="0"/>
        <w:spacing w:line="680" w:lineRule="exact"/>
        <w:rPr>
          <w:rFonts w:ascii="仿宋" w:hAnsi="仿宋" w:eastAsia="仿宋"/>
          <w:sz w:val="32"/>
        </w:rPr>
        <w:sectPr>
          <w:pgSz w:w="11906" w:h="16838"/>
          <w:pgMar w:top="1440" w:right="1134" w:bottom="1440" w:left="1134" w:header="851" w:footer="992" w:gutter="0"/>
          <w:cols w:space="425" w:num="1"/>
          <w:docGrid w:type="lines" w:linePitch="312" w:charSpace="0"/>
        </w:sectPr>
      </w:pPr>
    </w:p>
    <w:p w14:paraId="4A924A25">
      <w:pPr>
        <w:pStyle w:val="36"/>
      </w:pPr>
      <w:bookmarkStart w:id="191" w:name="_Toc213413238"/>
      <w:r>
        <w:rPr>
          <w:rFonts w:hint="eastAsia"/>
        </w:rPr>
        <w:t>附件8</w:t>
      </w:r>
      <w:r>
        <w:t xml:space="preserve">  </w:t>
      </w:r>
      <w:r>
        <w:rPr>
          <w:rFonts w:hint="eastAsia"/>
        </w:rPr>
        <w:t>跨区域突发环境事件通报模板</w:t>
      </w:r>
      <w:bookmarkEnd w:id="191"/>
    </w:p>
    <w:p w14:paraId="292DD8D4">
      <w:pPr>
        <w:pStyle w:val="34"/>
        <w:rPr>
          <w:color w:val="auto"/>
        </w:rPr>
      </w:pPr>
      <w:r>
        <w:rPr>
          <w:rFonts w:hint="eastAsia"/>
          <w:color w:val="auto"/>
        </w:rPr>
        <w:t>【密级】根据事件等级标注“秘密”或“内部”</w:t>
      </w:r>
    </w:p>
    <w:p w14:paraId="64106611">
      <w:pPr>
        <w:pStyle w:val="34"/>
        <w:rPr>
          <w:color w:val="auto"/>
        </w:rPr>
      </w:pPr>
      <w:r>
        <w:rPr>
          <w:rFonts w:hint="eastAsia"/>
          <w:color w:val="auto"/>
        </w:rPr>
        <w:t>【文号】云冈环应急通〔20XX〕XX号</w:t>
      </w:r>
    </w:p>
    <w:p w14:paraId="02751BAF">
      <w:pPr>
        <w:pStyle w:val="34"/>
        <w:rPr>
          <w:color w:val="auto"/>
        </w:rPr>
      </w:pPr>
      <w:r>
        <w:rPr>
          <w:rFonts w:hint="eastAsia"/>
          <w:color w:val="auto"/>
        </w:rPr>
        <w:t>【时限】自签发之时起30分钟内发出</w:t>
      </w:r>
    </w:p>
    <w:p w14:paraId="5DFC8AA4">
      <w:pPr>
        <w:pStyle w:val="34"/>
        <w:rPr>
          <w:color w:val="auto"/>
        </w:rPr>
      </w:pPr>
      <w:r>
        <w:rPr>
          <w:rFonts w:hint="eastAsia"/>
          <w:color w:val="auto"/>
        </w:rPr>
        <w:t>主送：</w:t>
      </w:r>
    </w:p>
    <w:p w14:paraId="6D884A0C">
      <w:pPr>
        <w:pStyle w:val="34"/>
        <w:rPr>
          <w:color w:val="auto"/>
        </w:rPr>
      </w:pPr>
      <w:r>
        <w:rPr>
          <w:rFonts w:hint="eastAsia"/>
          <w:color w:val="auto"/>
        </w:rPr>
        <w:t>××市××区人民政府（或生态环境局）</w:t>
      </w:r>
    </w:p>
    <w:p w14:paraId="53247EB1">
      <w:pPr>
        <w:pStyle w:val="34"/>
        <w:rPr>
          <w:color w:val="auto"/>
        </w:rPr>
      </w:pPr>
      <w:r>
        <w:rPr>
          <w:rFonts w:hint="eastAsia"/>
          <w:color w:val="auto"/>
        </w:rPr>
        <w:t>抄送：</w:t>
      </w:r>
    </w:p>
    <w:p w14:paraId="5953989B">
      <w:pPr>
        <w:pStyle w:val="34"/>
        <w:rPr>
          <w:color w:val="auto"/>
        </w:rPr>
      </w:pPr>
      <w:r>
        <w:rPr>
          <w:rFonts w:hint="eastAsia"/>
          <w:color w:val="auto"/>
        </w:rPr>
        <w:t>大同市生态环境局、山西省生态环境厅、云冈区委区政府总值班室</w:t>
      </w:r>
    </w:p>
    <w:p w14:paraId="085B1AD0">
      <w:pPr>
        <w:pStyle w:val="34"/>
        <w:rPr>
          <w:color w:val="auto"/>
        </w:rPr>
      </w:pPr>
      <w:r>
        <w:rPr>
          <w:rFonts w:hint="eastAsia"/>
          <w:color w:val="auto"/>
        </w:rPr>
        <w:t>通报内容：</w:t>
      </w:r>
    </w:p>
    <w:p w14:paraId="53E44CD3">
      <w:pPr>
        <w:pStyle w:val="34"/>
        <w:rPr>
          <w:color w:val="auto"/>
        </w:rPr>
      </w:pPr>
      <w:r>
        <w:rPr>
          <w:rFonts w:hint="eastAsia"/>
          <w:color w:val="auto"/>
        </w:rPr>
        <w:t>1.事件名称：</w:t>
      </w:r>
    </w:p>
    <w:p w14:paraId="5572E0A5">
      <w:pPr>
        <w:pStyle w:val="34"/>
        <w:rPr>
          <w:color w:val="auto"/>
        </w:rPr>
      </w:pPr>
      <w:r>
        <w:rPr>
          <w:rFonts w:hint="eastAsia"/>
          <w:color w:val="auto"/>
        </w:rPr>
        <w:t>2.发生时间：20XX年X月X日X时X分（24h制）</w:t>
      </w:r>
    </w:p>
    <w:p w14:paraId="214009B1">
      <w:pPr>
        <w:pStyle w:val="34"/>
        <w:rPr>
          <w:color w:val="auto"/>
        </w:rPr>
      </w:pPr>
      <w:r>
        <w:rPr>
          <w:rFonts w:hint="eastAsia"/>
          <w:color w:val="auto"/>
        </w:rPr>
        <w:t>3.发生地点：云冈区××街道（乡镇）××村（坐标：N××°××′××″，E××°××′××″）</w:t>
      </w:r>
    </w:p>
    <w:p w14:paraId="6D30DE2E">
      <w:pPr>
        <w:pStyle w:val="34"/>
        <w:rPr>
          <w:color w:val="auto"/>
        </w:rPr>
      </w:pPr>
      <w:r>
        <w:rPr>
          <w:rFonts w:hint="eastAsia"/>
          <w:color w:val="auto"/>
        </w:rPr>
        <w:t>4.事件起因与类别：简要描述（如“运输盐酸槽罐车侧翻泄漏”）</w:t>
      </w:r>
    </w:p>
    <w:p w14:paraId="7C4BE088">
      <w:pPr>
        <w:pStyle w:val="34"/>
        <w:rPr>
          <w:color w:val="auto"/>
        </w:rPr>
      </w:pPr>
      <w:r>
        <w:rPr>
          <w:rFonts w:hint="eastAsia"/>
          <w:color w:val="auto"/>
        </w:rPr>
        <w:t>5.主要污染物及数量：××化学品，约××吨/升</w:t>
      </w:r>
    </w:p>
    <w:p w14:paraId="5AFC2977">
      <w:pPr>
        <w:pStyle w:val="34"/>
        <w:rPr>
          <w:color w:val="auto"/>
        </w:rPr>
      </w:pPr>
      <w:r>
        <w:rPr>
          <w:rFonts w:hint="eastAsia"/>
          <w:color w:val="auto"/>
        </w:rPr>
        <w:t>6.已采取应急措施：</w:t>
      </w:r>
    </w:p>
    <w:p w14:paraId="3342B7AB">
      <w:pPr>
        <w:pStyle w:val="34"/>
        <w:rPr>
          <w:color w:val="auto"/>
        </w:rPr>
      </w:pPr>
      <w:r>
        <w:rPr>
          <w:rFonts w:hint="eastAsia" w:ascii="微软雅黑" w:hAnsi="微软雅黑" w:eastAsia="微软雅黑" w:cs="微软雅黑"/>
          <w:color w:val="auto"/>
        </w:rPr>
        <w:t>•</w:t>
      </w:r>
      <w:r>
        <w:rPr>
          <w:rFonts w:hint="eastAsia"/>
          <w:color w:val="auto"/>
        </w:rPr>
        <w:t>污染源控制：□已切断□正在切断</w:t>
      </w:r>
    </w:p>
    <w:p w14:paraId="78758508">
      <w:pPr>
        <w:pStyle w:val="34"/>
        <w:rPr>
          <w:color w:val="auto"/>
        </w:rPr>
      </w:pPr>
      <w:r>
        <w:rPr>
          <w:rFonts w:hint="eastAsia" w:ascii="微软雅黑" w:hAnsi="微软雅黑" w:eastAsia="微软雅黑" w:cs="微软雅黑"/>
          <w:color w:val="auto"/>
        </w:rPr>
        <w:t>•</w:t>
      </w:r>
      <w:r>
        <w:rPr>
          <w:rFonts w:hint="eastAsia"/>
          <w:color w:val="auto"/>
        </w:rPr>
        <w:t>已疏散人数：××人</w:t>
      </w:r>
    </w:p>
    <w:p w14:paraId="4E505A6C">
      <w:pPr>
        <w:pStyle w:val="34"/>
        <w:rPr>
          <w:color w:val="auto"/>
        </w:rPr>
      </w:pPr>
      <w:r>
        <w:rPr>
          <w:rFonts w:hint="eastAsia" w:ascii="微软雅黑" w:hAnsi="微软雅黑" w:eastAsia="微软雅黑" w:cs="微软雅黑"/>
          <w:color w:val="auto"/>
        </w:rPr>
        <w:t>•</w:t>
      </w:r>
      <w:r>
        <w:rPr>
          <w:rFonts w:hint="eastAsia" w:cs="仿宋"/>
          <w:color w:val="auto"/>
        </w:rPr>
        <w:t>已设置警戒线</w:t>
      </w:r>
      <w:r>
        <w:rPr>
          <w:rFonts w:hint="eastAsia"/>
          <w:color w:val="auto"/>
        </w:rPr>
        <w:t>/监测点位：××处</w:t>
      </w:r>
    </w:p>
    <w:p w14:paraId="7FD2DFE4">
      <w:pPr>
        <w:pStyle w:val="34"/>
        <w:rPr>
          <w:color w:val="auto"/>
        </w:rPr>
      </w:pPr>
      <w:r>
        <w:rPr>
          <w:rFonts w:hint="eastAsia"/>
          <w:color w:val="auto"/>
        </w:rPr>
        <w:t>7.可能影响范围：</w:t>
      </w:r>
    </w:p>
    <w:p w14:paraId="20AF104A">
      <w:pPr>
        <w:pStyle w:val="34"/>
        <w:rPr>
          <w:color w:val="auto"/>
        </w:rPr>
      </w:pPr>
      <w:r>
        <w:rPr>
          <w:rFonts w:hint="eastAsia" w:ascii="微软雅黑" w:hAnsi="微软雅黑" w:eastAsia="微软雅黑" w:cs="微软雅黑"/>
          <w:color w:val="auto"/>
        </w:rPr>
        <w:t>•</w:t>
      </w:r>
      <w:r>
        <w:rPr>
          <w:rFonts w:hint="eastAsia" w:cs="仿宋"/>
          <w:color w:val="auto"/>
        </w:rPr>
        <w:t>下游河流</w:t>
      </w:r>
      <w:r>
        <w:rPr>
          <w:rFonts w:hint="eastAsia"/>
          <w:color w:val="auto"/>
        </w:rPr>
        <w:t>/敏感目标：××河、××水库、××水厂取水口</w:t>
      </w:r>
    </w:p>
    <w:p w14:paraId="2084FF23">
      <w:pPr>
        <w:pStyle w:val="34"/>
        <w:rPr>
          <w:color w:val="auto"/>
        </w:rPr>
      </w:pPr>
      <w:r>
        <w:rPr>
          <w:rFonts w:hint="eastAsia" w:ascii="微软雅黑" w:hAnsi="微软雅黑" w:eastAsia="微软雅黑" w:cs="微软雅黑"/>
          <w:color w:val="auto"/>
        </w:rPr>
        <w:t>•</w:t>
      </w:r>
      <w:r>
        <w:rPr>
          <w:rFonts w:hint="eastAsia" w:cs="仿宋"/>
          <w:color w:val="auto"/>
        </w:rPr>
        <w:t>预估到达边界时间：</w:t>
      </w:r>
      <w:r>
        <w:rPr>
          <w:rFonts w:hint="eastAsia"/>
          <w:color w:val="auto"/>
        </w:rPr>
        <w:t>20XX年X月X日X时X分</w:t>
      </w:r>
    </w:p>
    <w:p w14:paraId="5F27524E">
      <w:pPr>
        <w:pStyle w:val="34"/>
        <w:rPr>
          <w:color w:val="auto"/>
        </w:rPr>
      </w:pPr>
      <w:r>
        <w:rPr>
          <w:rFonts w:hint="eastAsia"/>
          <w:color w:val="auto"/>
        </w:rPr>
        <w:t>8.我方联络人：</w:t>
      </w:r>
    </w:p>
    <w:p w14:paraId="10F7E4EA">
      <w:pPr>
        <w:pStyle w:val="34"/>
        <w:rPr>
          <w:color w:val="auto"/>
        </w:rPr>
      </w:pPr>
      <w:r>
        <w:rPr>
          <w:rFonts w:hint="eastAsia" w:ascii="微软雅黑" w:hAnsi="微软雅黑" w:eastAsia="微软雅黑" w:cs="微软雅黑"/>
          <w:color w:val="auto"/>
        </w:rPr>
        <w:t>•</w:t>
      </w:r>
      <w:r>
        <w:rPr>
          <w:rFonts w:hint="eastAsia"/>
          <w:color w:val="auto"/>
        </w:rPr>
        <w:t>现场指挥：×××职务手机：×××-××××××××</w:t>
      </w:r>
    </w:p>
    <w:p w14:paraId="2B62722A">
      <w:pPr>
        <w:pStyle w:val="34"/>
        <w:rPr>
          <w:color w:val="auto"/>
        </w:rPr>
      </w:pPr>
      <w:r>
        <w:rPr>
          <w:rFonts w:hint="eastAsia" w:ascii="微软雅黑" w:hAnsi="微软雅黑" w:eastAsia="微软雅黑" w:cs="微软雅黑"/>
          <w:color w:val="auto"/>
        </w:rPr>
        <w:t>•</w:t>
      </w:r>
      <w:r>
        <w:rPr>
          <w:rFonts w:hint="eastAsia" w:cs="仿宋"/>
          <w:color w:val="auto"/>
        </w:rPr>
        <w:t>值班电话：</w:t>
      </w:r>
      <w:r>
        <w:rPr>
          <w:rFonts w:hint="eastAsia"/>
          <w:color w:val="auto"/>
        </w:rPr>
        <w:t>0352-4040xxx（24小时）</w:t>
      </w:r>
    </w:p>
    <w:p w14:paraId="1F0F8605">
      <w:pPr>
        <w:pStyle w:val="34"/>
        <w:rPr>
          <w:color w:val="auto"/>
        </w:rPr>
      </w:pPr>
      <w:r>
        <w:rPr>
          <w:rFonts w:hint="eastAsia"/>
          <w:color w:val="auto"/>
        </w:rPr>
        <w:t>9.需贵方协同事项：</w:t>
      </w:r>
    </w:p>
    <w:p w14:paraId="4428A927">
      <w:pPr>
        <w:pStyle w:val="34"/>
        <w:rPr>
          <w:color w:val="auto"/>
        </w:rPr>
      </w:pPr>
      <w:r>
        <w:rPr>
          <w:rFonts w:hint="eastAsia" w:ascii="微软雅黑" w:hAnsi="微软雅黑" w:eastAsia="微软雅黑" w:cs="微软雅黑"/>
          <w:color w:val="auto"/>
        </w:rPr>
        <w:t>•</w:t>
      </w:r>
      <w:r>
        <w:rPr>
          <w:rFonts w:hint="eastAsia"/>
          <w:color w:val="auto"/>
        </w:rPr>
        <w:t>联合监测断面建议：××断面（距边界约××公里）</w:t>
      </w:r>
    </w:p>
    <w:p w14:paraId="6E6A6E95">
      <w:pPr>
        <w:pStyle w:val="34"/>
        <w:rPr>
          <w:color w:val="auto"/>
        </w:rPr>
      </w:pPr>
      <w:r>
        <w:rPr>
          <w:rFonts w:hint="eastAsia" w:ascii="微软雅黑" w:hAnsi="微软雅黑" w:eastAsia="微软雅黑" w:cs="微软雅黑"/>
          <w:color w:val="auto"/>
        </w:rPr>
        <w:t>•</w:t>
      </w:r>
      <w:r>
        <w:rPr>
          <w:rFonts w:hint="eastAsia" w:cs="仿宋"/>
          <w:color w:val="auto"/>
        </w:rPr>
        <w:t>协同物资需求：围</w:t>
      </w:r>
      <w:r>
        <w:rPr>
          <w:rFonts w:hint="eastAsia"/>
          <w:color w:val="auto"/>
        </w:rPr>
        <w:t>油栏××米、活性炭××吨（或注明“无”）</w:t>
      </w:r>
    </w:p>
    <w:p w14:paraId="7AD754E8">
      <w:pPr>
        <w:pStyle w:val="34"/>
        <w:rPr>
          <w:color w:val="auto"/>
        </w:rPr>
      </w:pPr>
      <w:r>
        <w:rPr>
          <w:rFonts w:hint="eastAsia"/>
          <w:color w:val="auto"/>
        </w:rPr>
        <w:t>签发人：×××（区应急指挥部总指挥）</w:t>
      </w:r>
    </w:p>
    <w:p w14:paraId="39F4DFDD">
      <w:pPr>
        <w:pStyle w:val="34"/>
        <w:rPr>
          <w:color w:val="auto"/>
        </w:rPr>
      </w:pPr>
      <w:r>
        <w:rPr>
          <w:rFonts w:hint="eastAsia"/>
          <w:color w:val="auto"/>
        </w:rPr>
        <w:t>签发时间：20XX年X月X日X时X分</w:t>
      </w:r>
    </w:p>
    <w:p w14:paraId="381F3728">
      <w:pPr>
        <w:pStyle w:val="34"/>
        <w:rPr>
          <w:color w:val="auto"/>
        </w:rPr>
        <w:sectPr>
          <w:pgSz w:w="11906" w:h="16838"/>
          <w:pgMar w:top="1440" w:right="1134" w:bottom="1440" w:left="1134" w:header="851" w:footer="992" w:gutter="0"/>
          <w:cols w:space="425" w:num="1"/>
          <w:docGrid w:type="lines" w:linePitch="312" w:charSpace="0"/>
        </w:sectPr>
      </w:pPr>
      <w:r>
        <w:rPr>
          <w:rFonts w:hint="eastAsia"/>
          <w:color w:val="auto"/>
        </w:rPr>
        <w:t>发送方式：□政务协同系统□传真□电话确认□电子邮件同步发送</w:t>
      </w:r>
    </w:p>
    <w:p w14:paraId="04747E3B">
      <w:pPr>
        <w:pStyle w:val="36"/>
      </w:pPr>
      <w:bookmarkStart w:id="192" w:name="_Toc213413239"/>
      <w:r>
        <w:rPr>
          <w:rFonts w:hint="eastAsia"/>
        </w:rPr>
        <w:t>附件9</w:t>
      </w:r>
      <w:r>
        <w:t xml:space="preserve"> </w:t>
      </w:r>
      <w:r>
        <w:rPr>
          <w:rFonts w:hint="eastAsia"/>
        </w:rPr>
        <w:t>预警解除公告模板</w:t>
      </w:r>
      <w:bookmarkEnd w:id="192"/>
    </w:p>
    <w:p w14:paraId="29E167E7">
      <w:pPr>
        <w:pStyle w:val="34"/>
        <w:ind w:firstLine="0"/>
        <w:jc w:val="center"/>
        <w:rPr>
          <w:color w:val="auto"/>
        </w:rPr>
      </w:pPr>
      <w:r>
        <w:rPr>
          <w:rFonts w:hint="eastAsia"/>
          <w:color w:val="auto"/>
        </w:rPr>
        <w:t>云冈区突发环境事件应急指挥部预警解除公告</w:t>
      </w:r>
    </w:p>
    <w:p w14:paraId="3D014D76">
      <w:pPr>
        <w:pStyle w:val="34"/>
        <w:rPr>
          <w:color w:val="auto"/>
        </w:rPr>
      </w:pPr>
      <w:r>
        <w:rPr>
          <w:rFonts w:hint="eastAsia"/>
          <w:color w:val="auto"/>
        </w:rPr>
        <w:t>云冈环应急解〔20XX〕X号</w:t>
      </w:r>
    </w:p>
    <w:p w14:paraId="66BED37A">
      <w:pPr>
        <w:pStyle w:val="34"/>
        <w:rPr>
          <w:color w:val="auto"/>
        </w:rPr>
      </w:pPr>
      <w:r>
        <w:rPr>
          <w:rFonts w:hint="eastAsia"/>
          <w:color w:val="auto"/>
        </w:rPr>
        <w:t>根据《大同市云冈区突发环境事件应急预案》有关规定，经现场处置、连续监测及专家组评估，现发布预警解除信息如下：</w:t>
      </w:r>
    </w:p>
    <w:p w14:paraId="648832D2">
      <w:pPr>
        <w:pStyle w:val="34"/>
        <w:rPr>
          <w:color w:val="auto"/>
        </w:rPr>
      </w:pPr>
      <w:r>
        <w:rPr>
          <w:rFonts w:hint="eastAsia"/>
          <w:color w:val="auto"/>
        </w:rPr>
        <w:t>一、事件回顾</w:t>
      </w:r>
    </w:p>
    <w:p w14:paraId="11EBA695">
      <w:pPr>
        <w:pStyle w:val="34"/>
        <w:rPr>
          <w:color w:val="auto"/>
        </w:rPr>
      </w:pPr>
      <w:r>
        <w:rPr>
          <w:rFonts w:hint="eastAsia"/>
          <w:color w:val="auto"/>
        </w:rPr>
        <w:t>事件名称：×××突发环境事件</w:t>
      </w:r>
    </w:p>
    <w:p w14:paraId="45047EA0">
      <w:pPr>
        <w:pStyle w:val="34"/>
        <w:rPr>
          <w:color w:val="auto"/>
        </w:rPr>
      </w:pPr>
      <w:r>
        <w:rPr>
          <w:rFonts w:hint="eastAsia"/>
          <w:color w:val="auto"/>
        </w:rPr>
        <w:t>预警发布时间：20XX年X月X日X时X分</w:t>
      </w:r>
    </w:p>
    <w:p w14:paraId="38F352A0">
      <w:pPr>
        <w:pStyle w:val="34"/>
        <w:rPr>
          <w:color w:val="auto"/>
        </w:rPr>
      </w:pPr>
      <w:r>
        <w:rPr>
          <w:rFonts w:hint="eastAsia"/>
          <w:color w:val="auto"/>
        </w:rPr>
        <w:t>预警级别：□红色□橙色□黄色□蓝色</w:t>
      </w:r>
    </w:p>
    <w:p w14:paraId="209ABD4F">
      <w:pPr>
        <w:pStyle w:val="34"/>
        <w:rPr>
          <w:color w:val="auto"/>
        </w:rPr>
      </w:pPr>
      <w:r>
        <w:rPr>
          <w:rFonts w:hint="eastAsia"/>
          <w:color w:val="auto"/>
        </w:rPr>
        <w:t>二、专家组结论（原文引用）</w:t>
      </w:r>
    </w:p>
    <w:p w14:paraId="199EF2FC">
      <w:pPr>
        <w:pStyle w:val="34"/>
        <w:rPr>
          <w:color w:val="auto"/>
        </w:rPr>
      </w:pPr>
      <w:r>
        <w:rPr>
          <w:rFonts w:hint="eastAsia"/>
          <w:color w:val="auto"/>
        </w:rPr>
        <w:t>“经对××点位连续48小时监测，特征污染物××浓度已稳定低于事件前环境本底值（检出限×mg/L或×μg/m</w:t>
      </w:r>
      <w:r>
        <w:rPr>
          <w:rFonts w:ascii="Calibri" w:hAnsi="Calibri" w:cs="Calibri"/>
          <w:color w:val="auto"/>
        </w:rPr>
        <w:t>³</w:t>
      </w:r>
      <w:r>
        <w:rPr>
          <w:rFonts w:hint="eastAsia"/>
          <w:color w:val="auto"/>
        </w:rPr>
        <w:t>），无次生环境风险。建议解除预警。”</w:t>
      </w:r>
    </w:p>
    <w:p w14:paraId="2659ABFC">
      <w:pPr>
        <w:pStyle w:val="34"/>
        <w:rPr>
          <w:color w:val="auto"/>
        </w:rPr>
      </w:pPr>
      <w:r>
        <w:rPr>
          <w:rFonts w:hint="eastAsia"/>
          <w:color w:val="auto"/>
        </w:rPr>
        <w:t>专家组组长签字：×××</w:t>
      </w:r>
    </w:p>
    <w:p w14:paraId="5ACE0E2B">
      <w:pPr>
        <w:pStyle w:val="34"/>
        <w:rPr>
          <w:color w:val="auto"/>
        </w:rPr>
      </w:pPr>
      <w:r>
        <w:rPr>
          <w:rFonts w:hint="eastAsia"/>
          <w:color w:val="auto"/>
        </w:rPr>
        <w:t>日期：20XX年X月X日</w:t>
      </w:r>
    </w:p>
    <w:p w14:paraId="2CBA5AE1">
      <w:pPr>
        <w:pStyle w:val="34"/>
        <w:rPr>
          <w:color w:val="auto"/>
        </w:rPr>
      </w:pPr>
      <w:r>
        <w:rPr>
          <w:rFonts w:hint="eastAsia"/>
          <w:color w:val="auto"/>
        </w:rPr>
        <w:t>三、解除决定</w:t>
      </w:r>
    </w:p>
    <w:p w14:paraId="3E20BAE3">
      <w:pPr>
        <w:pStyle w:val="34"/>
        <w:rPr>
          <w:color w:val="auto"/>
        </w:rPr>
      </w:pPr>
      <w:r>
        <w:rPr>
          <w:rFonts w:hint="eastAsia"/>
          <w:color w:val="auto"/>
        </w:rPr>
        <w:t>经区突发环境事件应急指挥部研究，总指挥×××批准，自20XX年X月X日X时X分起，解除本次预警。后续转入常态管理。</w:t>
      </w:r>
    </w:p>
    <w:p w14:paraId="27030035">
      <w:pPr>
        <w:pStyle w:val="34"/>
        <w:rPr>
          <w:color w:val="auto"/>
        </w:rPr>
      </w:pPr>
      <w:r>
        <w:rPr>
          <w:rFonts w:hint="eastAsia"/>
          <w:color w:val="auto"/>
        </w:rPr>
        <w:t>四、公众提示</w:t>
      </w:r>
    </w:p>
    <w:p w14:paraId="53EEFB67">
      <w:pPr>
        <w:pStyle w:val="34"/>
        <w:rPr>
          <w:color w:val="auto"/>
        </w:rPr>
      </w:pPr>
      <w:r>
        <w:rPr>
          <w:rFonts w:hint="eastAsia"/>
          <w:color w:val="auto"/>
        </w:rPr>
        <w:t>1.居民可恢复正常生产生活秩序。</w:t>
      </w:r>
    </w:p>
    <w:p w14:paraId="7AF4E9DE">
      <w:pPr>
        <w:pStyle w:val="34"/>
        <w:rPr>
          <w:color w:val="auto"/>
        </w:rPr>
      </w:pPr>
      <w:r>
        <w:rPr>
          <w:rFonts w:hint="eastAsia"/>
          <w:color w:val="auto"/>
        </w:rPr>
        <w:t>2.涉事企业须继续做好隐患排查，3日内向生态环境分局提交整改报告。</w:t>
      </w:r>
    </w:p>
    <w:p w14:paraId="556F48C2">
      <w:pPr>
        <w:pStyle w:val="34"/>
        <w:rPr>
          <w:color w:val="auto"/>
        </w:rPr>
      </w:pPr>
      <w:r>
        <w:rPr>
          <w:rFonts w:hint="eastAsia"/>
          <w:color w:val="auto"/>
        </w:rPr>
        <w:t>3.咨询电话：0352-4040915（24小时）</w:t>
      </w:r>
    </w:p>
    <w:p w14:paraId="3CB86EFF">
      <w:pPr>
        <w:pStyle w:val="34"/>
        <w:rPr>
          <w:color w:val="auto"/>
        </w:rPr>
      </w:pPr>
      <w:r>
        <w:rPr>
          <w:rFonts w:hint="eastAsia"/>
          <w:color w:val="auto"/>
        </w:rPr>
        <w:t>特此公告。</w:t>
      </w:r>
    </w:p>
    <w:p w14:paraId="6BBD75B2">
      <w:pPr>
        <w:pStyle w:val="34"/>
        <w:rPr>
          <w:color w:val="auto"/>
        </w:rPr>
      </w:pPr>
      <w:r>
        <w:rPr>
          <w:rFonts w:hint="eastAsia"/>
          <w:color w:val="auto"/>
        </w:rPr>
        <w:t>（盖章）</w:t>
      </w:r>
    </w:p>
    <w:p w14:paraId="59248AB2">
      <w:pPr>
        <w:pStyle w:val="34"/>
        <w:jc w:val="right"/>
        <w:rPr>
          <w:color w:val="auto"/>
        </w:rPr>
      </w:pPr>
      <w:r>
        <w:rPr>
          <w:rFonts w:hint="eastAsia"/>
          <w:color w:val="auto"/>
        </w:rPr>
        <w:t>云冈区突发环境事件应急指挥部</w:t>
      </w:r>
    </w:p>
    <w:p w14:paraId="28B21A8C">
      <w:pPr>
        <w:pStyle w:val="34"/>
        <w:ind w:right="640"/>
        <w:jc w:val="right"/>
        <w:rPr>
          <w:color w:val="auto"/>
        </w:rPr>
      </w:pPr>
      <w:r>
        <w:rPr>
          <w:rFonts w:hint="eastAsia"/>
          <w:color w:val="auto"/>
        </w:rPr>
        <w:t>总指挥签字：</w:t>
      </w:r>
    </w:p>
    <w:p w14:paraId="4402E119">
      <w:pPr>
        <w:pStyle w:val="34"/>
        <w:jc w:val="right"/>
        <w:rPr>
          <w:color w:val="auto"/>
        </w:rPr>
      </w:pPr>
      <w:r>
        <w:rPr>
          <w:rFonts w:hint="eastAsia"/>
          <w:color w:val="auto"/>
        </w:rPr>
        <w:t>发布时间：20XX年X月X日X时X分</w:t>
      </w:r>
    </w:p>
    <w:p w14:paraId="36757A01">
      <w:pPr>
        <w:pStyle w:val="34"/>
        <w:rPr>
          <w:color w:val="auto"/>
        </w:rPr>
      </w:pPr>
    </w:p>
    <w:p w14:paraId="75DB1FFC">
      <w:pPr>
        <w:pStyle w:val="34"/>
        <w:rPr>
          <w:color w:val="auto"/>
        </w:rPr>
      </w:pPr>
    </w:p>
    <w:p w14:paraId="592DA242">
      <w:pPr>
        <w:snapToGrid w:val="0"/>
        <w:spacing w:line="680" w:lineRule="exact"/>
        <w:rPr>
          <w:rFonts w:ascii="仿宋" w:hAnsi="仿宋" w:eastAsia="仿宋"/>
          <w:sz w:val="32"/>
        </w:rPr>
      </w:pPr>
    </w:p>
    <w:p w14:paraId="7E9FA35B">
      <w:pPr>
        <w:snapToGrid w:val="0"/>
        <w:spacing w:line="680" w:lineRule="exact"/>
        <w:rPr>
          <w:rFonts w:ascii="仿宋" w:hAnsi="仿宋" w:eastAsia="仿宋"/>
          <w:sz w:val="32"/>
        </w:rPr>
        <w:sectPr>
          <w:pgSz w:w="11906" w:h="16838"/>
          <w:pgMar w:top="1440" w:right="1134" w:bottom="1440" w:left="1134" w:header="851" w:footer="992" w:gutter="0"/>
          <w:cols w:space="425" w:num="1"/>
          <w:docGrid w:type="lines" w:linePitch="312" w:charSpace="0"/>
        </w:sectPr>
      </w:pPr>
    </w:p>
    <w:p w14:paraId="73D138FA">
      <w:pPr>
        <w:pStyle w:val="36"/>
      </w:pPr>
      <w:bookmarkStart w:id="193" w:name="_Toc213413240"/>
      <w:r>
        <w:rPr>
          <w:rFonts w:hint="eastAsia"/>
        </w:rPr>
        <w:t>附图1云冈区区位及行政区划图</w:t>
      </w:r>
      <w:bookmarkEnd w:id="193"/>
    </w:p>
    <w:p w14:paraId="022EEA0D">
      <w:pPr>
        <w:snapToGrid w:val="0"/>
        <w:jc w:val="center"/>
        <w:rPr>
          <w:rFonts w:ascii="仿宋" w:hAnsi="仿宋" w:eastAsia="仿宋"/>
          <w:sz w:val="32"/>
        </w:rPr>
      </w:pPr>
      <w:r>
        <w:rPr>
          <w:rFonts w:ascii="仿宋" w:hAnsi="仿宋" w:eastAsia="仿宋"/>
          <w:sz w:val="32"/>
        </w:rPr>
        <w:drawing>
          <wp:inline distT="0" distB="0" distL="0" distR="0">
            <wp:extent cx="5392420" cy="8401685"/>
            <wp:effectExtent l="0" t="0" r="0" b="0"/>
            <wp:docPr id="6" name="图片 6" descr="C:\Users\Administrator\Desktop\大同市地图 1：105万 16开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大同市地图 1：105万 16开 拷贝.jpg"/>
                    <pic:cNvPicPr>
                      <a:picLocks noChangeAspect="1" noChangeArrowheads="1"/>
                    </pic:cNvPicPr>
                  </pic:nvPicPr>
                  <pic:blipFill>
                    <a:blip r:embed="rId11" cstate="print">
                      <a:extLst>
                        <a:ext uri="{28A0092B-C50C-407E-A947-70E740481C1C}">
                          <a14:useLocalDpi xmlns:a14="http://schemas.microsoft.com/office/drawing/2010/main" val="0"/>
                        </a:ext>
                      </a:extLst>
                    </a:blip>
                    <a:srcRect l="3294" t="2091" r="2466" b="1233"/>
                    <a:stretch>
                      <a:fillRect/>
                    </a:stretch>
                  </pic:blipFill>
                  <pic:spPr>
                    <a:xfrm>
                      <a:off x="0" y="0"/>
                      <a:ext cx="5402988" cy="8418139"/>
                    </a:xfrm>
                    <a:prstGeom prst="rect">
                      <a:avLst/>
                    </a:prstGeom>
                    <a:noFill/>
                    <a:ln>
                      <a:noFill/>
                    </a:ln>
                  </pic:spPr>
                </pic:pic>
              </a:graphicData>
            </a:graphic>
          </wp:inline>
        </w:drawing>
      </w:r>
    </w:p>
    <w:p w14:paraId="349B10D7">
      <w:pPr>
        <w:pStyle w:val="36"/>
      </w:pPr>
      <w:bookmarkStart w:id="194" w:name="_Toc205835072"/>
      <w:bookmarkStart w:id="195" w:name="_Toc213413241"/>
      <w:r>
        <w:rPr>
          <w:rFonts w:hint="eastAsia"/>
        </w:rPr>
        <w:t>附图2</w:t>
      </w:r>
      <w:r>
        <w:t xml:space="preserve"> </w:t>
      </w:r>
      <w:r>
        <w:rPr>
          <w:rFonts w:hint="eastAsia"/>
        </w:rPr>
        <w:t>大同市地表水系图</w:t>
      </w:r>
      <w:bookmarkEnd w:id="194"/>
      <w:bookmarkEnd w:id="195"/>
    </w:p>
    <w:p w14:paraId="04FBD8B3">
      <w:pPr>
        <w:pStyle w:val="34"/>
        <w:spacing w:line="240" w:lineRule="auto"/>
        <w:rPr>
          <w:color w:val="auto"/>
        </w:rPr>
      </w:pPr>
      <w:r>
        <w:rPr>
          <w:color w:val="auto"/>
        </w:rPr>
        <w:drawing>
          <wp:inline distT="0" distB="0" distL="0" distR="0">
            <wp:extent cx="5532755" cy="7674610"/>
            <wp:effectExtent l="0" t="0" r="0" b="2540"/>
            <wp:docPr id="5" name="图片 5" descr="F:\应急预案\应急预案\报告\报批本\附图2 地表水系图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应急预案\应急预案\报告\报批本\附图2 地表水系图 拷贝.jpg"/>
                    <pic:cNvPicPr>
                      <a:picLocks noChangeAspect="1" noChangeArrowheads="1"/>
                    </pic:cNvPicPr>
                  </pic:nvPicPr>
                  <pic:blipFill>
                    <a:blip r:embed="rId12" cstate="print">
                      <a:extLst>
                        <a:ext uri="{28A0092B-C50C-407E-A947-70E740481C1C}">
                          <a14:useLocalDpi xmlns:a14="http://schemas.microsoft.com/office/drawing/2010/main" val="0"/>
                        </a:ext>
                      </a:extLst>
                    </a:blip>
                    <a:srcRect l="4979" t="3972" r="4599" b="7373"/>
                    <a:stretch>
                      <a:fillRect/>
                    </a:stretch>
                  </pic:blipFill>
                  <pic:spPr>
                    <a:xfrm>
                      <a:off x="0" y="0"/>
                      <a:ext cx="5533892" cy="7675538"/>
                    </a:xfrm>
                    <a:prstGeom prst="rect">
                      <a:avLst/>
                    </a:prstGeom>
                    <a:noFill/>
                    <a:ln>
                      <a:noFill/>
                    </a:ln>
                  </pic:spPr>
                </pic:pic>
              </a:graphicData>
            </a:graphic>
          </wp:inline>
        </w:drawing>
      </w:r>
    </w:p>
    <w:p w14:paraId="5C430212">
      <w:pPr>
        <w:pStyle w:val="34"/>
        <w:rPr>
          <w:color w:val="auto"/>
        </w:rPr>
      </w:pPr>
    </w:p>
    <w:p w14:paraId="40F761FE">
      <w:pPr>
        <w:pStyle w:val="23"/>
        <w:jc w:val="center"/>
      </w:pPr>
      <w:r>
        <w:drawing>
          <wp:inline distT="0" distB="0" distL="0" distR="0">
            <wp:extent cx="8639810" cy="6109970"/>
            <wp:effectExtent l="7620" t="0" r="0" b="0"/>
            <wp:docPr id="2" name="图片 2" descr="C:\Users\Administrator\Desktop\意见\审查意见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意见\审查意见_页面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8640000" cy="6110042"/>
                    </a:xfrm>
                    <a:prstGeom prst="rect">
                      <a:avLst/>
                    </a:prstGeom>
                    <a:noFill/>
                    <a:ln>
                      <a:noFill/>
                    </a:ln>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7F" w:usb3="00000000" w:csb0="003F01FF" w:csb1="00000000"/>
  </w:font>
  <w:font w:name="方正小标宋简体">
    <w:altName w:val="方正舒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 w:name="方正舒体">
    <w:panose1 w:val="02010601030101010101"/>
    <w:charset w:val="86"/>
    <w:family w:val="auto"/>
    <w:pitch w:val="default"/>
    <w:sig w:usb0="00000003" w:usb1="080E0000" w:usb2="00000000" w:usb3="00000000" w:csb0="00040000" w:csb1="00000000"/>
  </w:font>
  <w:font w:name="KSOFBE25B2F9">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697BA">
    <w:pPr>
      <w:pStyle w:val="19"/>
      <w:jc w:val="center"/>
    </w:pPr>
  </w:p>
  <w:p w14:paraId="67673AC3">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508EA">
    <w:pPr>
      <w:pStyle w:val="19"/>
      <w:jc w:val="center"/>
    </w:pPr>
  </w:p>
  <w:p w14:paraId="3B32C03A">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7398816"/>
    </w:sdtPr>
    <w:sdtContent>
      <w:p w14:paraId="22A618E9">
        <w:pPr>
          <w:pStyle w:val="19"/>
          <w:jc w:val="center"/>
        </w:pPr>
        <w:r>
          <w:fldChar w:fldCharType="begin"/>
        </w:r>
        <w:r>
          <w:instrText xml:space="preserve">PAGE   \* MERGEFORMAT</w:instrText>
        </w:r>
        <w:r>
          <w:fldChar w:fldCharType="separate"/>
        </w:r>
        <w:r>
          <w:rPr>
            <w:lang w:val="zh-CN"/>
          </w:rPr>
          <w:t>10</w:t>
        </w:r>
        <w:r>
          <w:fldChar w:fldCharType="end"/>
        </w:r>
      </w:p>
    </w:sdtContent>
  </w:sdt>
  <w:p w14:paraId="134A882D">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5253566"/>
    </w:sdtPr>
    <w:sdtContent>
      <w:p w14:paraId="21E88A93">
        <w:pPr>
          <w:pStyle w:val="19"/>
          <w:jc w:val="center"/>
        </w:pPr>
        <w:r>
          <w:fldChar w:fldCharType="begin"/>
        </w:r>
        <w:r>
          <w:instrText xml:space="preserve">PAGE   \* MERGEFORMAT</w:instrText>
        </w:r>
        <w:r>
          <w:fldChar w:fldCharType="separate"/>
        </w:r>
        <w:r>
          <w:rPr>
            <w:lang w:val="zh-CN"/>
          </w:rPr>
          <w:t>62</w:t>
        </w:r>
        <w:r>
          <w:fldChar w:fldCharType="end"/>
        </w:r>
      </w:p>
    </w:sdtContent>
  </w:sdt>
  <w:p w14:paraId="3077613C">
    <w:pPr>
      <w:pStyle w:val="19"/>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3511"/>
    <w:rsid w:val="0000419D"/>
    <w:rsid w:val="00004CE0"/>
    <w:rsid w:val="00006438"/>
    <w:rsid w:val="000064FB"/>
    <w:rsid w:val="00007EDC"/>
    <w:rsid w:val="00012110"/>
    <w:rsid w:val="00012CD5"/>
    <w:rsid w:val="000144E9"/>
    <w:rsid w:val="00021090"/>
    <w:rsid w:val="00022686"/>
    <w:rsid w:val="00022B83"/>
    <w:rsid w:val="00025A43"/>
    <w:rsid w:val="00026345"/>
    <w:rsid w:val="0002637C"/>
    <w:rsid w:val="00026C9A"/>
    <w:rsid w:val="0003051A"/>
    <w:rsid w:val="000305FB"/>
    <w:rsid w:val="00031EC6"/>
    <w:rsid w:val="00032707"/>
    <w:rsid w:val="00033E18"/>
    <w:rsid w:val="00033F9A"/>
    <w:rsid w:val="0003547F"/>
    <w:rsid w:val="00035F29"/>
    <w:rsid w:val="00036D96"/>
    <w:rsid w:val="000414CD"/>
    <w:rsid w:val="000426B1"/>
    <w:rsid w:val="00043619"/>
    <w:rsid w:val="000440D6"/>
    <w:rsid w:val="000448CA"/>
    <w:rsid w:val="00044FC2"/>
    <w:rsid w:val="0004691D"/>
    <w:rsid w:val="000472FD"/>
    <w:rsid w:val="00053E65"/>
    <w:rsid w:val="00055E2F"/>
    <w:rsid w:val="00056070"/>
    <w:rsid w:val="000560B1"/>
    <w:rsid w:val="00057BA6"/>
    <w:rsid w:val="000611D5"/>
    <w:rsid w:val="00062E7F"/>
    <w:rsid w:val="00064C90"/>
    <w:rsid w:val="000652CA"/>
    <w:rsid w:val="00065894"/>
    <w:rsid w:val="00065F29"/>
    <w:rsid w:val="0006774D"/>
    <w:rsid w:val="000678EB"/>
    <w:rsid w:val="00071767"/>
    <w:rsid w:val="00071FD1"/>
    <w:rsid w:val="00075178"/>
    <w:rsid w:val="00075CDC"/>
    <w:rsid w:val="00080D15"/>
    <w:rsid w:val="00081AFA"/>
    <w:rsid w:val="00082CD3"/>
    <w:rsid w:val="00083319"/>
    <w:rsid w:val="000856BF"/>
    <w:rsid w:val="00085BDA"/>
    <w:rsid w:val="0008768A"/>
    <w:rsid w:val="00090250"/>
    <w:rsid w:val="00090A11"/>
    <w:rsid w:val="00090C1A"/>
    <w:rsid w:val="00095FA7"/>
    <w:rsid w:val="00096018"/>
    <w:rsid w:val="000A2767"/>
    <w:rsid w:val="000A30CC"/>
    <w:rsid w:val="000A5204"/>
    <w:rsid w:val="000A61EF"/>
    <w:rsid w:val="000A7E10"/>
    <w:rsid w:val="000B560C"/>
    <w:rsid w:val="000B6C24"/>
    <w:rsid w:val="000C250C"/>
    <w:rsid w:val="000C381A"/>
    <w:rsid w:val="000C41BB"/>
    <w:rsid w:val="000C42FD"/>
    <w:rsid w:val="000C44DE"/>
    <w:rsid w:val="000C7AC6"/>
    <w:rsid w:val="000D035A"/>
    <w:rsid w:val="000D2371"/>
    <w:rsid w:val="000D259A"/>
    <w:rsid w:val="000D26D2"/>
    <w:rsid w:val="000D3465"/>
    <w:rsid w:val="000D3ECA"/>
    <w:rsid w:val="000D484F"/>
    <w:rsid w:val="000D6CC2"/>
    <w:rsid w:val="000D6D3C"/>
    <w:rsid w:val="000E147C"/>
    <w:rsid w:val="000E4B2B"/>
    <w:rsid w:val="000E64BE"/>
    <w:rsid w:val="000F3B88"/>
    <w:rsid w:val="000F5DCF"/>
    <w:rsid w:val="000F684E"/>
    <w:rsid w:val="000F6873"/>
    <w:rsid w:val="000F6AEB"/>
    <w:rsid w:val="000F7B42"/>
    <w:rsid w:val="0010222F"/>
    <w:rsid w:val="00104412"/>
    <w:rsid w:val="001107B6"/>
    <w:rsid w:val="00111480"/>
    <w:rsid w:val="00112612"/>
    <w:rsid w:val="00120888"/>
    <w:rsid w:val="00121E20"/>
    <w:rsid w:val="001227BD"/>
    <w:rsid w:val="00123CCE"/>
    <w:rsid w:val="001258A6"/>
    <w:rsid w:val="0012597C"/>
    <w:rsid w:val="00125F4A"/>
    <w:rsid w:val="001268E2"/>
    <w:rsid w:val="00127338"/>
    <w:rsid w:val="0013314B"/>
    <w:rsid w:val="00133636"/>
    <w:rsid w:val="00135450"/>
    <w:rsid w:val="00140230"/>
    <w:rsid w:val="00140B60"/>
    <w:rsid w:val="0014170A"/>
    <w:rsid w:val="00142042"/>
    <w:rsid w:val="00145241"/>
    <w:rsid w:val="00146BF8"/>
    <w:rsid w:val="00150BC2"/>
    <w:rsid w:val="00153B02"/>
    <w:rsid w:val="00153F1C"/>
    <w:rsid w:val="001546B2"/>
    <w:rsid w:val="00155A1C"/>
    <w:rsid w:val="00155BD8"/>
    <w:rsid w:val="0015637A"/>
    <w:rsid w:val="00157EC0"/>
    <w:rsid w:val="0016026D"/>
    <w:rsid w:val="00160613"/>
    <w:rsid w:val="0016294F"/>
    <w:rsid w:val="00164116"/>
    <w:rsid w:val="00165F76"/>
    <w:rsid w:val="001660AD"/>
    <w:rsid w:val="00170491"/>
    <w:rsid w:val="001731FE"/>
    <w:rsid w:val="001770D0"/>
    <w:rsid w:val="001773DB"/>
    <w:rsid w:val="0018086E"/>
    <w:rsid w:val="00181B98"/>
    <w:rsid w:val="001833FF"/>
    <w:rsid w:val="001843DE"/>
    <w:rsid w:val="001863FE"/>
    <w:rsid w:val="00190B25"/>
    <w:rsid w:val="00193131"/>
    <w:rsid w:val="00193961"/>
    <w:rsid w:val="00194A0D"/>
    <w:rsid w:val="001959CE"/>
    <w:rsid w:val="00195CA5"/>
    <w:rsid w:val="00196718"/>
    <w:rsid w:val="00196D1E"/>
    <w:rsid w:val="001A05ED"/>
    <w:rsid w:val="001A3426"/>
    <w:rsid w:val="001A455A"/>
    <w:rsid w:val="001A5B5D"/>
    <w:rsid w:val="001B02B3"/>
    <w:rsid w:val="001B24E3"/>
    <w:rsid w:val="001B2803"/>
    <w:rsid w:val="001B2834"/>
    <w:rsid w:val="001B5081"/>
    <w:rsid w:val="001B7B6B"/>
    <w:rsid w:val="001C0599"/>
    <w:rsid w:val="001C4550"/>
    <w:rsid w:val="001C5ECD"/>
    <w:rsid w:val="001C5EEC"/>
    <w:rsid w:val="001D01C2"/>
    <w:rsid w:val="001D0DEA"/>
    <w:rsid w:val="001D4C87"/>
    <w:rsid w:val="001D5657"/>
    <w:rsid w:val="001D5E9E"/>
    <w:rsid w:val="001D6250"/>
    <w:rsid w:val="001E1C98"/>
    <w:rsid w:val="001E1EE9"/>
    <w:rsid w:val="001E21B8"/>
    <w:rsid w:val="001E3562"/>
    <w:rsid w:val="001E3795"/>
    <w:rsid w:val="001E4D98"/>
    <w:rsid w:val="001E54DC"/>
    <w:rsid w:val="001E5DC7"/>
    <w:rsid w:val="001E6E79"/>
    <w:rsid w:val="001F2CCA"/>
    <w:rsid w:val="001F3E48"/>
    <w:rsid w:val="001F4003"/>
    <w:rsid w:val="001F5166"/>
    <w:rsid w:val="00200E0F"/>
    <w:rsid w:val="00200E5C"/>
    <w:rsid w:val="00203621"/>
    <w:rsid w:val="002041DA"/>
    <w:rsid w:val="002057A6"/>
    <w:rsid w:val="00210F5D"/>
    <w:rsid w:val="002143D2"/>
    <w:rsid w:val="00222EE5"/>
    <w:rsid w:val="0022403A"/>
    <w:rsid w:val="002271BA"/>
    <w:rsid w:val="0022737A"/>
    <w:rsid w:val="00227521"/>
    <w:rsid w:val="002343CE"/>
    <w:rsid w:val="00236119"/>
    <w:rsid w:val="00237902"/>
    <w:rsid w:val="00242074"/>
    <w:rsid w:val="00242976"/>
    <w:rsid w:val="002445A6"/>
    <w:rsid w:val="002461AB"/>
    <w:rsid w:val="00246AB6"/>
    <w:rsid w:val="00250C26"/>
    <w:rsid w:val="00250D2A"/>
    <w:rsid w:val="00251F6F"/>
    <w:rsid w:val="00252979"/>
    <w:rsid w:val="00252C9B"/>
    <w:rsid w:val="00254355"/>
    <w:rsid w:val="00254D22"/>
    <w:rsid w:val="002550AD"/>
    <w:rsid w:val="00257064"/>
    <w:rsid w:val="00260C7A"/>
    <w:rsid w:val="00261457"/>
    <w:rsid w:val="00261ECA"/>
    <w:rsid w:val="00261F55"/>
    <w:rsid w:val="0026209B"/>
    <w:rsid w:val="00262630"/>
    <w:rsid w:val="00264709"/>
    <w:rsid w:val="00264A82"/>
    <w:rsid w:val="0026537F"/>
    <w:rsid w:val="00265639"/>
    <w:rsid w:val="00266E83"/>
    <w:rsid w:val="00273206"/>
    <w:rsid w:val="00274023"/>
    <w:rsid w:val="00275623"/>
    <w:rsid w:val="00275E23"/>
    <w:rsid w:val="0027647D"/>
    <w:rsid w:val="0028326C"/>
    <w:rsid w:val="00283D58"/>
    <w:rsid w:val="00284E59"/>
    <w:rsid w:val="002865C4"/>
    <w:rsid w:val="002865DF"/>
    <w:rsid w:val="00287662"/>
    <w:rsid w:val="00287994"/>
    <w:rsid w:val="00287E4E"/>
    <w:rsid w:val="0029262A"/>
    <w:rsid w:val="00292BEC"/>
    <w:rsid w:val="00293984"/>
    <w:rsid w:val="00293B7E"/>
    <w:rsid w:val="002947F4"/>
    <w:rsid w:val="002A003B"/>
    <w:rsid w:val="002A1958"/>
    <w:rsid w:val="002A2420"/>
    <w:rsid w:val="002A3ABA"/>
    <w:rsid w:val="002A3FD7"/>
    <w:rsid w:val="002A552C"/>
    <w:rsid w:val="002A6524"/>
    <w:rsid w:val="002A6571"/>
    <w:rsid w:val="002A6628"/>
    <w:rsid w:val="002A7EA2"/>
    <w:rsid w:val="002B1F75"/>
    <w:rsid w:val="002B23C2"/>
    <w:rsid w:val="002B2DA9"/>
    <w:rsid w:val="002B34C6"/>
    <w:rsid w:val="002B3B7C"/>
    <w:rsid w:val="002B7015"/>
    <w:rsid w:val="002C055A"/>
    <w:rsid w:val="002C1366"/>
    <w:rsid w:val="002C2886"/>
    <w:rsid w:val="002C300D"/>
    <w:rsid w:val="002C446A"/>
    <w:rsid w:val="002C4F93"/>
    <w:rsid w:val="002C5832"/>
    <w:rsid w:val="002C5D59"/>
    <w:rsid w:val="002C76CD"/>
    <w:rsid w:val="002D0897"/>
    <w:rsid w:val="002D26D7"/>
    <w:rsid w:val="002D34E9"/>
    <w:rsid w:val="002D4EC3"/>
    <w:rsid w:val="002D6F9B"/>
    <w:rsid w:val="002D7281"/>
    <w:rsid w:val="002D7DA0"/>
    <w:rsid w:val="002E0531"/>
    <w:rsid w:val="002E14B1"/>
    <w:rsid w:val="002E1E2F"/>
    <w:rsid w:val="002E4071"/>
    <w:rsid w:val="002E413C"/>
    <w:rsid w:val="002E4D71"/>
    <w:rsid w:val="002E50A6"/>
    <w:rsid w:val="002E60B1"/>
    <w:rsid w:val="002E79B8"/>
    <w:rsid w:val="002F00CE"/>
    <w:rsid w:val="002F0153"/>
    <w:rsid w:val="002F081B"/>
    <w:rsid w:val="002F1A16"/>
    <w:rsid w:val="002F2C9A"/>
    <w:rsid w:val="002F7B18"/>
    <w:rsid w:val="003014DE"/>
    <w:rsid w:val="003049C3"/>
    <w:rsid w:val="00305021"/>
    <w:rsid w:val="00305683"/>
    <w:rsid w:val="003065C6"/>
    <w:rsid w:val="003104F7"/>
    <w:rsid w:val="00310EF2"/>
    <w:rsid w:val="00311D2A"/>
    <w:rsid w:val="00314E54"/>
    <w:rsid w:val="003159F1"/>
    <w:rsid w:val="00316217"/>
    <w:rsid w:val="0031777A"/>
    <w:rsid w:val="003179DD"/>
    <w:rsid w:val="00321CF2"/>
    <w:rsid w:val="003234F9"/>
    <w:rsid w:val="00324907"/>
    <w:rsid w:val="003257A1"/>
    <w:rsid w:val="00325994"/>
    <w:rsid w:val="00325DA2"/>
    <w:rsid w:val="00326567"/>
    <w:rsid w:val="00330866"/>
    <w:rsid w:val="00332CCF"/>
    <w:rsid w:val="003333D8"/>
    <w:rsid w:val="00333646"/>
    <w:rsid w:val="003341C9"/>
    <w:rsid w:val="00334AAF"/>
    <w:rsid w:val="00336ACB"/>
    <w:rsid w:val="00336C5B"/>
    <w:rsid w:val="00340359"/>
    <w:rsid w:val="003417DF"/>
    <w:rsid w:val="00341D81"/>
    <w:rsid w:val="00342D5C"/>
    <w:rsid w:val="00342DAE"/>
    <w:rsid w:val="00344525"/>
    <w:rsid w:val="00346C3C"/>
    <w:rsid w:val="00347C43"/>
    <w:rsid w:val="003506BC"/>
    <w:rsid w:val="00350B27"/>
    <w:rsid w:val="00350E6B"/>
    <w:rsid w:val="00351CCF"/>
    <w:rsid w:val="00351CF5"/>
    <w:rsid w:val="003529AA"/>
    <w:rsid w:val="003529E0"/>
    <w:rsid w:val="003551BF"/>
    <w:rsid w:val="00360C6C"/>
    <w:rsid w:val="00361698"/>
    <w:rsid w:val="00362025"/>
    <w:rsid w:val="00364B9A"/>
    <w:rsid w:val="00366B7E"/>
    <w:rsid w:val="00367629"/>
    <w:rsid w:val="00370B78"/>
    <w:rsid w:val="00372310"/>
    <w:rsid w:val="00372F8A"/>
    <w:rsid w:val="00373046"/>
    <w:rsid w:val="00373AB5"/>
    <w:rsid w:val="00373DE1"/>
    <w:rsid w:val="0037648A"/>
    <w:rsid w:val="0037714F"/>
    <w:rsid w:val="003771F6"/>
    <w:rsid w:val="00377B60"/>
    <w:rsid w:val="0038098D"/>
    <w:rsid w:val="00381DF4"/>
    <w:rsid w:val="00381E48"/>
    <w:rsid w:val="00381FE9"/>
    <w:rsid w:val="0038235E"/>
    <w:rsid w:val="00384FDF"/>
    <w:rsid w:val="003869E5"/>
    <w:rsid w:val="0039055B"/>
    <w:rsid w:val="00390F0A"/>
    <w:rsid w:val="00392141"/>
    <w:rsid w:val="003931FB"/>
    <w:rsid w:val="0039477D"/>
    <w:rsid w:val="00394DCB"/>
    <w:rsid w:val="00395D60"/>
    <w:rsid w:val="00395E82"/>
    <w:rsid w:val="003A1F96"/>
    <w:rsid w:val="003A1FAA"/>
    <w:rsid w:val="003A2094"/>
    <w:rsid w:val="003A352A"/>
    <w:rsid w:val="003A4295"/>
    <w:rsid w:val="003A4C49"/>
    <w:rsid w:val="003A506A"/>
    <w:rsid w:val="003A5127"/>
    <w:rsid w:val="003A5744"/>
    <w:rsid w:val="003A5AE6"/>
    <w:rsid w:val="003A5CA8"/>
    <w:rsid w:val="003A5D4E"/>
    <w:rsid w:val="003B0AF0"/>
    <w:rsid w:val="003B1260"/>
    <w:rsid w:val="003B1A28"/>
    <w:rsid w:val="003B1C12"/>
    <w:rsid w:val="003B7FB0"/>
    <w:rsid w:val="003C111D"/>
    <w:rsid w:val="003C1607"/>
    <w:rsid w:val="003C1BD8"/>
    <w:rsid w:val="003C1F05"/>
    <w:rsid w:val="003C33DB"/>
    <w:rsid w:val="003C4BAE"/>
    <w:rsid w:val="003C5AC3"/>
    <w:rsid w:val="003C6AD5"/>
    <w:rsid w:val="003C6F6B"/>
    <w:rsid w:val="003D16BF"/>
    <w:rsid w:val="003D1A99"/>
    <w:rsid w:val="003D3FFB"/>
    <w:rsid w:val="003D453D"/>
    <w:rsid w:val="003E05D4"/>
    <w:rsid w:val="003E0AFA"/>
    <w:rsid w:val="003E0E8C"/>
    <w:rsid w:val="003E0E9D"/>
    <w:rsid w:val="003F0F14"/>
    <w:rsid w:val="003F3F8B"/>
    <w:rsid w:val="004010D2"/>
    <w:rsid w:val="00401196"/>
    <w:rsid w:val="004012D0"/>
    <w:rsid w:val="00403FB0"/>
    <w:rsid w:val="00404039"/>
    <w:rsid w:val="00404389"/>
    <w:rsid w:val="00405DF1"/>
    <w:rsid w:val="00406419"/>
    <w:rsid w:val="004067D2"/>
    <w:rsid w:val="00406946"/>
    <w:rsid w:val="004070CF"/>
    <w:rsid w:val="00411DED"/>
    <w:rsid w:val="00414A3A"/>
    <w:rsid w:val="00417575"/>
    <w:rsid w:val="0042235E"/>
    <w:rsid w:val="00423D5B"/>
    <w:rsid w:val="00424095"/>
    <w:rsid w:val="0042545D"/>
    <w:rsid w:val="00425E80"/>
    <w:rsid w:val="004274C8"/>
    <w:rsid w:val="00427AED"/>
    <w:rsid w:val="00430CBC"/>
    <w:rsid w:val="00432107"/>
    <w:rsid w:val="0043242E"/>
    <w:rsid w:val="004332D1"/>
    <w:rsid w:val="0044173B"/>
    <w:rsid w:val="004418E5"/>
    <w:rsid w:val="00442356"/>
    <w:rsid w:val="00445F46"/>
    <w:rsid w:val="004463A8"/>
    <w:rsid w:val="00447A7F"/>
    <w:rsid w:val="0045196C"/>
    <w:rsid w:val="00451B29"/>
    <w:rsid w:val="00453184"/>
    <w:rsid w:val="00455B30"/>
    <w:rsid w:val="00457AA7"/>
    <w:rsid w:val="00462F31"/>
    <w:rsid w:val="00463639"/>
    <w:rsid w:val="0046498F"/>
    <w:rsid w:val="00464E88"/>
    <w:rsid w:val="00465C2F"/>
    <w:rsid w:val="00466F23"/>
    <w:rsid w:val="0047236D"/>
    <w:rsid w:val="00474091"/>
    <w:rsid w:val="00475990"/>
    <w:rsid w:val="00475B58"/>
    <w:rsid w:val="00476A7E"/>
    <w:rsid w:val="00476E2C"/>
    <w:rsid w:val="00477F12"/>
    <w:rsid w:val="00481513"/>
    <w:rsid w:val="0048185F"/>
    <w:rsid w:val="00482BD3"/>
    <w:rsid w:val="00482EB2"/>
    <w:rsid w:val="00483AA1"/>
    <w:rsid w:val="004847EC"/>
    <w:rsid w:val="004869E0"/>
    <w:rsid w:val="00486A87"/>
    <w:rsid w:val="00487B27"/>
    <w:rsid w:val="00490456"/>
    <w:rsid w:val="004906D5"/>
    <w:rsid w:val="00492215"/>
    <w:rsid w:val="00496184"/>
    <w:rsid w:val="004A0413"/>
    <w:rsid w:val="004A0578"/>
    <w:rsid w:val="004A0831"/>
    <w:rsid w:val="004A5354"/>
    <w:rsid w:val="004A6CA3"/>
    <w:rsid w:val="004B13D7"/>
    <w:rsid w:val="004B2B39"/>
    <w:rsid w:val="004B5AF5"/>
    <w:rsid w:val="004B6C69"/>
    <w:rsid w:val="004C19E4"/>
    <w:rsid w:val="004C3A0B"/>
    <w:rsid w:val="004C42FC"/>
    <w:rsid w:val="004C432F"/>
    <w:rsid w:val="004C460D"/>
    <w:rsid w:val="004C4C75"/>
    <w:rsid w:val="004C5259"/>
    <w:rsid w:val="004C6347"/>
    <w:rsid w:val="004C6FED"/>
    <w:rsid w:val="004C7ACC"/>
    <w:rsid w:val="004D1C4E"/>
    <w:rsid w:val="004D55DC"/>
    <w:rsid w:val="004D5BB1"/>
    <w:rsid w:val="004E19AD"/>
    <w:rsid w:val="004E1C32"/>
    <w:rsid w:val="004E1F77"/>
    <w:rsid w:val="004E3231"/>
    <w:rsid w:val="004E32ED"/>
    <w:rsid w:val="004E348C"/>
    <w:rsid w:val="004E372B"/>
    <w:rsid w:val="004E60BE"/>
    <w:rsid w:val="004E621C"/>
    <w:rsid w:val="004E7061"/>
    <w:rsid w:val="004E7244"/>
    <w:rsid w:val="004F1A96"/>
    <w:rsid w:val="004F29FE"/>
    <w:rsid w:val="004F3309"/>
    <w:rsid w:val="004F55D3"/>
    <w:rsid w:val="0050086D"/>
    <w:rsid w:val="00505780"/>
    <w:rsid w:val="005062DB"/>
    <w:rsid w:val="0050785A"/>
    <w:rsid w:val="00510E6F"/>
    <w:rsid w:val="00512C89"/>
    <w:rsid w:val="00512EB0"/>
    <w:rsid w:val="00513029"/>
    <w:rsid w:val="00513477"/>
    <w:rsid w:val="005145D8"/>
    <w:rsid w:val="00517DEF"/>
    <w:rsid w:val="00520267"/>
    <w:rsid w:val="00520F77"/>
    <w:rsid w:val="00523378"/>
    <w:rsid w:val="00523D74"/>
    <w:rsid w:val="00532121"/>
    <w:rsid w:val="00535122"/>
    <w:rsid w:val="00535205"/>
    <w:rsid w:val="0053590B"/>
    <w:rsid w:val="00536523"/>
    <w:rsid w:val="005374E5"/>
    <w:rsid w:val="00541691"/>
    <w:rsid w:val="005429A4"/>
    <w:rsid w:val="00544A82"/>
    <w:rsid w:val="00546EB9"/>
    <w:rsid w:val="005474A3"/>
    <w:rsid w:val="0055185F"/>
    <w:rsid w:val="00551B0C"/>
    <w:rsid w:val="00552BB2"/>
    <w:rsid w:val="00552DC4"/>
    <w:rsid w:val="00553059"/>
    <w:rsid w:val="00553266"/>
    <w:rsid w:val="00554F2B"/>
    <w:rsid w:val="00555B44"/>
    <w:rsid w:val="00556ED9"/>
    <w:rsid w:val="00557378"/>
    <w:rsid w:val="00563737"/>
    <w:rsid w:val="00563F2C"/>
    <w:rsid w:val="00565087"/>
    <w:rsid w:val="0056548C"/>
    <w:rsid w:val="005655F6"/>
    <w:rsid w:val="00567FA8"/>
    <w:rsid w:val="00567FC0"/>
    <w:rsid w:val="005726C7"/>
    <w:rsid w:val="00572B28"/>
    <w:rsid w:val="005759EB"/>
    <w:rsid w:val="005777C1"/>
    <w:rsid w:val="00577834"/>
    <w:rsid w:val="00577D4A"/>
    <w:rsid w:val="00582CB5"/>
    <w:rsid w:val="0058423F"/>
    <w:rsid w:val="00587A4B"/>
    <w:rsid w:val="0059013B"/>
    <w:rsid w:val="00591AD3"/>
    <w:rsid w:val="00593DBE"/>
    <w:rsid w:val="00595CF3"/>
    <w:rsid w:val="005A0DB4"/>
    <w:rsid w:val="005A2678"/>
    <w:rsid w:val="005A3E97"/>
    <w:rsid w:val="005B056C"/>
    <w:rsid w:val="005B0682"/>
    <w:rsid w:val="005B09A0"/>
    <w:rsid w:val="005B1E87"/>
    <w:rsid w:val="005B2ACE"/>
    <w:rsid w:val="005B4671"/>
    <w:rsid w:val="005B66D5"/>
    <w:rsid w:val="005C16F2"/>
    <w:rsid w:val="005C2E8E"/>
    <w:rsid w:val="005C67C2"/>
    <w:rsid w:val="005D1D91"/>
    <w:rsid w:val="005D6683"/>
    <w:rsid w:val="005E02C4"/>
    <w:rsid w:val="005E0B61"/>
    <w:rsid w:val="005E1726"/>
    <w:rsid w:val="005E18DE"/>
    <w:rsid w:val="005E1B62"/>
    <w:rsid w:val="005E2194"/>
    <w:rsid w:val="005E2A82"/>
    <w:rsid w:val="005E4F2A"/>
    <w:rsid w:val="005E5165"/>
    <w:rsid w:val="005E5362"/>
    <w:rsid w:val="005E5E33"/>
    <w:rsid w:val="005E658D"/>
    <w:rsid w:val="005E6665"/>
    <w:rsid w:val="005E6F57"/>
    <w:rsid w:val="005E7514"/>
    <w:rsid w:val="005E7A0D"/>
    <w:rsid w:val="005E7C20"/>
    <w:rsid w:val="005F2355"/>
    <w:rsid w:val="00600798"/>
    <w:rsid w:val="006018A1"/>
    <w:rsid w:val="0060256E"/>
    <w:rsid w:val="006042F0"/>
    <w:rsid w:val="006049F8"/>
    <w:rsid w:val="00607014"/>
    <w:rsid w:val="006072FF"/>
    <w:rsid w:val="00613350"/>
    <w:rsid w:val="00613791"/>
    <w:rsid w:val="00615CB7"/>
    <w:rsid w:val="00616259"/>
    <w:rsid w:val="00616EDD"/>
    <w:rsid w:val="00617B0B"/>
    <w:rsid w:val="00617EC7"/>
    <w:rsid w:val="00621D11"/>
    <w:rsid w:val="006222A7"/>
    <w:rsid w:val="00622EBC"/>
    <w:rsid w:val="00623820"/>
    <w:rsid w:val="00623DCB"/>
    <w:rsid w:val="006274F8"/>
    <w:rsid w:val="0063456E"/>
    <w:rsid w:val="00634DC4"/>
    <w:rsid w:val="00642EAF"/>
    <w:rsid w:val="0064380A"/>
    <w:rsid w:val="00644C21"/>
    <w:rsid w:val="0064521A"/>
    <w:rsid w:val="00647358"/>
    <w:rsid w:val="00650EBC"/>
    <w:rsid w:val="006530C8"/>
    <w:rsid w:val="006541C9"/>
    <w:rsid w:val="00654723"/>
    <w:rsid w:val="006555B9"/>
    <w:rsid w:val="0065774F"/>
    <w:rsid w:val="0066019A"/>
    <w:rsid w:val="00660A7B"/>
    <w:rsid w:val="00660F57"/>
    <w:rsid w:val="00662761"/>
    <w:rsid w:val="006646CB"/>
    <w:rsid w:val="00664731"/>
    <w:rsid w:val="00665DDE"/>
    <w:rsid w:val="00666419"/>
    <w:rsid w:val="00671ACB"/>
    <w:rsid w:val="00674061"/>
    <w:rsid w:val="00676753"/>
    <w:rsid w:val="00676C29"/>
    <w:rsid w:val="00676F29"/>
    <w:rsid w:val="00677CB9"/>
    <w:rsid w:val="0068049B"/>
    <w:rsid w:val="00680E33"/>
    <w:rsid w:val="0068147E"/>
    <w:rsid w:val="00681793"/>
    <w:rsid w:val="006843D4"/>
    <w:rsid w:val="0068613A"/>
    <w:rsid w:val="00686AB7"/>
    <w:rsid w:val="00693EA2"/>
    <w:rsid w:val="00694529"/>
    <w:rsid w:val="006958D8"/>
    <w:rsid w:val="00697842"/>
    <w:rsid w:val="00697881"/>
    <w:rsid w:val="006A016A"/>
    <w:rsid w:val="006A0BD8"/>
    <w:rsid w:val="006A25F9"/>
    <w:rsid w:val="006A393B"/>
    <w:rsid w:val="006A5127"/>
    <w:rsid w:val="006A5785"/>
    <w:rsid w:val="006B04FA"/>
    <w:rsid w:val="006B0B85"/>
    <w:rsid w:val="006B196D"/>
    <w:rsid w:val="006B4B69"/>
    <w:rsid w:val="006B5593"/>
    <w:rsid w:val="006B7A31"/>
    <w:rsid w:val="006C21C0"/>
    <w:rsid w:val="006C2220"/>
    <w:rsid w:val="006C2472"/>
    <w:rsid w:val="006C2E1A"/>
    <w:rsid w:val="006C420C"/>
    <w:rsid w:val="006C4BC2"/>
    <w:rsid w:val="006C51B4"/>
    <w:rsid w:val="006C5B96"/>
    <w:rsid w:val="006C6955"/>
    <w:rsid w:val="006C6D2E"/>
    <w:rsid w:val="006C7277"/>
    <w:rsid w:val="006D05CD"/>
    <w:rsid w:val="006D07A7"/>
    <w:rsid w:val="006D08F2"/>
    <w:rsid w:val="006D142C"/>
    <w:rsid w:val="006D1FFE"/>
    <w:rsid w:val="006D3BE8"/>
    <w:rsid w:val="006D4323"/>
    <w:rsid w:val="006D433D"/>
    <w:rsid w:val="006D4F3D"/>
    <w:rsid w:val="006D5033"/>
    <w:rsid w:val="006D7506"/>
    <w:rsid w:val="006E26EF"/>
    <w:rsid w:val="006E4B16"/>
    <w:rsid w:val="006F192C"/>
    <w:rsid w:val="006F36B2"/>
    <w:rsid w:val="006F47D2"/>
    <w:rsid w:val="006F4F98"/>
    <w:rsid w:val="006F5C83"/>
    <w:rsid w:val="006F65C1"/>
    <w:rsid w:val="006F6CA2"/>
    <w:rsid w:val="006F7AE3"/>
    <w:rsid w:val="006F7F81"/>
    <w:rsid w:val="00701513"/>
    <w:rsid w:val="00701686"/>
    <w:rsid w:val="007019DB"/>
    <w:rsid w:val="00704D24"/>
    <w:rsid w:val="00705442"/>
    <w:rsid w:val="007056BE"/>
    <w:rsid w:val="007068F0"/>
    <w:rsid w:val="0070712D"/>
    <w:rsid w:val="0071026B"/>
    <w:rsid w:val="00711D9F"/>
    <w:rsid w:val="00711F35"/>
    <w:rsid w:val="007128F0"/>
    <w:rsid w:val="007131C9"/>
    <w:rsid w:val="0071364C"/>
    <w:rsid w:val="00713EAA"/>
    <w:rsid w:val="007146B5"/>
    <w:rsid w:val="00722113"/>
    <w:rsid w:val="00722766"/>
    <w:rsid w:val="00722C0B"/>
    <w:rsid w:val="0072312F"/>
    <w:rsid w:val="007238E9"/>
    <w:rsid w:val="00725DC6"/>
    <w:rsid w:val="00727FE8"/>
    <w:rsid w:val="007303EC"/>
    <w:rsid w:val="00731326"/>
    <w:rsid w:val="00732BB0"/>
    <w:rsid w:val="00734410"/>
    <w:rsid w:val="0073442F"/>
    <w:rsid w:val="007345EE"/>
    <w:rsid w:val="007353BF"/>
    <w:rsid w:val="0073550C"/>
    <w:rsid w:val="00736725"/>
    <w:rsid w:val="00740CB9"/>
    <w:rsid w:val="00742BA5"/>
    <w:rsid w:val="007465F9"/>
    <w:rsid w:val="00746B15"/>
    <w:rsid w:val="00747E51"/>
    <w:rsid w:val="00750A72"/>
    <w:rsid w:val="00750D54"/>
    <w:rsid w:val="007515D2"/>
    <w:rsid w:val="007525B8"/>
    <w:rsid w:val="00752A0A"/>
    <w:rsid w:val="007557B3"/>
    <w:rsid w:val="00756A92"/>
    <w:rsid w:val="007578B9"/>
    <w:rsid w:val="00760130"/>
    <w:rsid w:val="007606E3"/>
    <w:rsid w:val="007621A9"/>
    <w:rsid w:val="00764463"/>
    <w:rsid w:val="00764EC8"/>
    <w:rsid w:val="0076527B"/>
    <w:rsid w:val="00770519"/>
    <w:rsid w:val="00771EC7"/>
    <w:rsid w:val="0077223A"/>
    <w:rsid w:val="0077378C"/>
    <w:rsid w:val="00775379"/>
    <w:rsid w:val="00776ED8"/>
    <w:rsid w:val="00783CEF"/>
    <w:rsid w:val="00787FEF"/>
    <w:rsid w:val="007908AC"/>
    <w:rsid w:val="00791482"/>
    <w:rsid w:val="007921B3"/>
    <w:rsid w:val="00792E0D"/>
    <w:rsid w:val="00793477"/>
    <w:rsid w:val="0079421B"/>
    <w:rsid w:val="00795248"/>
    <w:rsid w:val="00795D7B"/>
    <w:rsid w:val="00796B1F"/>
    <w:rsid w:val="00797BEE"/>
    <w:rsid w:val="007A0AC6"/>
    <w:rsid w:val="007A14DB"/>
    <w:rsid w:val="007A257C"/>
    <w:rsid w:val="007A30A2"/>
    <w:rsid w:val="007A5B35"/>
    <w:rsid w:val="007A62A8"/>
    <w:rsid w:val="007A7364"/>
    <w:rsid w:val="007A7811"/>
    <w:rsid w:val="007B35CF"/>
    <w:rsid w:val="007B4332"/>
    <w:rsid w:val="007B4CB4"/>
    <w:rsid w:val="007B5D4A"/>
    <w:rsid w:val="007B5F04"/>
    <w:rsid w:val="007B5FF3"/>
    <w:rsid w:val="007B6327"/>
    <w:rsid w:val="007B764C"/>
    <w:rsid w:val="007C0458"/>
    <w:rsid w:val="007C092E"/>
    <w:rsid w:val="007C1E6E"/>
    <w:rsid w:val="007C3EB8"/>
    <w:rsid w:val="007C5CF8"/>
    <w:rsid w:val="007C6721"/>
    <w:rsid w:val="007D2823"/>
    <w:rsid w:val="007E07CB"/>
    <w:rsid w:val="007E0C95"/>
    <w:rsid w:val="007E155C"/>
    <w:rsid w:val="007E354F"/>
    <w:rsid w:val="007E648C"/>
    <w:rsid w:val="007E7D05"/>
    <w:rsid w:val="007F149B"/>
    <w:rsid w:val="007F1982"/>
    <w:rsid w:val="007F55B6"/>
    <w:rsid w:val="007F5D73"/>
    <w:rsid w:val="007F5EC4"/>
    <w:rsid w:val="007F65DD"/>
    <w:rsid w:val="007F65FF"/>
    <w:rsid w:val="007F7A7E"/>
    <w:rsid w:val="008044EF"/>
    <w:rsid w:val="00805910"/>
    <w:rsid w:val="00805ADF"/>
    <w:rsid w:val="008065AA"/>
    <w:rsid w:val="00806621"/>
    <w:rsid w:val="0080704F"/>
    <w:rsid w:val="008079F7"/>
    <w:rsid w:val="00811A4B"/>
    <w:rsid w:val="00814213"/>
    <w:rsid w:val="00815B20"/>
    <w:rsid w:val="00816C9E"/>
    <w:rsid w:val="008176CD"/>
    <w:rsid w:val="00817B5F"/>
    <w:rsid w:val="00817D76"/>
    <w:rsid w:val="00821061"/>
    <w:rsid w:val="008213DD"/>
    <w:rsid w:val="008220B4"/>
    <w:rsid w:val="00822F7A"/>
    <w:rsid w:val="00823DDD"/>
    <w:rsid w:val="00824095"/>
    <w:rsid w:val="008242A3"/>
    <w:rsid w:val="00825795"/>
    <w:rsid w:val="008257A8"/>
    <w:rsid w:val="0082596C"/>
    <w:rsid w:val="0082769B"/>
    <w:rsid w:val="0083157B"/>
    <w:rsid w:val="00831640"/>
    <w:rsid w:val="008329D3"/>
    <w:rsid w:val="00832A60"/>
    <w:rsid w:val="00833715"/>
    <w:rsid w:val="00835304"/>
    <w:rsid w:val="00837D29"/>
    <w:rsid w:val="00840634"/>
    <w:rsid w:val="00841851"/>
    <w:rsid w:val="00841B36"/>
    <w:rsid w:val="00841E07"/>
    <w:rsid w:val="008433F5"/>
    <w:rsid w:val="00843E1F"/>
    <w:rsid w:val="00845AC6"/>
    <w:rsid w:val="00851412"/>
    <w:rsid w:val="00852998"/>
    <w:rsid w:val="008568FB"/>
    <w:rsid w:val="00857B77"/>
    <w:rsid w:val="00861188"/>
    <w:rsid w:val="00861353"/>
    <w:rsid w:val="00864592"/>
    <w:rsid w:val="00865944"/>
    <w:rsid w:val="00866D6A"/>
    <w:rsid w:val="008711D1"/>
    <w:rsid w:val="00872F34"/>
    <w:rsid w:val="00873697"/>
    <w:rsid w:val="0087375B"/>
    <w:rsid w:val="008776CC"/>
    <w:rsid w:val="00883F06"/>
    <w:rsid w:val="00884A04"/>
    <w:rsid w:val="00887912"/>
    <w:rsid w:val="00890A07"/>
    <w:rsid w:val="008946B3"/>
    <w:rsid w:val="00896094"/>
    <w:rsid w:val="008A1621"/>
    <w:rsid w:val="008A303F"/>
    <w:rsid w:val="008A48BD"/>
    <w:rsid w:val="008A711C"/>
    <w:rsid w:val="008B0478"/>
    <w:rsid w:val="008B19A3"/>
    <w:rsid w:val="008B49E4"/>
    <w:rsid w:val="008B4D58"/>
    <w:rsid w:val="008B6CF0"/>
    <w:rsid w:val="008B6FBA"/>
    <w:rsid w:val="008C07E8"/>
    <w:rsid w:val="008C2C97"/>
    <w:rsid w:val="008C47EF"/>
    <w:rsid w:val="008C4BCA"/>
    <w:rsid w:val="008C4DB6"/>
    <w:rsid w:val="008C633D"/>
    <w:rsid w:val="008D061C"/>
    <w:rsid w:val="008D096D"/>
    <w:rsid w:val="008D0DFF"/>
    <w:rsid w:val="008D1701"/>
    <w:rsid w:val="008D2345"/>
    <w:rsid w:val="008D2C6A"/>
    <w:rsid w:val="008D5BA2"/>
    <w:rsid w:val="008D74A2"/>
    <w:rsid w:val="008E2D06"/>
    <w:rsid w:val="008E3ECE"/>
    <w:rsid w:val="008E5E7B"/>
    <w:rsid w:val="008E6151"/>
    <w:rsid w:val="008E6CD7"/>
    <w:rsid w:val="008E7F50"/>
    <w:rsid w:val="008F18BE"/>
    <w:rsid w:val="008F2DF7"/>
    <w:rsid w:val="008F5F00"/>
    <w:rsid w:val="008F61BC"/>
    <w:rsid w:val="008F6E58"/>
    <w:rsid w:val="008F7552"/>
    <w:rsid w:val="00902365"/>
    <w:rsid w:val="00903E82"/>
    <w:rsid w:val="00904AFB"/>
    <w:rsid w:val="00907E30"/>
    <w:rsid w:val="00911C9C"/>
    <w:rsid w:val="00913230"/>
    <w:rsid w:val="0091478A"/>
    <w:rsid w:val="00914D69"/>
    <w:rsid w:val="009175C3"/>
    <w:rsid w:val="00917B7C"/>
    <w:rsid w:val="009201EA"/>
    <w:rsid w:val="00922AC6"/>
    <w:rsid w:val="009242FB"/>
    <w:rsid w:val="00925656"/>
    <w:rsid w:val="0092565B"/>
    <w:rsid w:val="0092629B"/>
    <w:rsid w:val="0092743E"/>
    <w:rsid w:val="009315AE"/>
    <w:rsid w:val="00931866"/>
    <w:rsid w:val="00932E1B"/>
    <w:rsid w:val="0093321F"/>
    <w:rsid w:val="00933D9B"/>
    <w:rsid w:val="0093412B"/>
    <w:rsid w:val="00934EAE"/>
    <w:rsid w:val="0093616A"/>
    <w:rsid w:val="009366D2"/>
    <w:rsid w:val="00941FB2"/>
    <w:rsid w:val="00945E4D"/>
    <w:rsid w:val="00946248"/>
    <w:rsid w:val="00946303"/>
    <w:rsid w:val="0095008F"/>
    <w:rsid w:val="00950FCC"/>
    <w:rsid w:val="00952F62"/>
    <w:rsid w:val="00956570"/>
    <w:rsid w:val="00956682"/>
    <w:rsid w:val="009568C1"/>
    <w:rsid w:val="00956E3E"/>
    <w:rsid w:val="00957954"/>
    <w:rsid w:val="00957A29"/>
    <w:rsid w:val="00957A86"/>
    <w:rsid w:val="00962237"/>
    <w:rsid w:val="00963043"/>
    <w:rsid w:val="0096389D"/>
    <w:rsid w:val="00963F0F"/>
    <w:rsid w:val="00966CFF"/>
    <w:rsid w:val="00966E2B"/>
    <w:rsid w:val="00966E91"/>
    <w:rsid w:val="00972F92"/>
    <w:rsid w:val="009741F4"/>
    <w:rsid w:val="0098116C"/>
    <w:rsid w:val="009812F5"/>
    <w:rsid w:val="009903AF"/>
    <w:rsid w:val="00993F10"/>
    <w:rsid w:val="0099730F"/>
    <w:rsid w:val="009A00AB"/>
    <w:rsid w:val="009A0704"/>
    <w:rsid w:val="009A212D"/>
    <w:rsid w:val="009A362B"/>
    <w:rsid w:val="009A6358"/>
    <w:rsid w:val="009A752E"/>
    <w:rsid w:val="009B0D5B"/>
    <w:rsid w:val="009B1967"/>
    <w:rsid w:val="009B26D4"/>
    <w:rsid w:val="009B32B9"/>
    <w:rsid w:val="009B3B5B"/>
    <w:rsid w:val="009B43E9"/>
    <w:rsid w:val="009B4E4A"/>
    <w:rsid w:val="009B5C1D"/>
    <w:rsid w:val="009B64E4"/>
    <w:rsid w:val="009B7EE0"/>
    <w:rsid w:val="009C0D6A"/>
    <w:rsid w:val="009C304C"/>
    <w:rsid w:val="009C4E64"/>
    <w:rsid w:val="009C5E24"/>
    <w:rsid w:val="009D0D16"/>
    <w:rsid w:val="009D3EE8"/>
    <w:rsid w:val="009D414A"/>
    <w:rsid w:val="009D44B7"/>
    <w:rsid w:val="009D47D5"/>
    <w:rsid w:val="009E223E"/>
    <w:rsid w:val="009E6DF8"/>
    <w:rsid w:val="009F1082"/>
    <w:rsid w:val="009F2724"/>
    <w:rsid w:val="009F3FA8"/>
    <w:rsid w:val="009F4319"/>
    <w:rsid w:val="009F47AB"/>
    <w:rsid w:val="009F4878"/>
    <w:rsid w:val="009F5750"/>
    <w:rsid w:val="009F620F"/>
    <w:rsid w:val="009F7128"/>
    <w:rsid w:val="00A01B53"/>
    <w:rsid w:val="00A04BBE"/>
    <w:rsid w:val="00A05983"/>
    <w:rsid w:val="00A07C94"/>
    <w:rsid w:val="00A10D3F"/>
    <w:rsid w:val="00A117A9"/>
    <w:rsid w:val="00A12AA6"/>
    <w:rsid w:val="00A13DF5"/>
    <w:rsid w:val="00A140A5"/>
    <w:rsid w:val="00A155DD"/>
    <w:rsid w:val="00A15E9F"/>
    <w:rsid w:val="00A17EBB"/>
    <w:rsid w:val="00A20BC6"/>
    <w:rsid w:val="00A20E02"/>
    <w:rsid w:val="00A22210"/>
    <w:rsid w:val="00A23321"/>
    <w:rsid w:val="00A24C0E"/>
    <w:rsid w:val="00A24E96"/>
    <w:rsid w:val="00A304F9"/>
    <w:rsid w:val="00A310CC"/>
    <w:rsid w:val="00A31704"/>
    <w:rsid w:val="00A31A41"/>
    <w:rsid w:val="00A31AD7"/>
    <w:rsid w:val="00A32B23"/>
    <w:rsid w:val="00A33EE7"/>
    <w:rsid w:val="00A34540"/>
    <w:rsid w:val="00A34746"/>
    <w:rsid w:val="00A35580"/>
    <w:rsid w:val="00A35C5A"/>
    <w:rsid w:val="00A362DE"/>
    <w:rsid w:val="00A36517"/>
    <w:rsid w:val="00A37677"/>
    <w:rsid w:val="00A3770C"/>
    <w:rsid w:val="00A37E68"/>
    <w:rsid w:val="00A37E89"/>
    <w:rsid w:val="00A402A2"/>
    <w:rsid w:val="00A40926"/>
    <w:rsid w:val="00A41630"/>
    <w:rsid w:val="00A41994"/>
    <w:rsid w:val="00A419DA"/>
    <w:rsid w:val="00A44A86"/>
    <w:rsid w:val="00A45190"/>
    <w:rsid w:val="00A47A69"/>
    <w:rsid w:val="00A51BF6"/>
    <w:rsid w:val="00A5210A"/>
    <w:rsid w:val="00A52C84"/>
    <w:rsid w:val="00A54E19"/>
    <w:rsid w:val="00A557F9"/>
    <w:rsid w:val="00A56B85"/>
    <w:rsid w:val="00A62528"/>
    <w:rsid w:val="00A666BD"/>
    <w:rsid w:val="00A678D6"/>
    <w:rsid w:val="00A700A2"/>
    <w:rsid w:val="00A705D0"/>
    <w:rsid w:val="00A7293E"/>
    <w:rsid w:val="00A74CEA"/>
    <w:rsid w:val="00A75749"/>
    <w:rsid w:val="00A759CB"/>
    <w:rsid w:val="00A76A0D"/>
    <w:rsid w:val="00A7715E"/>
    <w:rsid w:val="00A77932"/>
    <w:rsid w:val="00A82B9F"/>
    <w:rsid w:val="00A84F06"/>
    <w:rsid w:val="00A85C50"/>
    <w:rsid w:val="00A85E27"/>
    <w:rsid w:val="00A861FF"/>
    <w:rsid w:val="00A90A21"/>
    <w:rsid w:val="00A90C24"/>
    <w:rsid w:val="00A92600"/>
    <w:rsid w:val="00A926D6"/>
    <w:rsid w:val="00A95267"/>
    <w:rsid w:val="00A95563"/>
    <w:rsid w:val="00A960D1"/>
    <w:rsid w:val="00AA10FB"/>
    <w:rsid w:val="00AA25CA"/>
    <w:rsid w:val="00AA788D"/>
    <w:rsid w:val="00AB082A"/>
    <w:rsid w:val="00AB11BC"/>
    <w:rsid w:val="00AB4B50"/>
    <w:rsid w:val="00AC0253"/>
    <w:rsid w:val="00AC1976"/>
    <w:rsid w:val="00AC3EE1"/>
    <w:rsid w:val="00AC419E"/>
    <w:rsid w:val="00AC43EC"/>
    <w:rsid w:val="00AC501D"/>
    <w:rsid w:val="00AC5245"/>
    <w:rsid w:val="00AC60AF"/>
    <w:rsid w:val="00AC75F3"/>
    <w:rsid w:val="00AD0B80"/>
    <w:rsid w:val="00AD15CC"/>
    <w:rsid w:val="00AD2EC3"/>
    <w:rsid w:val="00AE47C1"/>
    <w:rsid w:val="00AE4DC7"/>
    <w:rsid w:val="00AE5B49"/>
    <w:rsid w:val="00AE5F12"/>
    <w:rsid w:val="00AE738E"/>
    <w:rsid w:val="00AF04D0"/>
    <w:rsid w:val="00AF2A9F"/>
    <w:rsid w:val="00AF6C4B"/>
    <w:rsid w:val="00AF777D"/>
    <w:rsid w:val="00B01F14"/>
    <w:rsid w:val="00B03027"/>
    <w:rsid w:val="00B0314C"/>
    <w:rsid w:val="00B04A55"/>
    <w:rsid w:val="00B056BD"/>
    <w:rsid w:val="00B064C5"/>
    <w:rsid w:val="00B1136E"/>
    <w:rsid w:val="00B1274F"/>
    <w:rsid w:val="00B139EA"/>
    <w:rsid w:val="00B16B81"/>
    <w:rsid w:val="00B20AB9"/>
    <w:rsid w:val="00B21E06"/>
    <w:rsid w:val="00B21ED8"/>
    <w:rsid w:val="00B21FCA"/>
    <w:rsid w:val="00B23797"/>
    <w:rsid w:val="00B23BB3"/>
    <w:rsid w:val="00B23EFC"/>
    <w:rsid w:val="00B24925"/>
    <w:rsid w:val="00B25240"/>
    <w:rsid w:val="00B261FA"/>
    <w:rsid w:val="00B27286"/>
    <w:rsid w:val="00B32475"/>
    <w:rsid w:val="00B32F3E"/>
    <w:rsid w:val="00B35581"/>
    <w:rsid w:val="00B367EB"/>
    <w:rsid w:val="00B373E2"/>
    <w:rsid w:val="00B41B70"/>
    <w:rsid w:val="00B426F2"/>
    <w:rsid w:val="00B43275"/>
    <w:rsid w:val="00B44111"/>
    <w:rsid w:val="00B45842"/>
    <w:rsid w:val="00B47577"/>
    <w:rsid w:val="00B4764E"/>
    <w:rsid w:val="00B47B63"/>
    <w:rsid w:val="00B51A00"/>
    <w:rsid w:val="00B520B4"/>
    <w:rsid w:val="00B549C1"/>
    <w:rsid w:val="00B56800"/>
    <w:rsid w:val="00B60384"/>
    <w:rsid w:val="00B62210"/>
    <w:rsid w:val="00B63204"/>
    <w:rsid w:val="00B659C4"/>
    <w:rsid w:val="00B65B8D"/>
    <w:rsid w:val="00B72BE0"/>
    <w:rsid w:val="00B746DE"/>
    <w:rsid w:val="00B77712"/>
    <w:rsid w:val="00B77CBD"/>
    <w:rsid w:val="00B8007A"/>
    <w:rsid w:val="00B803C3"/>
    <w:rsid w:val="00B81760"/>
    <w:rsid w:val="00B823A1"/>
    <w:rsid w:val="00B84137"/>
    <w:rsid w:val="00B84B0E"/>
    <w:rsid w:val="00B84C51"/>
    <w:rsid w:val="00B86A16"/>
    <w:rsid w:val="00B9022B"/>
    <w:rsid w:val="00B9044B"/>
    <w:rsid w:val="00B92383"/>
    <w:rsid w:val="00B93868"/>
    <w:rsid w:val="00B938F3"/>
    <w:rsid w:val="00B942E8"/>
    <w:rsid w:val="00B95931"/>
    <w:rsid w:val="00BA04D3"/>
    <w:rsid w:val="00BA2C2D"/>
    <w:rsid w:val="00BA4264"/>
    <w:rsid w:val="00BA644D"/>
    <w:rsid w:val="00BA7556"/>
    <w:rsid w:val="00BB19D0"/>
    <w:rsid w:val="00BB2B7F"/>
    <w:rsid w:val="00BB2D8A"/>
    <w:rsid w:val="00BB3815"/>
    <w:rsid w:val="00BB43D6"/>
    <w:rsid w:val="00BB5485"/>
    <w:rsid w:val="00BB6220"/>
    <w:rsid w:val="00BB732C"/>
    <w:rsid w:val="00BB7797"/>
    <w:rsid w:val="00BC1499"/>
    <w:rsid w:val="00BC3075"/>
    <w:rsid w:val="00BC3530"/>
    <w:rsid w:val="00BC3A49"/>
    <w:rsid w:val="00BC4336"/>
    <w:rsid w:val="00BC7CFC"/>
    <w:rsid w:val="00BD0854"/>
    <w:rsid w:val="00BD0BCD"/>
    <w:rsid w:val="00BD12D1"/>
    <w:rsid w:val="00BD5A48"/>
    <w:rsid w:val="00BD5B8A"/>
    <w:rsid w:val="00BD71E7"/>
    <w:rsid w:val="00BE24E1"/>
    <w:rsid w:val="00BE3EF3"/>
    <w:rsid w:val="00BE4347"/>
    <w:rsid w:val="00BE46D8"/>
    <w:rsid w:val="00BE4CE9"/>
    <w:rsid w:val="00BE5303"/>
    <w:rsid w:val="00BF063C"/>
    <w:rsid w:val="00BF296B"/>
    <w:rsid w:val="00BF4422"/>
    <w:rsid w:val="00BF54D9"/>
    <w:rsid w:val="00BF5519"/>
    <w:rsid w:val="00BF69AA"/>
    <w:rsid w:val="00BF7288"/>
    <w:rsid w:val="00C02577"/>
    <w:rsid w:val="00C0329F"/>
    <w:rsid w:val="00C038FB"/>
    <w:rsid w:val="00C03ADC"/>
    <w:rsid w:val="00C055B4"/>
    <w:rsid w:val="00C06750"/>
    <w:rsid w:val="00C06BAC"/>
    <w:rsid w:val="00C106BA"/>
    <w:rsid w:val="00C1078D"/>
    <w:rsid w:val="00C10FF7"/>
    <w:rsid w:val="00C115FC"/>
    <w:rsid w:val="00C123A6"/>
    <w:rsid w:val="00C13BB0"/>
    <w:rsid w:val="00C13C68"/>
    <w:rsid w:val="00C14B8B"/>
    <w:rsid w:val="00C14C95"/>
    <w:rsid w:val="00C150C7"/>
    <w:rsid w:val="00C1527F"/>
    <w:rsid w:val="00C152B6"/>
    <w:rsid w:val="00C1716C"/>
    <w:rsid w:val="00C17DEF"/>
    <w:rsid w:val="00C20D8D"/>
    <w:rsid w:val="00C213B2"/>
    <w:rsid w:val="00C2162F"/>
    <w:rsid w:val="00C228FA"/>
    <w:rsid w:val="00C27290"/>
    <w:rsid w:val="00C31C04"/>
    <w:rsid w:val="00C31E67"/>
    <w:rsid w:val="00C31F72"/>
    <w:rsid w:val="00C33E68"/>
    <w:rsid w:val="00C34E07"/>
    <w:rsid w:val="00C3589C"/>
    <w:rsid w:val="00C4057E"/>
    <w:rsid w:val="00C4262A"/>
    <w:rsid w:val="00C43387"/>
    <w:rsid w:val="00C4357C"/>
    <w:rsid w:val="00C4445C"/>
    <w:rsid w:val="00C45475"/>
    <w:rsid w:val="00C458AA"/>
    <w:rsid w:val="00C46806"/>
    <w:rsid w:val="00C468BE"/>
    <w:rsid w:val="00C51312"/>
    <w:rsid w:val="00C60F81"/>
    <w:rsid w:val="00C61F29"/>
    <w:rsid w:val="00C630DF"/>
    <w:rsid w:val="00C641CC"/>
    <w:rsid w:val="00C65AB6"/>
    <w:rsid w:val="00C70B4B"/>
    <w:rsid w:val="00C72AE7"/>
    <w:rsid w:val="00C734E2"/>
    <w:rsid w:val="00C742C8"/>
    <w:rsid w:val="00C7517E"/>
    <w:rsid w:val="00C765EE"/>
    <w:rsid w:val="00C76CC7"/>
    <w:rsid w:val="00C77406"/>
    <w:rsid w:val="00C7778F"/>
    <w:rsid w:val="00C77B04"/>
    <w:rsid w:val="00C800BC"/>
    <w:rsid w:val="00C81010"/>
    <w:rsid w:val="00C81C06"/>
    <w:rsid w:val="00C82ECC"/>
    <w:rsid w:val="00C84A01"/>
    <w:rsid w:val="00C86283"/>
    <w:rsid w:val="00C9190D"/>
    <w:rsid w:val="00C91C2F"/>
    <w:rsid w:val="00C93DAD"/>
    <w:rsid w:val="00C94234"/>
    <w:rsid w:val="00C9637F"/>
    <w:rsid w:val="00CA01F1"/>
    <w:rsid w:val="00CA07AD"/>
    <w:rsid w:val="00CA22DE"/>
    <w:rsid w:val="00CA4D80"/>
    <w:rsid w:val="00CB1E08"/>
    <w:rsid w:val="00CB2A49"/>
    <w:rsid w:val="00CB3718"/>
    <w:rsid w:val="00CB38B0"/>
    <w:rsid w:val="00CB3D77"/>
    <w:rsid w:val="00CB52AF"/>
    <w:rsid w:val="00CB6575"/>
    <w:rsid w:val="00CB78AB"/>
    <w:rsid w:val="00CB7E4D"/>
    <w:rsid w:val="00CC0BB7"/>
    <w:rsid w:val="00CC1793"/>
    <w:rsid w:val="00CC17EA"/>
    <w:rsid w:val="00CC2C58"/>
    <w:rsid w:val="00CC3AAC"/>
    <w:rsid w:val="00CC634B"/>
    <w:rsid w:val="00CC6848"/>
    <w:rsid w:val="00CC79D5"/>
    <w:rsid w:val="00CC7E99"/>
    <w:rsid w:val="00CD11F3"/>
    <w:rsid w:val="00CD1CCA"/>
    <w:rsid w:val="00CD2D28"/>
    <w:rsid w:val="00CD43EB"/>
    <w:rsid w:val="00CD46C9"/>
    <w:rsid w:val="00CD5E31"/>
    <w:rsid w:val="00CD69DE"/>
    <w:rsid w:val="00CD77B4"/>
    <w:rsid w:val="00CE110F"/>
    <w:rsid w:val="00CE2037"/>
    <w:rsid w:val="00CE59AE"/>
    <w:rsid w:val="00CE7E73"/>
    <w:rsid w:val="00CF14A5"/>
    <w:rsid w:val="00CF1C94"/>
    <w:rsid w:val="00CF308E"/>
    <w:rsid w:val="00CF38E8"/>
    <w:rsid w:val="00CF3D2F"/>
    <w:rsid w:val="00CF5C0F"/>
    <w:rsid w:val="00D01206"/>
    <w:rsid w:val="00D01A03"/>
    <w:rsid w:val="00D01EF4"/>
    <w:rsid w:val="00D05610"/>
    <w:rsid w:val="00D05867"/>
    <w:rsid w:val="00D07E5E"/>
    <w:rsid w:val="00D12EA5"/>
    <w:rsid w:val="00D1361C"/>
    <w:rsid w:val="00D14E86"/>
    <w:rsid w:val="00D15A74"/>
    <w:rsid w:val="00D172DD"/>
    <w:rsid w:val="00D207C0"/>
    <w:rsid w:val="00D22FD8"/>
    <w:rsid w:val="00D23093"/>
    <w:rsid w:val="00D27C1E"/>
    <w:rsid w:val="00D30631"/>
    <w:rsid w:val="00D31F84"/>
    <w:rsid w:val="00D34BCC"/>
    <w:rsid w:val="00D408E4"/>
    <w:rsid w:val="00D40A21"/>
    <w:rsid w:val="00D40E09"/>
    <w:rsid w:val="00D45B5A"/>
    <w:rsid w:val="00D45D0A"/>
    <w:rsid w:val="00D47F93"/>
    <w:rsid w:val="00D50C77"/>
    <w:rsid w:val="00D51E91"/>
    <w:rsid w:val="00D520C6"/>
    <w:rsid w:val="00D53B39"/>
    <w:rsid w:val="00D5457A"/>
    <w:rsid w:val="00D54805"/>
    <w:rsid w:val="00D54E42"/>
    <w:rsid w:val="00D55F1A"/>
    <w:rsid w:val="00D56790"/>
    <w:rsid w:val="00D647ED"/>
    <w:rsid w:val="00D655A1"/>
    <w:rsid w:val="00D6599E"/>
    <w:rsid w:val="00D667DD"/>
    <w:rsid w:val="00D66C8C"/>
    <w:rsid w:val="00D66CD0"/>
    <w:rsid w:val="00D67AAF"/>
    <w:rsid w:val="00D67E84"/>
    <w:rsid w:val="00D71E5C"/>
    <w:rsid w:val="00D721A5"/>
    <w:rsid w:val="00D72CB5"/>
    <w:rsid w:val="00D72DB4"/>
    <w:rsid w:val="00D74657"/>
    <w:rsid w:val="00D765FC"/>
    <w:rsid w:val="00D80663"/>
    <w:rsid w:val="00D80D92"/>
    <w:rsid w:val="00D8171D"/>
    <w:rsid w:val="00D82028"/>
    <w:rsid w:val="00D83B98"/>
    <w:rsid w:val="00D857BC"/>
    <w:rsid w:val="00D87AF7"/>
    <w:rsid w:val="00D90488"/>
    <w:rsid w:val="00D904EC"/>
    <w:rsid w:val="00D926C0"/>
    <w:rsid w:val="00D93A9E"/>
    <w:rsid w:val="00D95527"/>
    <w:rsid w:val="00D955C0"/>
    <w:rsid w:val="00D9589A"/>
    <w:rsid w:val="00D96016"/>
    <w:rsid w:val="00DA0402"/>
    <w:rsid w:val="00DA1FA8"/>
    <w:rsid w:val="00DA2322"/>
    <w:rsid w:val="00DA4CDF"/>
    <w:rsid w:val="00DA5AD6"/>
    <w:rsid w:val="00DA6952"/>
    <w:rsid w:val="00DB1C53"/>
    <w:rsid w:val="00DB3B22"/>
    <w:rsid w:val="00DB662B"/>
    <w:rsid w:val="00DB6CCF"/>
    <w:rsid w:val="00DC1890"/>
    <w:rsid w:val="00DC2B2D"/>
    <w:rsid w:val="00DC4010"/>
    <w:rsid w:val="00DC5B85"/>
    <w:rsid w:val="00DD2122"/>
    <w:rsid w:val="00DD3CBB"/>
    <w:rsid w:val="00DD3E99"/>
    <w:rsid w:val="00DD49DE"/>
    <w:rsid w:val="00DD4C13"/>
    <w:rsid w:val="00DD69F4"/>
    <w:rsid w:val="00DE09BD"/>
    <w:rsid w:val="00DE1CB8"/>
    <w:rsid w:val="00DE1EC7"/>
    <w:rsid w:val="00DE226B"/>
    <w:rsid w:val="00DE7818"/>
    <w:rsid w:val="00DF2682"/>
    <w:rsid w:val="00DF31A0"/>
    <w:rsid w:val="00DF53C1"/>
    <w:rsid w:val="00DF5439"/>
    <w:rsid w:val="00DF592A"/>
    <w:rsid w:val="00DF5B21"/>
    <w:rsid w:val="00DF6911"/>
    <w:rsid w:val="00DF71E4"/>
    <w:rsid w:val="00E025DC"/>
    <w:rsid w:val="00E02BD1"/>
    <w:rsid w:val="00E02DF9"/>
    <w:rsid w:val="00E036F9"/>
    <w:rsid w:val="00E101B1"/>
    <w:rsid w:val="00E125BF"/>
    <w:rsid w:val="00E126FA"/>
    <w:rsid w:val="00E1411A"/>
    <w:rsid w:val="00E15073"/>
    <w:rsid w:val="00E15DAD"/>
    <w:rsid w:val="00E20E15"/>
    <w:rsid w:val="00E23459"/>
    <w:rsid w:val="00E26C11"/>
    <w:rsid w:val="00E27134"/>
    <w:rsid w:val="00E27B2D"/>
    <w:rsid w:val="00E31B46"/>
    <w:rsid w:val="00E31D92"/>
    <w:rsid w:val="00E324CF"/>
    <w:rsid w:val="00E333FD"/>
    <w:rsid w:val="00E3426C"/>
    <w:rsid w:val="00E3553B"/>
    <w:rsid w:val="00E40114"/>
    <w:rsid w:val="00E41B62"/>
    <w:rsid w:val="00E42168"/>
    <w:rsid w:val="00E43900"/>
    <w:rsid w:val="00E44325"/>
    <w:rsid w:val="00E44D95"/>
    <w:rsid w:val="00E451A7"/>
    <w:rsid w:val="00E45447"/>
    <w:rsid w:val="00E459FE"/>
    <w:rsid w:val="00E463A2"/>
    <w:rsid w:val="00E46D3B"/>
    <w:rsid w:val="00E47761"/>
    <w:rsid w:val="00E505D7"/>
    <w:rsid w:val="00E5423C"/>
    <w:rsid w:val="00E574BE"/>
    <w:rsid w:val="00E6401F"/>
    <w:rsid w:val="00E66793"/>
    <w:rsid w:val="00E66F03"/>
    <w:rsid w:val="00E67647"/>
    <w:rsid w:val="00E70C22"/>
    <w:rsid w:val="00E718DE"/>
    <w:rsid w:val="00E71A1C"/>
    <w:rsid w:val="00E72D85"/>
    <w:rsid w:val="00E7367F"/>
    <w:rsid w:val="00E73825"/>
    <w:rsid w:val="00E76DEB"/>
    <w:rsid w:val="00E80E72"/>
    <w:rsid w:val="00E84823"/>
    <w:rsid w:val="00E85237"/>
    <w:rsid w:val="00E8533A"/>
    <w:rsid w:val="00E8582F"/>
    <w:rsid w:val="00E85C1E"/>
    <w:rsid w:val="00E86747"/>
    <w:rsid w:val="00E91591"/>
    <w:rsid w:val="00E928E7"/>
    <w:rsid w:val="00E92DF1"/>
    <w:rsid w:val="00E94D13"/>
    <w:rsid w:val="00E963B6"/>
    <w:rsid w:val="00E968CF"/>
    <w:rsid w:val="00E97448"/>
    <w:rsid w:val="00E97F8B"/>
    <w:rsid w:val="00EA24E8"/>
    <w:rsid w:val="00EA2670"/>
    <w:rsid w:val="00EA53DF"/>
    <w:rsid w:val="00EA5B8A"/>
    <w:rsid w:val="00EA5D56"/>
    <w:rsid w:val="00EA5EE8"/>
    <w:rsid w:val="00EA6219"/>
    <w:rsid w:val="00EA67F5"/>
    <w:rsid w:val="00EA6A70"/>
    <w:rsid w:val="00EB1692"/>
    <w:rsid w:val="00EB1C61"/>
    <w:rsid w:val="00EB2DEC"/>
    <w:rsid w:val="00EB3537"/>
    <w:rsid w:val="00EB3806"/>
    <w:rsid w:val="00EB3D6D"/>
    <w:rsid w:val="00EB4DB7"/>
    <w:rsid w:val="00EB538E"/>
    <w:rsid w:val="00EB5BA2"/>
    <w:rsid w:val="00EB5CAE"/>
    <w:rsid w:val="00EB70B5"/>
    <w:rsid w:val="00EB743C"/>
    <w:rsid w:val="00EC149D"/>
    <w:rsid w:val="00EC15CE"/>
    <w:rsid w:val="00EC1B91"/>
    <w:rsid w:val="00EC320F"/>
    <w:rsid w:val="00EC3DB4"/>
    <w:rsid w:val="00EC411E"/>
    <w:rsid w:val="00EC6629"/>
    <w:rsid w:val="00EC7F6C"/>
    <w:rsid w:val="00ED3428"/>
    <w:rsid w:val="00ED3A27"/>
    <w:rsid w:val="00ED51BA"/>
    <w:rsid w:val="00ED5466"/>
    <w:rsid w:val="00ED55BE"/>
    <w:rsid w:val="00ED5605"/>
    <w:rsid w:val="00ED7CEE"/>
    <w:rsid w:val="00EE08A4"/>
    <w:rsid w:val="00EE1E00"/>
    <w:rsid w:val="00EE2FBE"/>
    <w:rsid w:val="00EE3CEF"/>
    <w:rsid w:val="00EF009C"/>
    <w:rsid w:val="00EF2EEE"/>
    <w:rsid w:val="00EF4408"/>
    <w:rsid w:val="00EF6ADC"/>
    <w:rsid w:val="00EF72CA"/>
    <w:rsid w:val="00F04C35"/>
    <w:rsid w:val="00F04F44"/>
    <w:rsid w:val="00F050E7"/>
    <w:rsid w:val="00F051C5"/>
    <w:rsid w:val="00F10DB0"/>
    <w:rsid w:val="00F11E4E"/>
    <w:rsid w:val="00F15169"/>
    <w:rsid w:val="00F16888"/>
    <w:rsid w:val="00F16A4E"/>
    <w:rsid w:val="00F17208"/>
    <w:rsid w:val="00F21380"/>
    <w:rsid w:val="00F214D2"/>
    <w:rsid w:val="00F2503D"/>
    <w:rsid w:val="00F252D2"/>
    <w:rsid w:val="00F268E3"/>
    <w:rsid w:val="00F26E27"/>
    <w:rsid w:val="00F270AB"/>
    <w:rsid w:val="00F30F80"/>
    <w:rsid w:val="00F3164B"/>
    <w:rsid w:val="00F31893"/>
    <w:rsid w:val="00F33CF1"/>
    <w:rsid w:val="00F34008"/>
    <w:rsid w:val="00F34090"/>
    <w:rsid w:val="00F360F3"/>
    <w:rsid w:val="00F377AA"/>
    <w:rsid w:val="00F402EA"/>
    <w:rsid w:val="00F406C6"/>
    <w:rsid w:val="00F4076E"/>
    <w:rsid w:val="00F41546"/>
    <w:rsid w:val="00F41DDC"/>
    <w:rsid w:val="00F46A62"/>
    <w:rsid w:val="00F50673"/>
    <w:rsid w:val="00F50DEE"/>
    <w:rsid w:val="00F51DB3"/>
    <w:rsid w:val="00F52794"/>
    <w:rsid w:val="00F54776"/>
    <w:rsid w:val="00F54868"/>
    <w:rsid w:val="00F557B7"/>
    <w:rsid w:val="00F563CE"/>
    <w:rsid w:val="00F56AF8"/>
    <w:rsid w:val="00F57E99"/>
    <w:rsid w:val="00F60272"/>
    <w:rsid w:val="00F63819"/>
    <w:rsid w:val="00F645F6"/>
    <w:rsid w:val="00F65BB0"/>
    <w:rsid w:val="00F66F5C"/>
    <w:rsid w:val="00F70F52"/>
    <w:rsid w:val="00F72283"/>
    <w:rsid w:val="00F7456D"/>
    <w:rsid w:val="00F74EE9"/>
    <w:rsid w:val="00F76620"/>
    <w:rsid w:val="00F76B98"/>
    <w:rsid w:val="00F827D7"/>
    <w:rsid w:val="00F861ED"/>
    <w:rsid w:val="00F91A27"/>
    <w:rsid w:val="00F92E7D"/>
    <w:rsid w:val="00F968A7"/>
    <w:rsid w:val="00F978A0"/>
    <w:rsid w:val="00FA446A"/>
    <w:rsid w:val="00FA5141"/>
    <w:rsid w:val="00FA7526"/>
    <w:rsid w:val="00FB078B"/>
    <w:rsid w:val="00FB4BDE"/>
    <w:rsid w:val="00FB5B54"/>
    <w:rsid w:val="00FC2416"/>
    <w:rsid w:val="00FC25BF"/>
    <w:rsid w:val="00FC422E"/>
    <w:rsid w:val="00FC45E6"/>
    <w:rsid w:val="00FC552F"/>
    <w:rsid w:val="00FC553C"/>
    <w:rsid w:val="00FC5DCA"/>
    <w:rsid w:val="00FC6825"/>
    <w:rsid w:val="00FD0707"/>
    <w:rsid w:val="00FD1659"/>
    <w:rsid w:val="00FD221F"/>
    <w:rsid w:val="00FD2838"/>
    <w:rsid w:val="00FD2B60"/>
    <w:rsid w:val="00FD31D8"/>
    <w:rsid w:val="00FD61AB"/>
    <w:rsid w:val="00FD6547"/>
    <w:rsid w:val="00FD7ABA"/>
    <w:rsid w:val="00FE0123"/>
    <w:rsid w:val="00FE0C28"/>
    <w:rsid w:val="00FE213C"/>
    <w:rsid w:val="00FE2969"/>
    <w:rsid w:val="00FE2DF0"/>
    <w:rsid w:val="00FE2F2A"/>
    <w:rsid w:val="00FE34CB"/>
    <w:rsid w:val="00FE3888"/>
    <w:rsid w:val="00FE4617"/>
    <w:rsid w:val="00FE4F69"/>
    <w:rsid w:val="00FE5EA5"/>
    <w:rsid w:val="00FE6597"/>
    <w:rsid w:val="00FE6933"/>
    <w:rsid w:val="00FE6B5D"/>
    <w:rsid w:val="00FE78CC"/>
    <w:rsid w:val="00FF1C13"/>
    <w:rsid w:val="00FF1FCE"/>
    <w:rsid w:val="00FF271A"/>
    <w:rsid w:val="00FF2CF4"/>
    <w:rsid w:val="00FF2DA9"/>
    <w:rsid w:val="00FF3E6E"/>
    <w:rsid w:val="00FF5509"/>
    <w:rsid w:val="00FF7684"/>
    <w:rsid w:val="00FF78C8"/>
    <w:rsid w:val="0BC321B3"/>
    <w:rsid w:val="126E68B4"/>
    <w:rsid w:val="3E855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iPriority="0" w:semiHidden="0" w:name="heading 2"/>
    <w:lsdException w:uiPriority="0" w:semiHidden="0" w:name="heading 3"/>
    <w:lsdException w:uiPriority="0" w:semiHidden="0" w:name="heading 4"/>
    <w:lsdException w:uiPriority="0" w:semiHidden="0" w:name="heading 5"/>
    <w:lsdException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uiPriority w:val="0"/>
    <w:pPr>
      <w:keepNext/>
      <w:keepLines/>
      <w:spacing w:before="340" w:after="330" w:line="578" w:lineRule="auto"/>
      <w:outlineLvl w:val="0"/>
    </w:pPr>
    <w:rPr>
      <w:b/>
      <w:bCs/>
      <w:kern w:val="44"/>
      <w:sz w:val="44"/>
      <w:szCs w:val="44"/>
    </w:rPr>
  </w:style>
  <w:style w:type="paragraph" w:styleId="3">
    <w:name w:val="heading 2"/>
    <w:basedOn w:val="1"/>
    <w:next w:val="1"/>
    <w:link w:val="53"/>
    <w:unhideWhenUs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8"/>
    <w:unhideWhenUsed/>
    <w:uiPriority w:val="0"/>
    <w:pPr>
      <w:keepNext/>
      <w:keepLines/>
      <w:spacing w:before="260" w:after="260" w:line="416" w:lineRule="auto"/>
      <w:outlineLvl w:val="2"/>
    </w:pPr>
    <w:rPr>
      <w:b/>
      <w:bCs/>
      <w:sz w:val="32"/>
      <w:szCs w:val="32"/>
    </w:rPr>
  </w:style>
  <w:style w:type="paragraph" w:styleId="5">
    <w:name w:val="heading 4"/>
    <w:basedOn w:val="1"/>
    <w:next w:val="1"/>
    <w:link w:val="42"/>
    <w:unhideWhenUs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6"/>
    <w:unhideWhenUsed/>
    <w:uiPriority w:val="0"/>
    <w:pPr>
      <w:keepNext/>
      <w:keepLines/>
      <w:spacing w:before="280" w:after="290" w:line="372" w:lineRule="auto"/>
      <w:outlineLvl w:val="4"/>
    </w:pPr>
    <w:rPr>
      <w:rFonts w:ascii="Times New Roman" w:hAnsi="Times New Roman" w:eastAsia="仿宋_GB2312"/>
      <w:b/>
      <w:sz w:val="28"/>
      <w:szCs w:val="24"/>
    </w:rPr>
  </w:style>
  <w:style w:type="paragraph" w:styleId="7">
    <w:name w:val="heading 6"/>
    <w:basedOn w:val="1"/>
    <w:next w:val="1"/>
    <w:link w:val="57"/>
    <w:semiHidden/>
    <w:unhideWhenUsed/>
    <w:uiPriority w:val="0"/>
    <w:pPr>
      <w:keepNext/>
      <w:keepLines/>
      <w:spacing w:before="240" w:after="64" w:line="317" w:lineRule="auto"/>
      <w:outlineLvl w:val="5"/>
    </w:pPr>
    <w:rPr>
      <w:rFonts w:ascii="Arial" w:hAnsi="Arial" w:eastAsia="黑体"/>
      <w:b/>
      <w:sz w:val="24"/>
      <w:szCs w:val="24"/>
    </w:rPr>
  </w:style>
  <w:style w:type="paragraph" w:styleId="8">
    <w:name w:val="heading 7"/>
    <w:basedOn w:val="1"/>
    <w:next w:val="1"/>
    <w:link w:val="58"/>
    <w:semiHidden/>
    <w:unhideWhenUsed/>
    <w:qFormat/>
    <w:uiPriority w:val="0"/>
    <w:pPr>
      <w:keepNext/>
      <w:keepLines/>
      <w:spacing w:before="240" w:after="64" w:line="317" w:lineRule="auto"/>
      <w:outlineLvl w:val="6"/>
    </w:pPr>
    <w:rPr>
      <w:rFonts w:ascii="Times New Roman" w:hAnsi="Times New Roman" w:eastAsia="仿宋_GB2312"/>
      <w:b/>
      <w:sz w:val="24"/>
      <w:szCs w:val="24"/>
    </w:rPr>
  </w:style>
  <w:style w:type="paragraph" w:styleId="9">
    <w:name w:val="heading 8"/>
    <w:basedOn w:val="1"/>
    <w:next w:val="1"/>
    <w:link w:val="59"/>
    <w:semiHidden/>
    <w:unhideWhenUsed/>
    <w:qFormat/>
    <w:uiPriority w:val="0"/>
    <w:pPr>
      <w:keepNext/>
      <w:keepLines/>
      <w:spacing w:before="240" w:after="64" w:line="317" w:lineRule="auto"/>
      <w:outlineLvl w:val="7"/>
    </w:pPr>
    <w:rPr>
      <w:rFonts w:ascii="Arial" w:hAnsi="Arial" w:eastAsia="黑体"/>
      <w:sz w:val="24"/>
      <w:szCs w:val="24"/>
    </w:rPr>
  </w:style>
  <w:style w:type="paragraph" w:styleId="10">
    <w:name w:val="heading 9"/>
    <w:basedOn w:val="1"/>
    <w:next w:val="1"/>
    <w:link w:val="60"/>
    <w:semiHidden/>
    <w:unhideWhenUsed/>
    <w:qFormat/>
    <w:uiPriority w:val="0"/>
    <w:pPr>
      <w:keepNext/>
      <w:keepLines/>
      <w:spacing w:before="240" w:after="64" w:line="317" w:lineRule="auto"/>
      <w:outlineLvl w:val="8"/>
    </w:pPr>
    <w:rPr>
      <w:rFonts w:ascii="Arial" w:hAnsi="Arial" w:eastAsia="黑体"/>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spacing w:line="360" w:lineRule="auto"/>
      <w:ind w:firstLine="420" w:firstLineChars="200"/>
    </w:pPr>
    <w:rPr>
      <w:rFonts w:eastAsia="仿宋_GB2312"/>
    </w:rPr>
  </w:style>
  <w:style w:type="paragraph" w:styleId="12">
    <w:name w:val="caption"/>
    <w:basedOn w:val="1"/>
    <w:next w:val="1"/>
    <w:unhideWhenUsed/>
    <w:qFormat/>
    <w:uiPriority w:val="0"/>
    <w:pPr>
      <w:spacing w:line="360" w:lineRule="auto"/>
      <w:jc w:val="center"/>
    </w:pPr>
    <w:rPr>
      <w:rFonts w:ascii="Times New Roman" w:hAnsi="Times New Roman" w:eastAsia="仿宋_GB2312"/>
      <w:b/>
      <w:sz w:val="24"/>
      <w:szCs w:val="24"/>
    </w:rPr>
  </w:style>
  <w:style w:type="paragraph" w:styleId="13">
    <w:name w:val="annotation text"/>
    <w:basedOn w:val="1"/>
    <w:link w:val="50"/>
    <w:semiHidden/>
    <w:unhideWhenUsed/>
    <w:qFormat/>
    <w:uiPriority w:val="99"/>
    <w:pPr>
      <w:jc w:val="left"/>
    </w:pPr>
  </w:style>
  <w:style w:type="paragraph" w:styleId="14">
    <w:name w:val="Body Text 3"/>
    <w:basedOn w:val="1"/>
    <w:link w:val="47"/>
    <w:semiHidden/>
    <w:unhideWhenUsed/>
    <w:qFormat/>
    <w:uiPriority w:val="99"/>
    <w:pPr>
      <w:spacing w:after="120"/>
    </w:pPr>
    <w:rPr>
      <w:sz w:val="16"/>
      <w:szCs w:val="16"/>
    </w:rPr>
  </w:style>
  <w:style w:type="paragraph" w:styleId="15">
    <w:name w:val="Body Text"/>
    <w:basedOn w:val="1"/>
    <w:link w:val="45"/>
    <w:qFormat/>
    <w:uiPriority w:val="1"/>
    <w:pPr>
      <w:autoSpaceDE w:val="0"/>
      <w:autoSpaceDN w:val="0"/>
      <w:adjustRightInd w:val="0"/>
      <w:spacing w:line="580" w:lineRule="exact"/>
      <w:ind w:left="40"/>
      <w:jc w:val="left"/>
    </w:pPr>
    <w:rPr>
      <w:rFonts w:ascii="Arial Unicode MS" w:hAnsi="Times New Roman" w:eastAsia="Arial Unicode MS" w:cs="Arial Unicode MS"/>
      <w:kern w:val="0"/>
      <w:sz w:val="40"/>
      <w:szCs w:val="40"/>
    </w:rPr>
  </w:style>
  <w:style w:type="paragraph" w:styleId="16">
    <w:name w:val="Body Text Indent"/>
    <w:basedOn w:val="1"/>
    <w:link w:val="54"/>
    <w:semiHidden/>
    <w:unhideWhenUsed/>
    <w:qFormat/>
    <w:uiPriority w:val="99"/>
    <w:pPr>
      <w:spacing w:after="120"/>
      <w:ind w:left="420" w:leftChars="200"/>
    </w:pPr>
  </w:style>
  <w:style w:type="paragraph" w:styleId="17">
    <w:name w:val="toc 3"/>
    <w:basedOn w:val="1"/>
    <w:next w:val="1"/>
    <w:autoRedefine/>
    <w:unhideWhenUsed/>
    <w:qFormat/>
    <w:uiPriority w:val="39"/>
    <w:pPr>
      <w:ind w:left="840" w:leftChars="400"/>
    </w:pPr>
  </w:style>
  <w:style w:type="paragraph" w:styleId="18">
    <w:name w:val="Balloon Text"/>
    <w:basedOn w:val="1"/>
    <w:link w:val="49"/>
    <w:semiHidden/>
    <w:unhideWhenUsed/>
    <w:qFormat/>
    <w:uiPriority w:val="99"/>
    <w:rPr>
      <w:sz w:val="18"/>
      <w:szCs w:val="18"/>
    </w:rPr>
  </w:style>
  <w:style w:type="paragraph" w:styleId="19">
    <w:name w:val="footer"/>
    <w:basedOn w:val="1"/>
    <w:link w:val="44"/>
    <w:unhideWhenUsed/>
    <w:qFormat/>
    <w:uiPriority w:val="99"/>
    <w:pPr>
      <w:tabs>
        <w:tab w:val="center" w:pos="4153"/>
        <w:tab w:val="right" w:pos="8306"/>
      </w:tabs>
      <w:snapToGrid w:val="0"/>
      <w:jc w:val="left"/>
    </w:pPr>
    <w:rPr>
      <w:sz w:val="18"/>
      <w:szCs w:val="18"/>
    </w:rPr>
  </w:style>
  <w:style w:type="paragraph" w:styleId="20">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unhideWhenUsed/>
    <w:qFormat/>
    <w:uiPriority w:val="39"/>
  </w:style>
  <w:style w:type="paragraph" w:styleId="22">
    <w:name w:val="toc 2"/>
    <w:basedOn w:val="1"/>
    <w:next w:val="1"/>
    <w:autoRedefine/>
    <w:unhideWhenUsed/>
    <w:qFormat/>
    <w:uiPriority w:val="39"/>
    <w:pPr>
      <w:ind w:left="420" w:leftChars="200"/>
    </w:p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13"/>
    <w:next w:val="13"/>
    <w:link w:val="51"/>
    <w:semiHidden/>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styleId="29">
    <w:name w:val="annotation reference"/>
    <w:basedOn w:val="27"/>
    <w:semiHidden/>
    <w:unhideWhenUsed/>
    <w:qFormat/>
    <w:uiPriority w:val="99"/>
    <w:rPr>
      <w:sz w:val="21"/>
      <w:szCs w:val="21"/>
    </w:rPr>
  </w:style>
  <w:style w:type="paragraph" w:customStyle="1" w:styleId="30">
    <w:name w:val="1级标题"/>
    <w:basedOn w:val="2"/>
    <w:link w:val="32"/>
    <w:qFormat/>
    <w:uiPriority w:val="0"/>
    <w:pPr>
      <w:spacing w:before="312" w:beforeLines="100" w:after="156" w:afterLines="50" w:line="440" w:lineRule="exact"/>
      <w:jc w:val="center"/>
    </w:pPr>
    <w:rPr>
      <w:rFonts w:ascii="方正小标宋简体" w:hAnsi="仿宋" w:eastAsia="方正小标宋简体"/>
      <w:b w:val="0"/>
      <w:color w:val="000000" w:themeColor="text1"/>
      <w14:textFill>
        <w14:solidFill>
          <w14:schemeClr w14:val="tx1"/>
        </w14:solidFill>
      </w14:textFill>
    </w:rPr>
  </w:style>
  <w:style w:type="paragraph" w:customStyle="1" w:styleId="31">
    <w:name w:val="2级标题"/>
    <w:basedOn w:val="30"/>
    <w:link w:val="35"/>
    <w:qFormat/>
    <w:uiPriority w:val="0"/>
    <w:pPr>
      <w:spacing w:before="0" w:beforeLines="0" w:after="0" w:afterLines="0" w:line="680" w:lineRule="exact"/>
      <w:jc w:val="left"/>
      <w:outlineLvl w:val="1"/>
    </w:pPr>
    <w:rPr>
      <w:rFonts w:eastAsia="黑体"/>
      <w:sz w:val="32"/>
    </w:rPr>
  </w:style>
  <w:style w:type="character" w:customStyle="1" w:styleId="32">
    <w:name w:val="1级标题 字符"/>
    <w:basedOn w:val="27"/>
    <w:link w:val="30"/>
    <w:qFormat/>
    <w:uiPriority w:val="0"/>
    <w:rPr>
      <w:rFonts w:ascii="方正小标宋简体" w:hAnsi="仿宋" w:eastAsia="方正小标宋简体"/>
      <w:bCs/>
      <w:color w:val="000000" w:themeColor="text1"/>
      <w:kern w:val="44"/>
      <w:sz w:val="44"/>
      <w:szCs w:val="44"/>
      <w14:textFill>
        <w14:solidFill>
          <w14:schemeClr w14:val="tx1"/>
        </w14:solidFill>
      </w14:textFill>
    </w:rPr>
  </w:style>
  <w:style w:type="character" w:customStyle="1" w:styleId="33">
    <w:name w:val="标题 1 字符"/>
    <w:basedOn w:val="27"/>
    <w:link w:val="2"/>
    <w:qFormat/>
    <w:uiPriority w:val="9"/>
    <w:rPr>
      <w:b/>
      <w:bCs/>
      <w:kern w:val="44"/>
      <w:sz w:val="44"/>
      <w:szCs w:val="44"/>
    </w:rPr>
  </w:style>
  <w:style w:type="paragraph" w:customStyle="1" w:styleId="34">
    <w:name w:val="正文格式"/>
    <w:basedOn w:val="1"/>
    <w:link w:val="37"/>
    <w:qFormat/>
    <w:uiPriority w:val="0"/>
    <w:pPr>
      <w:snapToGrid w:val="0"/>
      <w:spacing w:line="560" w:lineRule="exact"/>
      <w:ind w:firstLine="567"/>
    </w:pPr>
    <w:rPr>
      <w:rFonts w:ascii="仿宋" w:hAnsi="仿宋" w:eastAsia="仿宋_GB2312"/>
      <w:color w:val="000000" w:themeColor="text1"/>
      <w:sz w:val="32"/>
      <w14:textFill>
        <w14:solidFill>
          <w14:schemeClr w14:val="tx1"/>
        </w14:solidFill>
      </w14:textFill>
    </w:rPr>
  </w:style>
  <w:style w:type="character" w:customStyle="1" w:styleId="35">
    <w:name w:val="2级标题 字符"/>
    <w:basedOn w:val="32"/>
    <w:link w:val="31"/>
    <w:qFormat/>
    <w:uiPriority w:val="0"/>
    <w:rPr>
      <w:rFonts w:ascii="仿宋" w:hAnsi="仿宋" w:eastAsia="黑体"/>
      <w:color w:val="000000" w:themeColor="text1"/>
      <w:kern w:val="44"/>
      <w:sz w:val="32"/>
      <w:szCs w:val="44"/>
      <w14:textFill>
        <w14:solidFill>
          <w14:schemeClr w14:val="tx1"/>
        </w14:solidFill>
      </w14:textFill>
    </w:rPr>
  </w:style>
  <w:style w:type="paragraph" w:customStyle="1" w:styleId="36">
    <w:name w:val="3级标题"/>
    <w:basedOn w:val="4"/>
    <w:link w:val="39"/>
    <w:qFormat/>
    <w:uiPriority w:val="0"/>
    <w:pPr>
      <w:spacing w:before="0" w:after="0" w:line="680" w:lineRule="exact"/>
    </w:pPr>
    <w:rPr>
      <w:rFonts w:ascii="仿宋" w:hAnsi="仿宋" w:eastAsia="楷体"/>
    </w:rPr>
  </w:style>
  <w:style w:type="character" w:customStyle="1" w:styleId="37">
    <w:name w:val="正文格式 字符"/>
    <w:basedOn w:val="27"/>
    <w:link w:val="34"/>
    <w:qFormat/>
    <w:uiPriority w:val="0"/>
    <w:rPr>
      <w:rFonts w:ascii="仿宋" w:hAnsi="仿宋" w:eastAsia="仿宋_GB2312"/>
      <w:color w:val="000000" w:themeColor="text1"/>
      <w:kern w:val="2"/>
      <w:sz w:val="32"/>
      <w:szCs w:val="22"/>
      <w14:textFill>
        <w14:solidFill>
          <w14:schemeClr w14:val="tx1"/>
        </w14:solidFill>
      </w14:textFill>
    </w:rPr>
  </w:style>
  <w:style w:type="character" w:customStyle="1" w:styleId="38">
    <w:name w:val="标题 3 字符"/>
    <w:basedOn w:val="27"/>
    <w:link w:val="4"/>
    <w:semiHidden/>
    <w:qFormat/>
    <w:uiPriority w:val="9"/>
    <w:rPr>
      <w:b/>
      <w:bCs/>
      <w:sz w:val="32"/>
      <w:szCs w:val="32"/>
    </w:rPr>
  </w:style>
  <w:style w:type="character" w:customStyle="1" w:styleId="39">
    <w:name w:val="3级标题 字符"/>
    <w:basedOn w:val="38"/>
    <w:link w:val="36"/>
    <w:qFormat/>
    <w:uiPriority w:val="0"/>
    <w:rPr>
      <w:rFonts w:ascii="仿宋" w:hAnsi="仿宋" w:eastAsia="楷体"/>
      <w:kern w:val="2"/>
      <w:sz w:val="32"/>
      <w:szCs w:val="32"/>
    </w:rPr>
  </w:style>
  <w:style w:type="paragraph" w:customStyle="1" w:styleId="40">
    <w:name w:val="4级标题"/>
    <w:basedOn w:val="5"/>
    <w:link w:val="41"/>
    <w:qFormat/>
    <w:uiPriority w:val="0"/>
    <w:pPr>
      <w:spacing w:before="0" w:after="0" w:line="680" w:lineRule="exact"/>
    </w:pPr>
    <w:rPr>
      <w:rFonts w:ascii="仿宋" w:hAnsi="仿宋" w:eastAsia="仿宋"/>
      <w:color w:val="0000FF"/>
      <w:sz w:val="32"/>
    </w:rPr>
  </w:style>
  <w:style w:type="character" w:customStyle="1" w:styleId="41">
    <w:name w:val="4级标题 字符"/>
    <w:basedOn w:val="39"/>
    <w:link w:val="40"/>
    <w:qFormat/>
    <w:uiPriority w:val="0"/>
    <w:rPr>
      <w:rFonts w:ascii="仿宋" w:hAnsi="仿宋" w:eastAsia="仿宋" w:cstheme="majorBidi"/>
      <w:color w:val="0000FF"/>
      <w:kern w:val="2"/>
      <w:sz w:val="32"/>
      <w:szCs w:val="28"/>
    </w:rPr>
  </w:style>
  <w:style w:type="character" w:customStyle="1" w:styleId="42">
    <w:name w:val="标题 4 字符"/>
    <w:basedOn w:val="27"/>
    <w:link w:val="5"/>
    <w:qFormat/>
    <w:uiPriority w:val="0"/>
    <w:rPr>
      <w:rFonts w:asciiTheme="majorHAnsi" w:hAnsiTheme="majorHAnsi" w:eastAsiaTheme="majorEastAsia" w:cstheme="majorBidi"/>
      <w:b/>
      <w:bCs/>
      <w:sz w:val="28"/>
      <w:szCs w:val="28"/>
    </w:rPr>
  </w:style>
  <w:style w:type="character" w:customStyle="1" w:styleId="43">
    <w:name w:val="页眉 字符"/>
    <w:basedOn w:val="27"/>
    <w:link w:val="20"/>
    <w:qFormat/>
    <w:uiPriority w:val="99"/>
    <w:rPr>
      <w:sz w:val="18"/>
      <w:szCs w:val="18"/>
    </w:rPr>
  </w:style>
  <w:style w:type="character" w:customStyle="1" w:styleId="44">
    <w:name w:val="页脚 字符"/>
    <w:basedOn w:val="27"/>
    <w:link w:val="19"/>
    <w:qFormat/>
    <w:uiPriority w:val="99"/>
    <w:rPr>
      <w:sz w:val="18"/>
      <w:szCs w:val="18"/>
    </w:rPr>
  </w:style>
  <w:style w:type="character" w:customStyle="1" w:styleId="45">
    <w:name w:val="正文文本 字符"/>
    <w:basedOn w:val="27"/>
    <w:link w:val="15"/>
    <w:qFormat/>
    <w:uiPriority w:val="1"/>
    <w:rPr>
      <w:rFonts w:ascii="Arial Unicode MS" w:hAnsi="Times New Roman" w:eastAsia="Arial Unicode MS" w:cs="Arial Unicode MS"/>
      <w:kern w:val="0"/>
      <w:sz w:val="40"/>
      <w:szCs w:val="40"/>
    </w:rPr>
  </w:style>
  <w:style w:type="paragraph" w:customStyle="1" w:styleId="46">
    <w:name w:val="一级条标题"/>
    <w:next w:val="14"/>
    <w:qFormat/>
    <w:uiPriority w:val="0"/>
    <w:pPr>
      <w:ind w:left="735" w:hanging="735"/>
      <w:jc w:val="both"/>
      <w:outlineLvl w:val="2"/>
    </w:pPr>
    <w:rPr>
      <w:rFonts w:ascii="黑体" w:hAnsi="Times New Roman" w:eastAsia="黑体" w:cs="Times New Roman"/>
      <w:sz w:val="21"/>
      <w:lang w:val="en-US" w:eastAsia="zh-CN" w:bidi="ar-SA"/>
    </w:rPr>
  </w:style>
  <w:style w:type="character" w:customStyle="1" w:styleId="47">
    <w:name w:val="正文文本 3 字符"/>
    <w:basedOn w:val="27"/>
    <w:link w:val="14"/>
    <w:semiHidden/>
    <w:qFormat/>
    <w:uiPriority w:val="99"/>
    <w:rPr>
      <w:sz w:val="16"/>
      <w:szCs w:val="16"/>
    </w:rPr>
  </w:style>
  <w:style w:type="paragraph" w:customStyle="1" w:styleId="48">
    <w:name w:val="预案正文"/>
    <w:basedOn w:val="1"/>
    <w:qFormat/>
    <w:uiPriority w:val="0"/>
    <w:pPr>
      <w:widowControl/>
      <w:adjustRightInd w:val="0"/>
      <w:snapToGrid w:val="0"/>
      <w:spacing w:after="200" w:line="360" w:lineRule="auto"/>
      <w:ind w:firstLine="560" w:firstLineChars="200"/>
      <w:jc w:val="left"/>
    </w:pPr>
    <w:rPr>
      <w:rFonts w:ascii="Times New Roman" w:hAnsi="Times New Roman" w:eastAsia="微软雅黑"/>
      <w:kern w:val="0"/>
      <w:sz w:val="28"/>
      <w:szCs w:val="20"/>
    </w:rPr>
  </w:style>
  <w:style w:type="character" w:customStyle="1" w:styleId="49">
    <w:name w:val="批注框文本 字符"/>
    <w:basedOn w:val="27"/>
    <w:link w:val="18"/>
    <w:semiHidden/>
    <w:qFormat/>
    <w:uiPriority w:val="99"/>
    <w:rPr>
      <w:sz w:val="18"/>
      <w:szCs w:val="18"/>
    </w:rPr>
  </w:style>
  <w:style w:type="character" w:customStyle="1" w:styleId="50">
    <w:name w:val="批注文字 字符"/>
    <w:basedOn w:val="27"/>
    <w:link w:val="13"/>
    <w:semiHidden/>
    <w:qFormat/>
    <w:uiPriority w:val="99"/>
  </w:style>
  <w:style w:type="character" w:customStyle="1" w:styleId="51">
    <w:name w:val="批注主题 字符"/>
    <w:basedOn w:val="50"/>
    <w:link w:val="24"/>
    <w:semiHidden/>
    <w:qFormat/>
    <w:uiPriority w:val="99"/>
    <w:rPr>
      <w:b/>
      <w:bCs/>
    </w:rPr>
  </w:style>
  <w:style w:type="character" w:customStyle="1" w:styleId="52">
    <w:name w:val="Unresolved Mention"/>
    <w:basedOn w:val="27"/>
    <w:semiHidden/>
    <w:unhideWhenUsed/>
    <w:qFormat/>
    <w:uiPriority w:val="99"/>
    <w:rPr>
      <w:color w:val="605E5C"/>
      <w:shd w:val="clear" w:color="auto" w:fill="E1DFDD"/>
    </w:rPr>
  </w:style>
  <w:style w:type="character" w:customStyle="1" w:styleId="53">
    <w:name w:val="标题 2 字符"/>
    <w:basedOn w:val="27"/>
    <w:link w:val="3"/>
    <w:semiHidden/>
    <w:qFormat/>
    <w:uiPriority w:val="9"/>
    <w:rPr>
      <w:rFonts w:asciiTheme="majorHAnsi" w:hAnsiTheme="majorHAnsi" w:eastAsiaTheme="majorEastAsia" w:cstheme="majorBidi"/>
      <w:b/>
      <w:bCs/>
      <w:sz w:val="32"/>
      <w:szCs w:val="32"/>
    </w:rPr>
  </w:style>
  <w:style w:type="character" w:customStyle="1" w:styleId="54">
    <w:name w:val="正文文本缩进 字符"/>
    <w:basedOn w:val="27"/>
    <w:link w:val="16"/>
    <w:semiHidden/>
    <w:qFormat/>
    <w:uiPriority w:val="99"/>
  </w:style>
  <w:style w:type="table" w:customStyle="1" w:styleId="55">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56">
    <w:name w:val="标题 5 字符"/>
    <w:basedOn w:val="27"/>
    <w:link w:val="6"/>
    <w:qFormat/>
    <w:uiPriority w:val="0"/>
    <w:rPr>
      <w:rFonts w:ascii="Times New Roman" w:hAnsi="Times New Roman" w:eastAsia="仿宋_GB2312"/>
      <w:b/>
      <w:sz w:val="28"/>
      <w:szCs w:val="24"/>
    </w:rPr>
  </w:style>
  <w:style w:type="character" w:customStyle="1" w:styleId="57">
    <w:name w:val="标题 6 字符"/>
    <w:basedOn w:val="27"/>
    <w:link w:val="7"/>
    <w:semiHidden/>
    <w:qFormat/>
    <w:uiPriority w:val="0"/>
    <w:rPr>
      <w:rFonts w:ascii="Arial" w:hAnsi="Arial" w:eastAsia="黑体"/>
      <w:b/>
      <w:sz w:val="24"/>
      <w:szCs w:val="24"/>
    </w:rPr>
  </w:style>
  <w:style w:type="character" w:customStyle="1" w:styleId="58">
    <w:name w:val="标题 7 字符"/>
    <w:basedOn w:val="27"/>
    <w:link w:val="8"/>
    <w:semiHidden/>
    <w:qFormat/>
    <w:uiPriority w:val="0"/>
    <w:rPr>
      <w:rFonts w:ascii="Times New Roman" w:hAnsi="Times New Roman" w:eastAsia="仿宋_GB2312"/>
      <w:b/>
      <w:sz w:val="24"/>
      <w:szCs w:val="24"/>
    </w:rPr>
  </w:style>
  <w:style w:type="character" w:customStyle="1" w:styleId="59">
    <w:name w:val="标题 8 字符"/>
    <w:basedOn w:val="27"/>
    <w:link w:val="9"/>
    <w:semiHidden/>
    <w:qFormat/>
    <w:uiPriority w:val="0"/>
    <w:rPr>
      <w:rFonts w:ascii="Arial" w:hAnsi="Arial" w:eastAsia="黑体"/>
      <w:sz w:val="24"/>
      <w:szCs w:val="24"/>
    </w:rPr>
  </w:style>
  <w:style w:type="character" w:customStyle="1" w:styleId="60">
    <w:name w:val="标题 9 字符"/>
    <w:basedOn w:val="27"/>
    <w:link w:val="10"/>
    <w:semiHidden/>
    <w:qFormat/>
    <w:uiPriority w:val="0"/>
    <w:rPr>
      <w:rFonts w:ascii="Arial" w:hAnsi="Arial" w:eastAsia="黑体"/>
      <w:szCs w:val="24"/>
    </w:rPr>
  </w:style>
  <w:style w:type="paragraph" w:styleId="61">
    <w:name w:val="List Paragraph"/>
    <w:basedOn w:val="1"/>
    <w:unhideWhenUsed/>
    <w:qFormat/>
    <w:uiPriority w:val="34"/>
    <w:pPr>
      <w:spacing w:line="360" w:lineRule="auto"/>
      <w:ind w:firstLine="420" w:firstLineChars="200"/>
    </w:pPr>
    <w:rPr>
      <w:rFonts w:ascii="Times New Roman" w:hAnsi="Times New Roman" w:eastAsia="仿宋_GB2312"/>
      <w:sz w:val="28"/>
      <w:szCs w:val="24"/>
    </w:rPr>
  </w:style>
  <w:style w:type="table" w:customStyle="1" w:styleId="62">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表内容"/>
    <w:basedOn w:val="1"/>
    <w:next w:val="1"/>
    <w:qFormat/>
    <w:uiPriority w:val="0"/>
    <w:pPr>
      <w:adjustRightInd w:val="0"/>
      <w:snapToGrid w:val="0"/>
      <w:jc w:val="center"/>
    </w:pPr>
    <w:rPr>
      <w:rFonts w:ascii="Times New Roman" w:hAnsi="Times New Roman" w:eastAsia="仿宋"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1434-082D-4A33-8C0F-7339B7843E31}">
  <ds:schemaRefs/>
</ds:datastoreItem>
</file>

<file path=docProps/app.xml><?xml version="1.0" encoding="utf-8"?>
<Properties xmlns="http://schemas.openxmlformats.org/officeDocument/2006/extended-properties" xmlns:vt="http://schemas.openxmlformats.org/officeDocument/2006/docPropsVTypes">
  <Template>Normal.dotm</Template>
  <Pages>73</Pages>
  <Words>574</Words>
  <Characters>796</Characters>
  <Lines>259</Lines>
  <Paragraphs>72</Paragraphs>
  <TotalTime>208</TotalTime>
  <ScaleCrop>false</ScaleCrop>
  <LinksUpToDate>false</LinksUpToDate>
  <CharactersWithSpaces>867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2024-11-21T03:56:00Z</dcterms:created>
  <dc:creator>Administrator</dc:creator>
  <cp:lastModifiedBy>静</cp:lastModifiedBy>
  <cp:lastPrinted>2025-09-19T06:35:00Z</cp:lastPrinted>
  <dcterms:modified xsi:type="dcterms:W3CDTF">2025-12-12T07:40:16Z</dcterms:modified>
  <cp:revision>3183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eyJoZGlkIjoiZmRkNjg5YTgyNjkwZjdkYWNkOTZiMjNmMjdiMmE0YWIiLCJ1c2VySWQiOiI1NDMwNDYyMjQifQ==</vt:lpwstr>
  </property>
  <property fmtid="{D5CDD505-2E9C-101B-9397-08002B2CF9AE}" pid="3" name="KSOProductBuildVer">
    <vt:lpwstr>2052-12.1.0.23542</vt:lpwstr>
  </property>
  <property fmtid="{D5CDD505-2E9C-101B-9397-08002B2CF9AE}" pid="4" name="ICV">
    <vt:lpwstr>F68AC6A68B464249BE38730CB4CECD8F_12</vt:lpwstr>
  </property>
</Properties>
</file>