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D4F617">
      <w:pPr>
        <w:spacing w:line="580" w:lineRule="exact"/>
        <w:ind w:firstLine="600"/>
        <w:rPr>
          <w:rFonts w:eastAsia="方正仿宋_GBK" w:cs="Times New Roman"/>
          <w:color w:val="auto"/>
          <w:sz w:val="30"/>
        </w:rPr>
      </w:pPr>
    </w:p>
    <w:p w14:paraId="2CCD6E5A">
      <w:pPr>
        <w:spacing w:line="580" w:lineRule="exact"/>
        <w:ind w:firstLine="600"/>
        <w:rPr>
          <w:rFonts w:eastAsia="方正仿宋_GBK" w:cs="Times New Roman"/>
          <w:color w:val="auto"/>
          <w:sz w:val="30"/>
        </w:rPr>
      </w:pPr>
    </w:p>
    <w:p w14:paraId="757EE8BC">
      <w:pPr>
        <w:spacing w:line="580" w:lineRule="exact"/>
        <w:ind w:firstLine="600"/>
        <w:rPr>
          <w:rFonts w:eastAsia="方正仿宋_GBK" w:cs="Times New Roman"/>
          <w:color w:val="auto"/>
          <w:sz w:val="30"/>
        </w:rPr>
      </w:pPr>
    </w:p>
    <w:p w14:paraId="57ABBC77">
      <w:pPr>
        <w:spacing w:line="580" w:lineRule="exact"/>
        <w:ind w:firstLine="600"/>
        <w:rPr>
          <w:rFonts w:eastAsia="方正仿宋_GBK" w:cs="Times New Roman"/>
          <w:color w:val="auto"/>
          <w:sz w:val="30"/>
        </w:rPr>
      </w:pPr>
    </w:p>
    <w:p w14:paraId="2004F067">
      <w:pPr>
        <w:pStyle w:val="4"/>
        <w:numPr>
          <w:ilvl w:val="2"/>
          <w:numId w:val="0"/>
        </w:numPr>
        <w:spacing w:line="580" w:lineRule="exact"/>
        <w:ind w:firstLineChars="200"/>
        <w:rPr>
          <w:color w:val="auto"/>
        </w:rPr>
      </w:pPr>
    </w:p>
    <w:p w14:paraId="3AEC8A70">
      <w:pPr>
        <w:spacing w:line="580" w:lineRule="exact"/>
        <w:ind w:firstLine="480"/>
        <w:rPr>
          <w:color w:val="auto"/>
        </w:rPr>
      </w:pPr>
    </w:p>
    <w:p w14:paraId="490CA19C">
      <w:pPr>
        <w:keepNext w:val="0"/>
        <w:keepLines w:val="0"/>
        <w:pageBreakBefore w:val="0"/>
        <w:widowControl/>
        <w:kinsoku/>
        <w:wordWrap/>
        <w:overflowPunct/>
        <w:topLinePunct w:val="0"/>
        <w:autoSpaceDE/>
        <w:autoSpaceDN/>
        <w:bidi w:val="0"/>
        <w:adjustRightInd/>
        <w:snapToGrid/>
        <w:spacing w:line="800" w:lineRule="exact"/>
        <w:ind w:firstLine="0" w:firstLineChars="0"/>
        <w:jc w:val="center"/>
        <w:textAlignment w:val="auto"/>
        <w:rPr>
          <w:rFonts w:hint="eastAsia" w:eastAsia="方正小标宋_GBK" w:cs="方正小标宋_GBK"/>
          <w:bCs/>
          <w:color w:val="auto"/>
          <w:kern w:val="44"/>
          <w:sz w:val="48"/>
          <w:szCs w:val="48"/>
        </w:rPr>
      </w:pPr>
      <w:bookmarkStart w:id="0" w:name="_Toc7077"/>
      <w:bookmarkStart w:id="1" w:name="_Toc213167072"/>
      <w:bookmarkStart w:id="2" w:name="_Toc276135774"/>
      <w:bookmarkStart w:id="3" w:name="_Toc565049057"/>
      <w:bookmarkStart w:id="4" w:name="_Toc213166983"/>
      <w:bookmarkStart w:id="5" w:name="OLE_LINK13"/>
      <w:bookmarkStart w:id="6" w:name="_Toc212540097"/>
      <w:bookmarkStart w:id="7" w:name="_Toc210989391"/>
      <w:bookmarkStart w:id="8" w:name="_Toc212540014"/>
      <w:bookmarkStart w:id="9" w:name="_Toc212205503"/>
      <w:r>
        <w:rPr>
          <w:rFonts w:hint="eastAsia" w:eastAsia="方正小标宋_GBK" w:cs="方正小标宋_GBK"/>
          <w:bCs/>
          <w:color w:val="auto"/>
          <w:kern w:val="44"/>
          <w:sz w:val="48"/>
          <w:szCs w:val="48"/>
        </w:rPr>
        <w:t>云冈区国民经济和社会发展</w:t>
      </w:r>
      <w:bookmarkEnd w:id="0"/>
      <w:bookmarkStart w:id="10" w:name="_Toc4850"/>
      <w:r>
        <w:rPr>
          <w:rFonts w:hint="eastAsia" w:eastAsia="方正小标宋_GBK" w:cs="方正小标宋_GBK"/>
          <w:bCs/>
          <w:color w:val="auto"/>
          <w:kern w:val="44"/>
          <w:sz w:val="48"/>
          <w:szCs w:val="48"/>
        </w:rPr>
        <w:t>第十五个</w:t>
      </w:r>
      <w:bookmarkEnd w:id="1"/>
      <w:bookmarkEnd w:id="2"/>
      <w:bookmarkEnd w:id="3"/>
      <w:bookmarkEnd w:id="4"/>
      <w:bookmarkStart w:id="11" w:name="_Toc301792451"/>
      <w:bookmarkStart w:id="12" w:name="_Toc213167073"/>
      <w:bookmarkStart w:id="13" w:name="_Toc606813965"/>
      <w:bookmarkStart w:id="14" w:name="_Toc213166984"/>
    </w:p>
    <w:p w14:paraId="200F52BB">
      <w:pPr>
        <w:keepNext w:val="0"/>
        <w:keepLines w:val="0"/>
        <w:pageBreakBefore w:val="0"/>
        <w:widowControl/>
        <w:kinsoku/>
        <w:wordWrap/>
        <w:overflowPunct/>
        <w:topLinePunct w:val="0"/>
        <w:autoSpaceDE/>
        <w:autoSpaceDN/>
        <w:bidi w:val="0"/>
        <w:adjustRightInd/>
        <w:snapToGrid/>
        <w:spacing w:line="800" w:lineRule="exact"/>
        <w:ind w:firstLine="0" w:firstLineChars="0"/>
        <w:jc w:val="center"/>
        <w:textAlignment w:val="auto"/>
        <w:rPr>
          <w:rFonts w:eastAsia="楷体" w:cs="Times New Roman"/>
          <w:color w:val="auto"/>
          <w:sz w:val="32"/>
          <w:szCs w:val="22"/>
        </w:rPr>
      </w:pPr>
      <w:r>
        <w:rPr>
          <w:rFonts w:hint="eastAsia" w:eastAsia="方正小标宋_GBK" w:cs="方正小标宋_GBK"/>
          <w:bCs/>
          <w:color w:val="auto"/>
          <w:kern w:val="44"/>
          <w:sz w:val="48"/>
          <w:szCs w:val="48"/>
        </w:rPr>
        <w:t>五年规划纲要</w:t>
      </w:r>
      <w:bookmarkEnd w:id="5"/>
      <w:bookmarkEnd w:id="6"/>
      <w:bookmarkEnd w:id="7"/>
      <w:bookmarkEnd w:id="8"/>
      <w:bookmarkEnd w:id="9"/>
      <w:bookmarkEnd w:id="10"/>
      <w:bookmarkEnd w:id="11"/>
      <w:bookmarkEnd w:id="12"/>
      <w:bookmarkEnd w:id="13"/>
      <w:bookmarkEnd w:id="14"/>
    </w:p>
    <w:p w14:paraId="1A874622">
      <w:pPr>
        <w:spacing w:line="580" w:lineRule="exact"/>
        <w:ind w:firstLine="600"/>
        <w:rPr>
          <w:rFonts w:eastAsia="方正仿宋_GBK" w:cs="Times New Roman"/>
          <w:color w:val="auto"/>
          <w:sz w:val="30"/>
        </w:rPr>
      </w:pPr>
    </w:p>
    <w:p w14:paraId="3AE5871B">
      <w:pPr>
        <w:spacing w:line="580" w:lineRule="exact"/>
        <w:ind w:firstLine="600"/>
        <w:rPr>
          <w:rFonts w:eastAsia="方正仿宋_GBK" w:cs="Times New Roman"/>
          <w:color w:val="auto"/>
          <w:sz w:val="30"/>
        </w:rPr>
      </w:pPr>
    </w:p>
    <w:p w14:paraId="15DB575C">
      <w:pPr>
        <w:spacing w:line="580" w:lineRule="exact"/>
        <w:ind w:firstLine="600"/>
        <w:rPr>
          <w:rFonts w:eastAsia="方正仿宋_GBK" w:cs="Times New Roman"/>
          <w:color w:val="auto"/>
          <w:sz w:val="30"/>
        </w:rPr>
      </w:pPr>
    </w:p>
    <w:p w14:paraId="4AC7B4D3">
      <w:pPr>
        <w:spacing w:line="580" w:lineRule="exact"/>
        <w:ind w:firstLine="600"/>
        <w:rPr>
          <w:rFonts w:eastAsia="方正仿宋_GBK" w:cs="Times New Roman"/>
          <w:color w:val="auto"/>
          <w:sz w:val="30"/>
        </w:rPr>
      </w:pPr>
    </w:p>
    <w:p w14:paraId="091B50E5">
      <w:pPr>
        <w:spacing w:line="580" w:lineRule="exact"/>
        <w:ind w:firstLine="600"/>
        <w:rPr>
          <w:rFonts w:eastAsia="方正仿宋_GBK" w:cs="Times New Roman"/>
          <w:color w:val="auto"/>
          <w:sz w:val="30"/>
        </w:rPr>
      </w:pPr>
    </w:p>
    <w:p w14:paraId="62ED6AF2">
      <w:pPr>
        <w:spacing w:line="580" w:lineRule="exact"/>
        <w:ind w:firstLine="600"/>
        <w:rPr>
          <w:rFonts w:eastAsia="方正仿宋_GBK" w:cs="Times New Roman"/>
          <w:color w:val="auto"/>
          <w:sz w:val="30"/>
        </w:rPr>
      </w:pPr>
    </w:p>
    <w:p w14:paraId="34A7797C">
      <w:pPr>
        <w:pStyle w:val="14"/>
        <w:spacing w:line="580" w:lineRule="exact"/>
        <w:ind w:firstLine="480"/>
        <w:rPr>
          <w:color w:val="auto"/>
        </w:rPr>
      </w:pPr>
    </w:p>
    <w:p w14:paraId="25713591">
      <w:pPr>
        <w:spacing w:line="580" w:lineRule="exact"/>
        <w:ind w:firstLine="600"/>
        <w:rPr>
          <w:rFonts w:eastAsia="方正仿宋_GBK" w:cs="Times New Roman"/>
          <w:color w:val="auto"/>
          <w:sz w:val="30"/>
        </w:rPr>
      </w:pPr>
    </w:p>
    <w:p w14:paraId="32D5A519">
      <w:pPr>
        <w:spacing w:line="580" w:lineRule="exact"/>
        <w:ind w:firstLine="600"/>
        <w:rPr>
          <w:rFonts w:eastAsia="方正仿宋_GBK" w:cs="Times New Roman"/>
          <w:color w:val="auto"/>
          <w:sz w:val="30"/>
        </w:rPr>
      </w:pPr>
    </w:p>
    <w:p w14:paraId="69F05CFD">
      <w:pPr>
        <w:spacing w:line="580" w:lineRule="exact"/>
        <w:ind w:firstLine="600"/>
        <w:rPr>
          <w:rFonts w:eastAsia="方正仿宋_GBK" w:cs="Times New Roman"/>
          <w:color w:val="auto"/>
          <w:sz w:val="30"/>
        </w:rPr>
      </w:pPr>
    </w:p>
    <w:p w14:paraId="5246C434">
      <w:pPr>
        <w:spacing w:line="580" w:lineRule="exact"/>
        <w:ind w:firstLine="0" w:firstLineChars="0"/>
        <w:rPr>
          <w:rFonts w:eastAsia="方正仿宋_GBK" w:cs="Times New Roman"/>
          <w:color w:val="auto"/>
          <w:sz w:val="30"/>
        </w:rPr>
      </w:pPr>
    </w:p>
    <w:p w14:paraId="0DC9A115">
      <w:pPr>
        <w:spacing w:line="580" w:lineRule="exact"/>
        <w:ind w:firstLine="0" w:firstLineChars="0"/>
        <w:rPr>
          <w:rFonts w:eastAsia="方正仿宋_GBK" w:cs="Times New Roman"/>
          <w:color w:val="auto"/>
          <w:sz w:val="30"/>
        </w:rPr>
      </w:pPr>
    </w:p>
    <w:p w14:paraId="783B65AD">
      <w:pPr>
        <w:spacing w:before="190" w:beforeLines="50" w:line="580" w:lineRule="exact"/>
        <w:ind w:firstLine="0" w:firstLineChars="0"/>
        <w:jc w:val="center"/>
        <w:rPr>
          <w:rFonts w:eastAsia="方正仿宋_GBK" w:cs="Times New Roman"/>
          <w:color w:val="auto"/>
          <w:sz w:val="32"/>
        </w:rPr>
      </w:pPr>
      <w:r>
        <w:rPr>
          <w:rFonts w:hint="eastAsia" w:eastAsia="方正仿宋_GBK" w:cs="Times New Roman"/>
          <w:color w:val="auto"/>
          <w:sz w:val="32"/>
        </w:rPr>
        <w:t>2026年</w:t>
      </w:r>
      <w:r>
        <w:rPr>
          <w:rFonts w:hint="eastAsia" w:eastAsia="方正仿宋_GBK" w:cs="Times New Roman"/>
          <w:color w:val="auto"/>
          <w:sz w:val="32"/>
          <w:lang w:val="en-US" w:eastAsia="zh-CN"/>
        </w:rPr>
        <w:t>8</w:t>
      </w:r>
      <w:r>
        <w:rPr>
          <w:rFonts w:hint="eastAsia" w:eastAsia="方正仿宋_GBK" w:cs="Times New Roman"/>
          <w:color w:val="auto"/>
          <w:sz w:val="32"/>
        </w:rPr>
        <w:t>月</w:t>
      </w:r>
    </w:p>
    <w:p w14:paraId="770E823C">
      <w:pPr>
        <w:widowControl/>
        <w:spacing w:line="580" w:lineRule="exact"/>
        <w:ind w:firstLine="0" w:firstLineChars="0"/>
        <w:jc w:val="left"/>
        <w:rPr>
          <w:rFonts w:eastAsia="仿宋_GB2312" w:cs="Times New Roman"/>
          <w:bCs/>
          <w:color w:val="auto"/>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64" w:gutter="0"/>
          <w:pgNumType w:fmt="decimal"/>
          <w:cols w:space="425" w:num="1"/>
          <w:titlePg/>
          <w:docGrid w:type="lines" w:linePitch="381" w:charSpace="0"/>
        </w:sectPr>
      </w:pPr>
    </w:p>
    <w:sdt>
      <w:sdtPr>
        <w:rPr>
          <w:rFonts w:hint="eastAsia" w:eastAsia="方正小标宋_GBK" w:cs="方正小标宋_GBK"/>
          <w:color w:val="auto"/>
          <w:sz w:val="44"/>
          <w:szCs w:val="44"/>
        </w:rPr>
        <w:id w:val="718382988"/>
        <w15:color w:val="DBDBDB"/>
        <w:docPartObj>
          <w:docPartGallery w:val="Table of Contents"/>
          <w:docPartUnique/>
        </w:docPartObj>
      </w:sdtPr>
      <w:sdtEndPr>
        <w:rPr>
          <w:rFonts w:hint="eastAsia" w:eastAsia="方正小标宋_GBK" w:cs="方正小标宋_GBK"/>
          <w:color w:val="auto"/>
          <w:sz w:val="44"/>
          <w:szCs w:val="30"/>
        </w:rPr>
      </w:sdtEndPr>
      <w:sdtContent>
        <w:p w14:paraId="07CFC863">
          <w:pPr>
            <w:spacing w:line="580" w:lineRule="exact"/>
            <w:ind w:firstLine="0" w:firstLineChars="0"/>
            <w:jc w:val="center"/>
            <w:rPr>
              <w:rFonts w:eastAsia="方正小标宋_GBK" w:cs="方正小标宋_GBK"/>
              <w:color w:val="auto"/>
              <w:sz w:val="36"/>
              <w:szCs w:val="36"/>
            </w:rPr>
          </w:pPr>
          <w:r>
            <w:rPr>
              <w:rFonts w:hint="eastAsia" w:eastAsia="方正小标宋_GBK" w:cs="方正小标宋_GBK"/>
              <w:color w:val="auto"/>
              <w:sz w:val="36"/>
              <w:szCs w:val="36"/>
            </w:rPr>
            <w:t>目  录</w:t>
          </w:r>
        </w:p>
        <w:p w14:paraId="6D114FCC">
          <w:pPr>
            <w:pStyle w:val="14"/>
            <w:spacing w:after="0" w:line="400" w:lineRule="exact"/>
            <w:ind w:firstLine="0" w:firstLineChars="0"/>
            <w:rPr>
              <w:color w:val="auto"/>
              <w:sz w:val="28"/>
              <w:szCs w:val="28"/>
            </w:rPr>
          </w:pPr>
        </w:p>
        <w:p w14:paraId="46B3BA1B">
          <w:pPr>
            <w:pStyle w:val="20"/>
            <w:tabs>
              <w:tab w:val="right" w:leader="dot" w:pos="8306"/>
            </w:tabs>
            <w:spacing w:line="480" w:lineRule="exact"/>
            <w:ind w:firstLine="0" w:firstLineChars="0"/>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TOC \o "1-3" \h \u </w:instrText>
          </w:r>
          <w:r>
            <w:rPr>
              <w:rFonts w:hint="eastAsia" w:eastAsia="方正小标宋_GBK"/>
              <w:color w:val="auto"/>
              <w:sz w:val="28"/>
              <w:szCs w:val="28"/>
            </w:rPr>
            <w:fldChar w:fldCharType="separate"/>
          </w: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_Toc1341587322 </w:instrText>
          </w:r>
          <w:r>
            <w:rPr>
              <w:rFonts w:hint="eastAsia" w:eastAsia="方正小标宋_GBK"/>
              <w:color w:val="auto"/>
              <w:sz w:val="28"/>
              <w:szCs w:val="28"/>
            </w:rPr>
            <w:fldChar w:fldCharType="separate"/>
          </w:r>
          <w:r>
            <w:rPr>
              <w:rFonts w:hint="eastAsia" w:ascii="Times New Roman" w:hAnsi="Times New Roman" w:eastAsia="方正黑体_GBK" w:cs="方正黑体_GBK"/>
              <w:color w:val="auto"/>
              <w:sz w:val="28"/>
              <w:szCs w:val="28"/>
            </w:rPr>
            <w:t>第一章 坚决扛牢重大使命 奋力谱写中国式现代化云冈新篇章</w:t>
          </w:r>
          <w:r>
            <w:rPr>
              <w:color w:val="auto"/>
              <w:sz w:val="28"/>
              <w:szCs w:val="28"/>
            </w:rPr>
            <w:tab/>
          </w:r>
          <w:r>
            <w:rPr>
              <w:color w:val="auto"/>
              <w:sz w:val="28"/>
              <w:szCs w:val="28"/>
            </w:rPr>
            <w:fldChar w:fldCharType="begin"/>
          </w:r>
          <w:r>
            <w:rPr>
              <w:color w:val="auto"/>
              <w:sz w:val="28"/>
              <w:szCs w:val="28"/>
            </w:rPr>
            <w:instrText xml:space="preserve"> PAGEREF _Toc1341587322 \h </w:instrText>
          </w:r>
          <w:r>
            <w:rPr>
              <w:color w:val="auto"/>
              <w:sz w:val="28"/>
              <w:szCs w:val="28"/>
            </w:rPr>
            <w:fldChar w:fldCharType="separate"/>
          </w:r>
          <w:r>
            <w:rPr>
              <w:color w:val="auto"/>
              <w:sz w:val="28"/>
              <w:szCs w:val="28"/>
            </w:rPr>
            <w:t>1</w:t>
          </w:r>
          <w:r>
            <w:rPr>
              <w:color w:val="auto"/>
              <w:sz w:val="28"/>
              <w:szCs w:val="28"/>
            </w:rPr>
            <w:fldChar w:fldCharType="end"/>
          </w:r>
          <w:r>
            <w:rPr>
              <w:rFonts w:hint="eastAsia" w:eastAsia="方正小标宋_GBK"/>
              <w:color w:val="auto"/>
              <w:sz w:val="28"/>
              <w:szCs w:val="28"/>
            </w:rPr>
            <w:fldChar w:fldCharType="end"/>
          </w:r>
        </w:p>
        <w:p w14:paraId="782CD361">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_Toc1627311001 </w:instrText>
          </w:r>
          <w:r>
            <w:rPr>
              <w:rFonts w:hint="eastAsia" w:eastAsia="方正小标宋_GBK"/>
              <w:color w:val="auto"/>
              <w:sz w:val="28"/>
              <w:szCs w:val="28"/>
            </w:rPr>
            <w:fldChar w:fldCharType="separate"/>
          </w:r>
          <w:r>
            <w:rPr>
              <w:rFonts w:hint="eastAsia" w:eastAsia="楷体" w:cs="Times New Roman"/>
              <w:color w:val="auto"/>
              <w:sz w:val="28"/>
              <w:szCs w:val="28"/>
            </w:rPr>
            <w:t>第一节  “十四五”发展成就</w:t>
          </w:r>
          <w:r>
            <w:rPr>
              <w:color w:val="auto"/>
              <w:sz w:val="28"/>
              <w:szCs w:val="28"/>
            </w:rPr>
            <w:tab/>
          </w:r>
          <w:r>
            <w:rPr>
              <w:color w:val="auto"/>
              <w:sz w:val="28"/>
              <w:szCs w:val="28"/>
            </w:rPr>
            <w:fldChar w:fldCharType="begin"/>
          </w:r>
          <w:r>
            <w:rPr>
              <w:color w:val="auto"/>
              <w:sz w:val="28"/>
              <w:szCs w:val="28"/>
            </w:rPr>
            <w:instrText xml:space="preserve"> PAGEREF _Toc1627311001 \h </w:instrText>
          </w:r>
          <w:r>
            <w:rPr>
              <w:color w:val="auto"/>
              <w:sz w:val="28"/>
              <w:szCs w:val="28"/>
            </w:rPr>
            <w:fldChar w:fldCharType="separate"/>
          </w:r>
          <w:r>
            <w:rPr>
              <w:color w:val="auto"/>
              <w:sz w:val="28"/>
              <w:szCs w:val="28"/>
            </w:rPr>
            <w:t>2</w:t>
          </w:r>
          <w:r>
            <w:rPr>
              <w:color w:val="auto"/>
              <w:sz w:val="28"/>
              <w:szCs w:val="28"/>
            </w:rPr>
            <w:fldChar w:fldCharType="end"/>
          </w:r>
          <w:r>
            <w:rPr>
              <w:rFonts w:hint="eastAsia" w:eastAsia="方正小标宋_GBK"/>
              <w:color w:val="auto"/>
              <w:sz w:val="28"/>
              <w:szCs w:val="28"/>
            </w:rPr>
            <w:fldChar w:fldCharType="end"/>
          </w:r>
        </w:p>
        <w:p w14:paraId="0A053B63">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_Toc2011749262 </w:instrText>
          </w:r>
          <w:r>
            <w:rPr>
              <w:rFonts w:hint="eastAsia" w:eastAsia="方正小标宋_GBK"/>
              <w:color w:val="auto"/>
              <w:sz w:val="28"/>
              <w:szCs w:val="28"/>
            </w:rPr>
            <w:fldChar w:fldCharType="separate"/>
          </w:r>
          <w:r>
            <w:rPr>
              <w:rFonts w:hint="eastAsia" w:eastAsia="楷体" w:cs="Times New Roman"/>
              <w:color w:val="auto"/>
              <w:sz w:val="28"/>
              <w:szCs w:val="28"/>
            </w:rPr>
            <w:t>第二节  “十五五”发展环境</w:t>
          </w:r>
          <w:r>
            <w:rPr>
              <w:color w:val="auto"/>
              <w:sz w:val="28"/>
              <w:szCs w:val="28"/>
            </w:rPr>
            <w:tab/>
          </w:r>
          <w:r>
            <w:rPr>
              <w:color w:val="auto"/>
              <w:sz w:val="28"/>
              <w:szCs w:val="28"/>
            </w:rPr>
            <w:fldChar w:fldCharType="begin"/>
          </w:r>
          <w:r>
            <w:rPr>
              <w:color w:val="auto"/>
              <w:sz w:val="28"/>
              <w:szCs w:val="28"/>
            </w:rPr>
            <w:instrText xml:space="preserve"> PAGEREF _Toc2011749262 \h </w:instrText>
          </w:r>
          <w:r>
            <w:rPr>
              <w:color w:val="auto"/>
              <w:sz w:val="28"/>
              <w:szCs w:val="28"/>
            </w:rPr>
            <w:fldChar w:fldCharType="separate"/>
          </w:r>
          <w:r>
            <w:rPr>
              <w:color w:val="auto"/>
              <w:sz w:val="28"/>
              <w:szCs w:val="28"/>
            </w:rPr>
            <w:t>7</w:t>
          </w:r>
          <w:r>
            <w:rPr>
              <w:color w:val="auto"/>
              <w:sz w:val="28"/>
              <w:szCs w:val="28"/>
            </w:rPr>
            <w:fldChar w:fldCharType="end"/>
          </w:r>
          <w:r>
            <w:rPr>
              <w:rFonts w:hint="eastAsia" w:eastAsia="方正小标宋_GBK"/>
              <w:color w:val="auto"/>
              <w:sz w:val="28"/>
              <w:szCs w:val="28"/>
            </w:rPr>
            <w:fldChar w:fldCharType="end"/>
          </w:r>
        </w:p>
        <w:p w14:paraId="1E721675">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_Toc1487308066 </w:instrText>
          </w:r>
          <w:r>
            <w:rPr>
              <w:rFonts w:hint="eastAsia" w:eastAsia="方正小标宋_GBK"/>
              <w:color w:val="auto"/>
              <w:sz w:val="28"/>
              <w:szCs w:val="28"/>
            </w:rPr>
            <w:fldChar w:fldCharType="separate"/>
          </w:r>
          <w:r>
            <w:rPr>
              <w:rFonts w:hint="eastAsia" w:eastAsia="楷体" w:cs="Times New Roman"/>
              <w:color w:val="auto"/>
              <w:sz w:val="28"/>
              <w:szCs w:val="28"/>
            </w:rPr>
            <w:t>第三节  “十五五”总体要求</w:t>
          </w:r>
          <w:r>
            <w:rPr>
              <w:color w:val="auto"/>
              <w:sz w:val="28"/>
              <w:szCs w:val="28"/>
            </w:rPr>
            <w:tab/>
          </w:r>
          <w:r>
            <w:rPr>
              <w:color w:val="auto"/>
              <w:sz w:val="28"/>
              <w:szCs w:val="28"/>
            </w:rPr>
            <w:fldChar w:fldCharType="begin"/>
          </w:r>
          <w:r>
            <w:rPr>
              <w:color w:val="auto"/>
              <w:sz w:val="28"/>
              <w:szCs w:val="28"/>
            </w:rPr>
            <w:instrText xml:space="preserve"> PAGEREF _Toc1487308066 \h </w:instrText>
          </w:r>
          <w:r>
            <w:rPr>
              <w:color w:val="auto"/>
              <w:sz w:val="28"/>
              <w:szCs w:val="28"/>
            </w:rPr>
            <w:fldChar w:fldCharType="separate"/>
          </w:r>
          <w:r>
            <w:rPr>
              <w:color w:val="auto"/>
              <w:sz w:val="28"/>
              <w:szCs w:val="28"/>
            </w:rPr>
            <w:t>9</w:t>
          </w:r>
          <w:r>
            <w:rPr>
              <w:color w:val="auto"/>
              <w:sz w:val="28"/>
              <w:szCs w:val="28"/>
            </w:rPr>
            <w:fldChar w:fldCharType="end"/>
          </w:r>
          <w:r>
            <w:rPr>
              <w:rFonts w:hint="eastAsia" w:eastAsia="方正小标宋_GBK"/>
              <w:color w:val="auto"/>
              <w:sz w:val="28"/>
              <w:szCs w:val="28"/>
            </w:rPr>
            <w:fldChar w:fldCharType="end"/>
          </w:r>
        </w:p>
        <w:p w14:paraId="7019C121">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_Toc477014182 </w:instrText>
          </w:r>
          <w:r>
            <w:rPr>
              <w:rFonts w:hint="eastAsia" w:eastAsia="方正小标宋_GBK"/>
              <w:color w:val="auto"/>
              <w:sz w:val="28"/>
              <w:szCs w:val="28"/>
            </w:rPr>
            <w:fldChar w:fldCharType="separate"/>
          </w:r>
          <w:r>
            <w:rPr>
              <w:rFonts w:hint="eastAsia" w:eastAsia="楷体" w:cs="Times New Roman"/>
              <w:color w:val="auto"/>
              <w:sz w:val="28"/>
              <w:szCs w:val="28"/>
            </w:rPr>
            <w:t>第四节  “十五五”必须遵循的原则</w:t>
          </w:r>
          <w:r>
            <w:rPr>
              <w:color w:val="auto"/>
              <w:sz w:val="28"/>
              <w:szCs w:val="28"/>
            </w:rPr>
            <w:tab/>
          </w:r>
          <w:r>
            <w:rPr>
              <w:color w:val="auto"/>
              <w:sz w:val="28"/>
              <w:szCs w:val="28"/>
            </w:rPr>
            <w:fldChar w:fldCharType="begin"/>
          </w:r>
          <w:r>
            <w:rPr>
              <w:color w:val="auto"/>
              <w:sz w:val="28"/>
              <w:szCs w:val="28"/>
            </w:rPr>
            <w:instrText xml:space="preserve"> PAGEREF _Toc477014182 \h </w:instrText>
          </w:r>
          <w:r>
            <w:rPr>
              <w:color w:val="auto"/>
              <w:sz w:val="28"/>
              <w:szCs w:val="28"/>
            </w:rPr>
            <w:fldChar w:fldCharType="separate"/>
          </w:r>
          <w:r>
            <w:rPr>
              <w:color w:val="auto"/>
              <w:sz w:val="28"/>
              <w:szCs w:val="28"/>
            </w:rPr>
            <w:t>10</w:t>
          </w:r>
          <w:r>
            <w:rPr>
              <w:color w:val="auto"/>
              <w:sz w:val="28"/>
              <w:szCs w:val="28"/>
            </w:rPr>
            <w:fldChar w:fldCharType="end"/>
          </w:r>
          <w:r>
            <w:rPr>
              <w:rFonts w:hint="eastAsia" w:eastAsia="方正小标宋_GBK"/>
              <w:color w:val="auto"/>
              <w:sz w:val="28"/>
              <w:szCs w:val="28"/>
            </w:rPr>
            <w:fldChar w:fldCharType="end"/>
          </w:r>
        </w:p>
        <w:p w14:paraId="17F9163A">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_Toc620902623 </w:instrText>
          </w:r>
          <w:r>
            <w:rPr>
              <w:rFonts w:hint="eastAsia" w:eastAsia="方正小标宋_GBK"/>
              <w:color w:val="auto"/>
              <w:sz w:val="28"/>
              <w:szCs w:val="28"/>
            </w:rPr>
            <w:fldChar w:fldCharType="separate"/>
          </w:r>
          <w:r>
            <w:rPr>
              <w:rFonts w:hint="eastAsia" w:eastAsia="楷体" w:cs="Times New Roman"/>
              <w:color w:val="auto"/>
              <w:sz w:val="28"/>
              <w:szCs w:val="28"/>
            </w:rPr>
            <w:t>第五节  “十五五”战略定位</w:t>
          </w:r>
          <w:r>
            <w:rPr>
              <w:color w:val="auto"/>
              <w:sz w:val="28"/>
              <w:szCs w:val="28"/>
            </w:rPr>
            <w:tab/>
          </w:r>
          <w:r>
            <w:rPr>
              <w:color w:val="auto"/>
              <w:sz w:val="28"/>
              <w:szCs w:val="28"/>
            </w:rPr>
            <w:fldChar w:fldCharType="begin"/>
          </w:r>
          <w:r>
            <w:rPr>
              <w:color w:val="auto"/>
              <w:sz w:val="28"/>
              <w:szCs w:val="28"/>
            </w:rPr>
            <w:instrText xml:space="preserve"> PAGEREF _Toc620902623 \h </w:instrText>
          </w:r>
          <w:r>
            <w:rPr>
              <w:color w:val="auto"/>
              <w:sz w:val="28"/>
              <w:szCs w:val="28"/>
            </w:rPr>
            <w:fldChar w:fldCharType="separate"/>
          </w:r>
          <w:r>
            <w:rPr>
              <w:color w:val="auto"/>
              <w:sz w:val="28"/>
              <w:szCs w:val="28"/>
            </w:rPr>
            <w:t>11</w:t>
          </w:r>
          <w:r>
            <w:rPr>
              <w:color w:val="auto"/>
              <w:sz w:val="28"/>
              <w:szCs w:val="28"/>
            </w:rPr>
            <w:fldChar w:fldCharType="end"/>
          </w:r>
          <w:r>
            <w:rPr>
              <w:rFonts w:hint="eastAsia" w:eastAsia="方正小标宋_GBK"/>
              <w:color w:val="auto"/>
              <w:sz w:val="28"/>
              <w:szCs w:val="28"/>
            </w:rPr>
            <w:fldChar w:fldCharType="end"/>
          </w:r>
        </w:p>
        <w:p w14:paraId="0D319A82">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_Toc887343988 </w:instrText>
          </w:r>
          <w:r>
            <w:rPr>
              <w:rFonts w:hint="eastAsia" w:eastAsia="方正小标宋_GBK"/>
              <w:color w:val="auto"/>
              <w:sz w:val="28"/>
              <w:szCs w:val="28"/>
            </w:rPr>
            <w:fldChar w:fldCharType="separate"/>
          </w:r>
          <w:r>
            <w:rPr>
              <w:rFonts w:hint="eastAsia" w:eastAsia="楷体" w:cs="Times New Roman"/>
              <w:color w:val="auto"/>
              <w:sz w:val="28"/>
              <w:szCs w:val="28"/>
            </w:rPr>
            <w:t>第六节  “十五五”发展目标</w:t>
          </w:r>
          <w:r>
            <w:rPr>
              <w:color w:val="auto"/>
              <w:sz w:val="28"/>
              <w:szCs w:val="28"/>
            </w:rPr>
            <w:tab/>
          </w:r>
          <w:r>
            <w:rPr>
              <w:color w:val="auto"/>
              <w:sz w:val="28"/>
              <w:szCs w:val="28"/>
            </w:rPr>
            <w:fldChar w:fldCharType="begin"/>
          </w:r>
          <w:r>
            <w:rPr>
              <w:color w:val="auto"/>
              <w:sz w:val="28"/>
              <w:szCs w:val="28"/>
            </w:rPr>
            <w:instrText xml:space="preserve"> PAGEREF _Toc887343988 \h </w:instrText>
          </w:r>
          <w:r>
            <w:rPr>
              <w:color w:val="auto"/>
              <w:sz w:val="28"/>
              <w:szCs w:val="28"/>
            </w:rPr>
            <w:fldChar w:fldCharType="separate"/>
          </w:r>
          <w:r>
            <w:rPr>
              <w:color w:val="auto"/>
              <w:sz w:val="28"/>
              <w:szCs w:val="28"/>
            </w:rPr>
            <w:t>12</w:t>
          </w:r>
          <w:r>
            <w:rPr>
              <w:color w:val="auto"/>
              <w:sz w:val="28"/>
              <w:szCs w:val="28"/>
            </w:rPr>
            <w:fldChar w:fldCharType="end"/>
          </w:r>
          <w:r>
            <w:rPr>
              <w:rFonts w:hint="eastAsia" w:eastAsia="方正小标宋_GBK"/>
              <w:color w:val="auto"/>
              <w:sz w:val="28"/>
              <w:szCs w:val="28"/>
            </w:rPr>
            <w:fldChar w:fldCharType="end"/>
          </w:r>
        </w:p>
        <w:p w14:paraId="648A2F43">
          <w:pPr>
            <w:pStyle w:val="20"/>
            <w:tabs>
              <w:tab w:val="right" w:leader="dot" w:pos="8306"/>
            </w:tabs>
            <w:spacing w:line="480" w:lineRule="exact"/>
            <w:ind w:firstLine="0" w:firstLineChars="0"/>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_Toc1463961548 </w:instrText>
          </w:r>
          <w:r>
            <w:rPr>
              <w:rFonts w:hint="eastAsia" w:eastAsia="方正小标宋_GBK"/>
              <w:color w:val="auto"/>
              <w:sz w:val="28"/>
              <w:szCs w:val="28"/>
            </w:rPr>
            <w:fldChar w:fldCharType="separate"/>
          </w:r>
          <w:r>
            <w:rPr>
              <w:rFonts w:hint="eastAsia" w:ascii="Times New Roman" w:hAnsi="Times New Roman" w:eastAsia="方正黑体_GBK" w:cs="方正黑体_GBK"/>
              <w:color w:val="auto"/>
              <w:sz w:val="28"/>
              <w:szCs w:val="28"/>
            </w:rPr>
            <w:t>第二章 聚力推动能源转型 建设全省重要的综合能源基地</w:t>
          </w:r>
          <w:r>
            <w:rPr>
              <w:color w:val="auto"/>
              <w:sz w:val="28"/>
              <w:szCs w:val="28"/>
            </w:rPr>
            <w:tab/>
          </w:r>
          <w:r>
            <w:rPr>
              <w:color w:val="auto"/>
              <w:sz w:val="28"/>
              <w:szCs w:val="28"/>
            </w:rPr>
            <w:fldChar w:fldCharType="begin"/>
          </w:r>
          <w:r>
            <w:rPr>
              <w:color w:val="auto"/>
              <w:sz w:val="28"/>
              <w:szCs w:val="28"/>
            </w:rPr>
            <w:instrText xml:space="preserve"> PAGEREF _Toc1463961548 \h </w:instrText>
          </w:r>
          <w:r>
            <w:rPr>
              <w:color w:val="auto"/>
              <w:sz w:val="28"/>
              <w:szCs w:val="28"/>
            </w:rPr>
            <w:fldChar w:fldCharType="separate"/>
          </w:r>
          <w:r>
            <w:rPr>
              <w:color w:val="auto"/>
              <w:sz w:val="28"/>
              <w:szCs w:val="28"/>
            </w:rPr>
            <w:t>16</w:t>
          </w:r>
          <w:r>
            <w:rPr>
              <w:color w:val="auto"/>
              <w:sz w:val="28"/>
              <w:szCs w:val="28"/>
            </w:rPr>
            <w:fldChar w:fldCharType="end"/>
          </w:r>
          <w:r>
            <w:rPr>
              <w:rFonts w:hint="eastAsia" w:eastAsia="方正小标宋_GBK"/>
              <w:color w:val="auto"/>
              <w:sz w:val="28"/>
              <w:szCs w:val="28"/>
            </w:rPr>
            <w:fldChar w:fldCharType="end"/>
          </w:r>
        </w:p>
        <w:p w14:paraId="57BDFD52">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_Toc1081593557 </w:instrText>
          </w:r>
          <w:r>
            <w:rPr>
              <w:rFonts w:hint="eastAsia" w:eastAsia="方正小标宋_GBK"/>
              <w:color w:val="auto"/>
              <w:sz w:val="28"/>
              <w:szCs w:val="28"/>
            </w:rPr>
            <w:fldChar w:fldCharType="separate"/>
          </w:r>
          <w:r>
            <w:rPr>
              <w:rFonts w:hint="eastAsia" w:eastAsia="楷体" w:cs="Times New Roman"/>
              <w:color w:val="auto"/>
              <w:sz w:val="28"/>
              <w:szCs w:val="28"/>
            </w:rPr>
            <w:t>第一节  保障能源安全稳定供应</w:t>
          </w:r>
          <w:r>
            <w:rPr>
              <w:color w:val="auto"/>
              <w:sz w:val="28"/>
              <w:szCs w:val="28"/>
            </w:rPr>
            <w:tab/>
          </w:r>
          <w:r>
            <w:rPr>
              <w:color w:val="auto"/>
              <w:sz w:val="28"/>
              <w:szCs w:val="28"/>
            </w:rPr>
            <w:fldChar w:fldCharType="begin"/>
          </w:r>
          <w:r>
            <w:rPr>
              <w:color w:val="auto"/>
              <w:sz w:val="28"/>
              <w:szCs w:val="28"/>
            </w:rPr>
            <w:instrText xml:space="preserve"> PAGEREF _Toc1081593557 \h </w:instrText>
          </w:r>
          <w:r>
            <w:rPr>
              <w:color w:val="auto"/>
              <w:sz w:val="28"/>
              <w:szCs w:val="28"/>
            </w:rPr>
            <w:fldChar w:fldCharType="separate"/>
          </w:r>
          <w:r>
            <w:rPr>
              <w:color w:val="auto"/>
              <w:sz w:val="28"/>
              <w:szCs w:val="28"/>
            </w:rPr>
            <w:t>16</w:t>
          </w:r>
          <w:r>
            <w:rPr>
              <w:color w:val="auto"/>
              <w:sz w:val="28"/>
              <w:szCs w:val="28"/>
            </w:rPr>
            <w:fldChar w:fldCharType="end"/>
          </w:r>
          <w:r>
            <w:rPr>
              <w:rFonts w:hint="eastAsia" w:eastAsia="方正小标宋_GBK"/>
              <w:color w:val="auto"/>
              <w:sz w:val="28"/>
              <w:szCs w:val="28"/>
            </w:rPr>
            <w:fldChar w:fldCharType="end"/>
          </w:r>
        </w:p>
        <w:p w14:paraId="665A1BB6">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_Toc2041324291 </w:instrText>
          </w:r>
          <w:r>
            <w:rPr>
              <w:rFonts w:hint="eastAsia" w:eastAsia="方正小标宋_GBK"/>
              <w:color w:val="auto"/>
              <w:sz w:val="28"/>
              <w:szCs w:val="28"/>
            </w:rPr>
            <w:fldChar w:fldCharType="separate"/>
          </w:r>
          <w:r>
            <w:rPr>
              <w:rFonts w:hint="eastAsia" w:eastAsia="楷体" w:cs="Times New Roman"/>
              <w:color w:val="auto"/>
              <w:sz w:val="28"/>
              <w:szCs w:val="28"/>
            </w:rPr>
            <w:t>第二节  推动煤炭清洁高效利用</w:t>
          </w:r>
          <w:r>
            <w:rPr>
              <w:color w:val="auto"/>
              <w:sz w:val="28"/>
              <w:szCs w:val="28"/>
            </w:rPr>
            <w:tab/>
          </w:r>
          <w:r>
            <w:rPr>
              <w:color w:val="auto"/>
              <w:sz w:val="28"/>
              <w:szCs w:val="28"/>
            </w:rPr>
            <w:fldChar w:fldCharType="begin"/>
          </w:r>
          <w:r>
            <w:rPr>
              <w:color w:val="auto"/>
              <w:sz w:val="28"/>
              <w:szCs w:val="28"/>
            </w:rPr>
            <w:instrText xml:space="preserve"> PAGEREF _Toc2041324291 \h </w:instrText>
          </w:r>
          <w:r>
            <w:rPr>
              <w:color w:val="auto"/>
              <w:sz w:val="28"/>
              <w:szCs w:val="28"/>
            </w:rPr>
            <w:fldChar w:fldCharType="separate"/>
          </w:r>
          <w:r>
            <w:rPr>
              <w:color w:val="auto"/>
              <w:sz w:val="28"/>
              <w:szCs w:val="28"/>
            </w:rPr>
            <w:t>17</w:t>
          </w:r>
          <w:r>
            <w:rPr>
              <w:color w:val="auto"/>
              <w:sz w:val="28"/>
              <w:szCs w:val="28"/>
            </w:rPr>
            <w:fldChar w:fldCharType="end"/>
          </w:r>
          <w:r>
            <w:rPr>
              <w:rFonts w:hint="eastAsia" w:eastAsia="方正小标宋_GBK"/>
              <w:color w:val="auto"/>
              <w:sz w:val="28"/>
              <w:szCs w:val="28"/>
            </w:rPr>
            <w:fldChar w:fldCharType="end"/>
          </w:r>
        </w:p>
        <w:p w14:paraId="580E38F0">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_Toc338614365 </w:instrText>
          </w:r>
          <w:r>
            <w:rPr>
              <w:rFonts w:hint="eastAsia" w:eastAsia="方正小标宋_GBK"/>
              <w:color w:val="auto"/>
              <w:sz w:val="28"/>
              <w:szCs w:val="28"/>
            </w:rPr>
            <w:fldChar w:fldCharType="separate"/>
          </w:r>
          <w:r>
            <w:rPr>
              <w:rFonts w:hint="eastAsia" w:eastAsia="楷体" w:cs="Times New Roman"/>
              <w:color w:val="auto"/>
              <w:sz w:val="28"/>
              <w:szCs w:val="28"/>
            </w:rPr>
            <w:t>第三节  培育壮大新能源产业集群</w:t>
          </w:r>
          <w:r>
            <w:rPr>
              <w:color w:val="auto"/>
              <w:sz w:val="28"/>
              <w:szCs w:val="28"/>
            </w:rPr>
            <w:tab/>
          </w:r>
          <w:r>
            <w:rPr>
              <w:color w:val="auto"/>
              <w:sz w:val="28"/>
              <w:szCs w:val="28"/>
            </w:rPr>
            <w:fldChar w:fldCharType="begin"/>
          </w:r>
          <w:r>
            <w:rPr>
              <w:color w:val="auto"/>
              <w:sz w:val="28"/>
              <w:szCs w:val="28"/>
            </w:rPr>
            <w:instrText xml:space="preserve"> PAGEREF _Toc338614365 \h </w:instrText>
          </w:r>
          <w:r>
            <w:rPr>
              <w:color w:val="auto"/>
              <w:sz w:val="28"/>
              <w:szCs w:val="28"/>
            </w:rPr>
            <w:fldChar w:fldCharType="separate"/>
          </w:r>
          <w:r>
            <w:rPr>
              <w:color w:val="auto"/>
              <w:sz w:val="28"/>
              <w:szCs w:val="28"/>
            </w:rPr>
            <w:t>18</w:t>
          </w:r>
          <w:r>
            <w:rPr>
              <w:color w:val="auto"/>
              <w:sz w:val="28"/>
              <w:szCs w:val="28"/>
            </w:rPr>
            <w:fldChar w:fldCharType="end"/>
          </w:r>
          <w:r>
            <w:rPr>
              <w:rFonts w:hint="eastAsia" w:eastAsia="方正小标宋_GBK"/>
              <w:color w:val="auto"/>
              <w:sz w:val="28"/>
              <w:szCs w:val="28"/>
            </w:rPr>
            <w:fldChar w:fldCharType="end"/>
          </w:r>
        </w:p>
        <w:p w14:paraId="273F931B">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_Toc259968005 </w:instrText>
          </w:r>
          <w:r>
            <w:rPr>
              <w:rFonts w:hint="eastAsia" w:eastAsia="方正小标宋_GBK"/>
              <w:color w:val="auto"/>
              <w:sz w:val="28"/>
              <w:szCs w:val="28"/>
            </w:rPr>
            <w:fldChar w:fldCharType="separate"/>
          </w:r>
          <w:r>
            <w:rPr>
              <w:rFonts w:hint="eastAsia" w:eastAsia="楷体" w:cs="Times New Roman"/>
              <w:color w:val="auto"/>
              <w:sz w:val="28"/>
              <w:szCs w:val="28"/>
            </w:rPr>
            <w:t>第四节  绿电赋能构建源荷直连的电力新生态</w:t>
          </w:r>
          <w:r>
            <w:rPr>
              <w:color w:val="auto"/>
              <w:sz w:val="28"/>
              <w:szCs w:val="28"/>
            </w:rPr>
            <w:tab/>
          </w:r>
          <w:r>
            <w:rPr>
              <w:color w:val="auto"/>
              <w:sz w:val="28"/>
              <w:szCs w:val="28"/>
            </w:rPr>
            <w:fldChar w:fldCharType="begin"/>
          </w:r>
          <w:r>
            <w:rPr>
              <w:color w:val="auto"/>
              <w:sz w:val="28"/>
              <w:szCs w:val="28"/>
            </w:rPr>
            <w:instrText xml:space="preserve"> PAGEREF _Toc259968005 \h </w:instrText>
          </w:r>
          <w:r>
            <w:rPr>
              <w:color w:val="auto"/>
              <w:sz w:val="28"/>
              <w:szCs w:val="28"/>
            </w:rPr>
            <w:fldChar w:fldCharType="separate"/>
          </w:r>
          <w:r>
            <w:rPr>
              <w:color w:val="auto"/>
              <w:sz w:val="28"/>
              <w:szCs w:val="28"/>
            </w:rPr>
            <w:t>20</w:t>
          </w:r>
          <w:r>
            <w:rPr>
              <w:color w:val="auto"/>
              <w:sz w:val="28"/>
              <w:szCs w:val="28"/>
            </w:rPr>
            <w:fldChar w:fldCharType="end"/>
          </w:r>
          <w:r>
            <w:rPr>
              <w:rFonts w:hint="eastAsia" w:eastAsia="方正小标宋_GBK"/>
              <w:color w:val="auto"/>
              <w:sz w:val="28"/>
              <w:szCs w:val="28"/>
            </w:rPr>
            <w:fldChar w:fldCharType="end"/>
          </w:r>
        </w:p>
        <w:p w14:paraId="08A3B2AC">
          <w:pPr>
            <w:pStyle w:val="20"/>
            <w:tabs>
              <w:tab w:val="right" w:leader="dot" w:pos="8306"/>
            </w:tabs>
            <w:spacing w:line="480" w:lineRule="exact"/>
            <w:ind w:firstLine="0" w:firstLineChars="0"/>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_Toc1300522037 </w:instrText>
          </w:r>
          <w:r>
            <w:rPr>
              <w:rFonts w:hint="eastAsia" w:eastAsia="方正小标宋_GBK"/>
              <w:color w:val="auto"/>
              <w:sz w:val="28"/>
              <w:szCs w:val="28"/>
            </w:rPr>
            <w:fldChar w:fldCharType="separate"/>
          </w:r>
          <w:r>
            <w:rPr>
              <w:rFonts w:hint="eastAsia" w:ascii="Times New Roman" w:hAnsi="Times New Roman" w:eastAsia="方正黑体_GBK" w:cs="方正黑体_GBK"/>
              <w:color w:val="auto"/>
              <w:sz w:val="28"/>
              <w:szCs w:val="28"/>
            </w:rPr>
            <w:t>第三章 持续推动产业升级 构建云冈特色优势产业集群</w:t>
          </w:r>
          <w:r>
            <w:rPr>
              <w:color w:val="auto"/>
              <w:sz w:val="28"/>
              <w:szCs w:val="28"/>
            </w:rPr>
            <w:tab/>
          </w:r>
          <w:r>
            <w:rPr>
              <w:color w:val="auto"/>
              <w:sz w:val="28"/>
              <w:szCs w:val="28"/>
            </w:rPr>
            <w:fldChar w:fldCharType="begin"/>
          </w:r>
          <w:r>
            <w:rPr>
              <w:color w:val="auto"/>
              <w:sz w:val="28"/>
              <w:szCs w:val="28"/>
            </w:rPr>
            <w:instrText xml:space="preserve"> PAGEREF _Toc1300522037 \h </w:instrText>
          </w:r>
          <w:r>
            <w:rPr>
              <w:color w:val="auto"/>
              <w:sz w:val="28"/>
              <w:szCs w:val="28"/>
            </w:rPr>
            <w:fldChar w:fldCharType="separate"/>
          </w:r>
          <w:r>
            <w:rPr>
              <w:color w:val="auto"/>
              <w:sz w:val="28"/>
              <w:szCs w:val="28"/>
            </w:rPr>
            <w:t>22</w:t>
          </w:r>
          <w:r>
            <w:rPr>
              <w:color w:val="auto"/>
              <w:sz w:val="28"/>
              <w:szCs w:val="28"/>
            </w:rPr>
            <w:fldChar w:fldCharType="end"/>
          </w:r>
          <w:r>
            <w:rPr>
              <w:rFonts w:hint="eastAsia" w:eastAsia="方正小标宋_GBK"/>
              <w:color w:val="auto"/>
              <w:sz w:val="28"/>
              <w:szCs w:val="28"/>
            </w:rPr>
            <w:fldChar w:fldCharType="end"/>
          </w:r>
        </w:p>
        <w:p w14:paraId="21078E15">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_Toc785316693 </w:instrText>
          </w:r>
          <w:r>
            <w:rPr>
              <w:rFonts w:hint="eastAsia" w:eastAsia="方正小标宋_GBK"/>
              <w:color w:val="auto"/>
              <w:sz w:val="28"/>
              <w:szCs w:val="28"/>
            </w:rPr>
            <w:fldChar w:fldCharType="separate"/>
          </w:r>
          <w:r>
            <w:rPr>
              <w:rFonts w:hint="eastAsia" w:eastAsia="楷体" w:cs="Times New Roman"/>
              <w:color w:val="auto"/>
              <w:sz w:val="28"/>
              <w:szCs w:val="28"/>
            </w:rPr>
            <w:t>第一节  改造提升传统产业</w:t>
          </w:r>
          <w:r>
            <w:rPr>
              <w:color w:val="auto"/>
              <w:sz w:val="28"/>
              <w:szCs w:val="28"/>
            </w:rPr>
            <w:tab/>
          </w:r>
          <w:r>
            <w:rPr>
              <w:color w:val="auto"/>
              <w:sz w:val="28"/>
              <w:szCs w:val="28"/>
            </w:rPr>
            <w:fldChar w:fldCharType="begin"/>
          </w:r>
          <w:r>
            <w:rPr>
              <w:color w:val="auto"/>
              <w:sz w:val="28"/>
              <w:szCs w:val="28"/>
            </w:rPr>
            <w:instrText xml:space="preserve"> PAGEREF _Toc785316693 \h </w:instrText>
          </w:r>
          <w:r>
            <w:rPr>
              <w:color w:val="auto"/>
              <w:sz w:val="28"/>
              <w:szCs w:val="28"/>
            </w:rPr>
            <w:fldChar w:fldCharType="separate"/>
          </w:r>
          <w:r>
            <w:rPr>
              <w:color w:val="auto"/>
              <w:sz w:val="28"/>
              <w:szCs w:val="28"/>
            </w:rPr>
            <w:t>22</w:t>
          </w:r>
          <w:r>
            <w:rPr>
              <w:color w:val="auto"/>
              <w:sz w:val="28"/>
              <w:szCs w:val="28"/>
            </w:rPr>
            <w:fldChar w:fldCharType="end"/>
          </w:r>
          <w:r>
            <w:rPr>
              <w:rFonts w:hint="eastAsia" w:eastAsia="方正小标宋_GBK"/>
              <w:color w:val="auto"/>
              <w:sz w:val="28"/>
              <w:szCs w:val="28"/>
            </w:rPr>
            <w:fldChar w:fldCharType="end"/>
          </w:r>
        </w:p>
        <w:p w14:paraId="3A2F9147">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_Toc383164789 </w:instrText>
          </w:r>
          <w:r>
            <w:rPr>
              <w:rFonts w:hint="eastAsia" w:eastAsia="方正小标宋_GBK"/>
              <w:color w:val="auto"/>
              <w:sz w:val="28"/>
              <w:szCs w:val="28"/>
            </w:rPr>
            <w:fldChar w:fldCharType="separate"/>
          </w:r>
          <w:r>
            <w:rPr>
              <w:rFonts w:hint="eastAsia" w:eastAsia="楷体" w:cs="Times New Roman"/>
              <w:color w:val="auto"/>
              <w:sz w:val="28"/>
              <w:szCs w:val="28"/>
            </w:rPr>
            <w:t>第二节  做大做强新兴产业</w:t>
          </w:r>
          <w:r>
            <w:rPr>
              <w:color w:val="auto"/>
              <w:sz w:val="28"/>
              <w:szCs w:val="28"/>
            </w:rPr>
            <w:tab/>
          </w:r>
          <w:r>
            <w:rPr>
              <w:color w:val="auto"/>
              <w:sz w:val="28"/>
              <w:szCs w:val="28"/>
            </w:rPr>
            <w:fldChar w:fldCharType="begin"/>
          </w:r>
          <w:r>
            <w:rPr>
              <w:color w:val="auto"/>
              <w:sz w:val="28"/>
              <w:szCs w:val="28"/>
            </w:rPr>
            <w:instrText xml:space="preserve"> PAGEREF _Toc383164789 \h </w:instrText>
          </w:r>
          <w:r>
            <w:rPr>
              <w:color w:val="auto"/>
              <w:sz w:val="28"/>
              <w:szCs w:val="28"/>
            </w:rPr>
            <w:fldChar w:fldCharType="separate"/>
          </w:r>
          <w:r>
            <w:rPr>
              <w:color w:val="auto"/>
              <w:sz w:val="28"/>
              <w:szCs w:val="28"/>
            </w:rPr>
            <w:t>23</w:t>
          </w:r>
          <w:r>
            <w:rPr>
              <w:color w:val="auto"/>
              <w:sz w:val="28"/>
              <w:szCs w:val="28"/>
            </w:rPr>
            <w:fldChar w:fldCharType="end"/>
          </w:r>
          <w:r>
            <w:rPr>
              <w:rFonts w:hint="eastAsia" w:eastAsia="方正小标宋_GBK"/>
              <w:color w:val="auto"/>
              <w:sz w:val="28"/>
              <w:szCs w:val="28"/>
            </w:rPr>
            <w:fldChar w:fldCharType="end"/>
          </w:r>
        </w:p>
        <w:p w14:paraId="25F76819">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_Toc1694635017 </w:instrText>
          </w:r>
          <w:r>
            <w:rPr>
              <w:rFonts w:hint="eastAsia" w:eastAsia="方正小标宋_GBK"/>
              <w:color w:val="auto"/>
              <w:sz w:val="28"/>
              <w:szCs w:val="28"/>
            </w:rPr>
            <w:fldChar w:fldCharType="separate"/>
          </w:r>
          <w:r>
            <w:rPr>
              <w:rFonts w:hint="eastAsia" w:eastAsia="楷体" w:cs="Times New Roman"/>
              <w:color w:val="auto"/>
              <w:sz w:val="28"/>
              <w:szCs w:val="28"/>
            </w:rPr>
            <w:t>第三节  发展固废资源利用产业</w:t>
          </w:r>
          <w:r>
            <w:rPr>
              <w:color w:val="auto"/>
              <w:sz w:val="28"/>
              <w:szCs w:val="28"/>
            </w:rPr>
            <w:tab/>
          </w:r>
          <w:r>
            <w:rPr>
              <w:color w:val="auto"/>
              <w:sz w:val="28"/>
              <w:szCs w:val="28"/>
            </w:rPr>
            <w:fldChar w:fldCharType="begin"/>
          </w:r>
          <w:r>
            <w:rPr>
              <w:color w:val="auto"/>
              <w:sz w:val="28"/>
              <w:szCs w:val="28"/>
            </w:rPr>
            <w:instrText xml:space="preserve"> PAGEREF _Toc1694635017 \h </w:instrText>
          </w:r>
          <w:r>
            <w:rPr>
              <w:color w:val="auto"/>
              <w:sz w:val="28"/>
              <w:szCs w:val="28"/>
            </w:rPr>
            <w:fldChar w:fldCharType="separate"/>
          </w:r>
          <w:r>
            <w:rPr>
              <w:color w:val="auto"/>
              <w:sz w:val="28"/>
              <w:szCs w:val="28"/>
            </w:rPr>
            <w:t>25</w:t>
          </w:r>
          <w:r>
            <w:rPr>
              <w:color w:val="auto"/>
              <w:sz w:val="28"/>
              <w:szCs w:val="28"/>
            </w:rPr>
            <w:fldChar w:fldCharType="end"/>
          </w:r>
          <w:r>
            <w:rPr>
              <w:rFonts w:hint="eastAsia" w:eastAsia="方正小标宋_GBK"/>
              <w:color w:val="auto"/>
              <w:sz w:val="28"/>
              <w:szCs w:val="28"/>
            </w:rPr>
            <w:fldChar w:fldCharType="end"/>
          </w:r>
        </w:p>
        <w:p w14:paraId="5EB7BB0A">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_Toc1802604205 </w:instrText>
          </w:r>
          <w:r>
            <w:rPr>
              <w:rFonts w:hint="eastAsia" w:eastAsia="方正小标宋_GBK"/>
              <w:color w:val="auto"/>
              <w:sz w:val="28"/>
              <w:szCs w:val="28"/>
            </w:rPr>
            <w:fldChar w:fldCharType="separate"/>
          </w:r>
          <w:r>
            <w:rPr>
              <w:rFonts w:hint="eastAsia" w:eastAsia="楷体" w:cs="Times New Roman"/>
              <w:color w:val="auto"/>
              <w:sz w:val="28"/>
              <w:szCs w:val="28"/>
            </w:rPr>
            <w:t>第四节  前瞻布局未来先导产业</w:t>
          </w:r>
          <w:r>
            <w:rPr>
              <w:color w:val="auto"/>
              <w:sz w:val="28"/>
              <w:szCs w:val="28"/>
            </w:rPr>
            <w:tab/>
          </w:r>
          <w:r>
            <w:rPr>
              <w:color w:val="auto"/>
              <w:sz w:val="28"/>
              <w:szCs w:val="28"/>
            </w:rPr>
            <w:fldChar w:fldCharType="begin"/>
          </w:r>
          <w:r>
            <w:rPr>
              <w:color w:val="auto"/>
              <w:sz w:val="28"/>
              <w:szCs w:val="28"/>
            </w:rPr>
            <w:instrText xml:space="preserve"> PAGEREF _Toc1802604205 \h </w:instrText>
          </w:r>
          <w:r>
            <w:rPr>
              <w:color w:val="auto"/>
              <w:sz w:val="28"/>
              <w:szCs w:val="28"/>
            </w:rPr>
            <w:fldChar w:fldCharType="separate"/>
          </w:r>
          <w:r>
            <w:rPr>
              <w:color w:val="auto"/>
              <w:sz w:val="28"/>
              <w:szCs w:val="28"/>
            </w:rPr>
            <w:t>26</w:t>
          </w:r>
          <w:r>
            <w:rPr>
              <w:color w:val="auto"/>
              <w:sz w:val="28"/>
              <w:szCs w:val="28"/>
            </w:rPr>
            <w:fldChar w:fldCharType="end"/>
          </w:r>
          <w:r>
            <w:rPr>
              <w:rFonts w:hint="eastAsia" w:eastAsia="方正小标宋_GBK"/>
              <w:color w:val="auto"/>
              <w:sz w:val="28"/>
              <w:szCs w:val="28"/>
            </w:rPr>
            <w:fldChar w:fldCharType="end"/>
          </w:r>
        </w:p>
        <w:p w14:paraId="21D51BD3">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_Toc1817065206 </w:instrText>
          </w:r>
          <w:r>
            <w:rPr>
              <w:rFonts w:hint="eastAsia" w:eastAsia="方正小标宋_GBK"/>
              <w:color w:val="auto"/>
              <w:sz w:val="28"/>
              <w:szCs w:val="28"/>
            </w:rPr>
            <w:fldChar w:fldCharType="separate"/>
          </w:r>
          <w:r>
            <w:rPr>
              <w:rFonts w:hint="eastAsia" w:eastAsia="楷体" w:cs="Times New Roman"/>
              <w:color w:val="auto"/>
              <w:sz w:val="28"/>
              <w:szCs w:val="28"/>
            </w:rPr>
            <w:t>第五节  促进现代服务业提质增效</w:t>
          </w:r>
          <w:r>
            <w:rPr>
              <w:color w:val="auto"/>
              <w:sz w:val="28"/>
              <w:szCs w:val="28"/>
            </w:rPr>
            <w:tab/>
          </w:r>
          <w:r>
            <w:rPr>
              <w:color w:val="auto"/>
              <w:sz w:val="28"/>
              <w:szCs w:val="28"/>
            </w:rPr>
            <w:fldChar w:fldCharType="begin"/>
          </w:r>
          <w:r>
            <w:rPr>
              <w:color w:val="auto"/>
              <w:sz w:val="28"/>
              <w:szCs w:val="28"/>
            </w:rPr>
            <w:instrText xml:space="preserve"> PAGEREF _Toc1817065206 \h </w:instrText>
          </w:r>
          <w:r>
            <w:rPr>
              <w:color w:val="auto"/>
              <w:sz w:val="28"/>
              <w:szCs w:val="28"/>
            </w:rPr>
            <w:fldChar w:fldCharType="separate"/>
          </w:r>
          <w:r>
            <w:rPr>
              <w:color w:val="auto"/>
              <w:sz w:val="28"/>
              <w:szCs w:val="28"/>
            </w:rPr>
            <w:t>27</w:t>
          </w:r>
          <w:r>
            <w:rPr>
              <w:color w:val="auto"/>
              <w:sz w:val="28"/>
              <w:szCs w:val="28"/>
            </w:rPr>
            <w:fldChar w:fldCharType="end"/>
          </w:r>
          <w:r>
            <w:rPr>
              <w:rFonts w:hint="eastAsia" w:eastAsia="方正小标宋_GBK"/>
              <w:color w:val="auto"/>
              <w:sz w:val="28"/>
              <w:szCs w:val="28"/>
            </w:rPr>
            <w:fldChar w:fldCharType="end"/>
          </w:r>
        </w:p>
        <w:p w14:paraId="14A64DB3">
          <w:pPr>
            <w:pStyle w:val="20"/>
            <w:tabs>
              <w:tab w:val="right" w:leader="dot" w:pos="8306"/>
            </w:tabs>
            <w:spacing w:line="480" w:lineRule="exact"/>
            <w:ind w:firstLine="0" w:firstLineChars="0"/>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_Toc49973255 </w:instrText>
          </w:r>
          <w:r>
            <w:rPr>
              <w:rFonts w:hint="eastAsia" w:eastAsia="方正小标宋_GBK"/>
              <w:color w:val="auto"/>
              <w:sz w:val="28"/>
              <w:szCs w:val="28"/>
            </w:rPr>
            <w:fldChar w:fldCharType="separate"/>
          </w:r>
          <w:r>
            <w:rPr>
              <w:rFonts w:hint="eastAsia" w:ascii="Times New Roman" w:hAnsi="Times New Roman" w:eastAsia="方正黑体_GBK" w:cs="方正黑体_GBK"/>
              <w:color w:val="auto"/>
              <w:sz w:val="28"/>
              <w:szCs w:val="28"/>
            </w:rPr>
            <w:t>第四章 强化科技创新引领 提速培育发展新质生产力</w:t>
          </w:r>
          <w:r>
            <w:rPr>
              <w:color w:val="auto"/>
              <w:sz w:val="28"/>
              <w:szCs w:val="28"/>
            </w:rPr>
            <w:tab/>
          </w:r>
          <w:r>
            <w:rPr>
              <w:color w:val="auto"/>
              <w:sz w:val="28"/>
              <w:szCs w:val="28"/>
            </w:rPr>
            <w:fldChar w:fldCharType="begin"/>
          </w:r>
          <w:r>
            <w:rPr>
              <w:color w:val="auto"/>
              <w:sz w:val="28"/>
              <w:szCs w:val="28"/>
            </w:rPr>
            <w:instrText xml:space="preserve"> PAGEREF _Toc49973255 \h </w:instrText>
          </w:r>
          <w:r>
            <w:rPr>
              <w:color w:val="auto"/>
              <w:sz w:val="28"/>
              <w:szCs w:val="28"/>
            </w:rPr>
            <w:fldChar w:fldCharType="separate"/>
          </w:r>
          <w:r>
            <w:rPr>
              <w:color w:val="auto"/>
              <w:sz w:val="28"/>
              <w:szCs w:val="28"/>
            </w:rPr>
            <w:t>31</w:t>
          </w:r>
          <w:r>
            <w:rPr>
              <w:color w:val="auto"/>
              <w:sz w:val="28"/>
              <w:szCs w:val="28"/>
            </w:rPr>
            <w:fldChar w:fldCharType="end"/>
          </w:r>
          <w:r>
            <w:rPr>
              <w:rFonts w:hint="eastAsia" w:eastAsia="方正小标宋_GBK"/>
              <w:color w:val="auto"/>
              <w:sz w:val="28"/>
              <w:szCs w:val="28"/>
            </w:rPr>
            <w:fldChar w:fldCharType="end"/>
          </w:r>
        </w:p>
        <w:p w14:paraId="7136CBCA">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_Toc234390808 </w:instrText>
          </w:r>
          <w:r>
            <w:rPr>
              <w:rFonts w:hint="eastAsia" w:eastAsia="方正小标宋_GBK"/>
              <w:color w:val="auto"/>
              <w:sz w:val="28"/>
              <w:szCs w:val="28"/>
            </w:rPr>
            <w:fldChar w:fldCharType="separate"/>
          </w:r>
          <w:r>
            <w:rPr>
              <w:rFonts w:hint="eastAsia" w:eastAsia="楷体"/>
              <w:color w:val="auto"/>
              <w:sz w:val="28"/>
              <w:szCs w:val="28"/>
            </w:rPr>
            <w:t>第一节  促进科技创新和产业创新深度融合</w:t>
          </w:r>
          <w:r>
            <w:rPr>
              <w:color w:val="auto"/>
              <w:sz w:val="28"/>
              <w:szCs w:val="28"/>
            </w:rPr>
            <w:tab/>
          </w:r>
          <w:r>
            <w:rPr>
              <w:color w:val="auto"/>
              <w:sz w:val="28"/>
              <w:szCs w:val="28"/>
            </w:rPr>
            <w:fldChar w:fldCharType="begin"/>
          </w:r>
          <w:r>
            <w:rPr>
              <w:color w:val="auto"/>
              <w:sz w:val="28"/>
              <w:szCs w:val="28"/>
            </w:rPr>
            <w:instrText xml:space="preserve"> PAGEREF _Toc234390808 \h </w:instrText>
          </w:r>
          <w:r>
            <w:rPr>
              <w:color w:val="auto"/>
              <w:sz w:val="28"/>
              <w:szCs w:val="28"/>
            </w:rPr>
            <w:fldChar w:fldCharType="separate"/>
          </w:r>
          <w:r>
            <w:rPr>
              <w:color w:val="auto"/>
              <w:sz w:val="28"/>
              <w:szCs w:val="28"/>
            </w:rPr>
            <w:t>31</w:t>
          </w:r>
          <w:r>
            <w:rPr>
              <w:color w:val="auto"/>
              <w:sz w:val="28"/>
              <w:szCs w:val="28"/>
            </w:rPr>
            <w:fldChar w:fldCharType="end"/>
          </w:r>
          <w:r>
            <w:rPr>
              <w:rFonts w:hint="eastAsia" w:eastAsia="方正小标宋_GBK"/>
              <w:color w:val="auto"/>
              <w:sz w:val="28"/>
              <w:szCs w:val="28"/>
            </w:rPr>
            <w:fldChar w:fldCharType="end"/>
          </w:r>
        </w:p>
        <w:p w14:paraId="41790BF2">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_Toc921301458 </w:instrText>
          </w:r>
          <w:r>
            <w:rPr>
              <w:rFonts w:hint="eastAsia" w:eastAsia="方正小标宋_GBK"/>
              <w:color w:val="auto"/>
              <w:sz w:val="28"/>
              <w:szCs w:val="28"/>
            </w:rPr>
            <w:fldChar w:fldCharType="separate"/>
          </w:r>
          <w:r>
            <w:rPr>
              <w:rFonts w:hint="eastAsia" w:eastAsia="楷体"/>
              <w:color w:val="auto"/>
              <w:sz w:val="28"/>
              <w:szCs w:val="28"/>
            </w:rPr>
            <w:t>第二节  一体推动教育科技人才发展</w:t>
          </w:r>
          <w:r>
            <w:rPr>
              <w:color w:val="auto"/>
              <w:sz w:val="28"/>
              <w:szCs w:val="28"/>
            </w:rPr>
            <w:tab/>
          </w:r>
          <w:r>
            <w:rPr>
              <w:color w:val="auto"/>
              <w:sz w:val="28"/>
              <w:szCs w:val="28"/>
            </w:rPr>
            <w:fldChar w:fldCharType="begin"/>
          </w:r>
          <w:r>
            <w:rPr>
              <w:color w:val="auto"/>
              <w:sz w:val="28"/>
              <w:szCs w:val="28"/>
            </w:rPr>
            <w:instrText xml:space="preserve"> PAGEREF _Toc921301458 \h </w:instrText>
          </w:r>
          <w:r>
            <w:rPr>
              <w:color w:val="auto"/>
              <w:sz w:val="28"/>
              <w:szCs w:val="28"/>
            </w:rPr>
            <w:fldChar w:fldCharType="separate"/>
          </w:r>
          <w:r>
            <w:rPr>
              <w:color w:val="auto"/>
              <w:sz w:val="28"/>
              <w:szCs w:val="28"/>
            </w:rPr>
            <w:t>33</w:t>
          </w:r>
          <w:r>
            <w:rPr>
              <w:color w:val="auto"/>
              <w:sz w:val="28"/>
              <w:szCs w:val="28"/>
            </w:rPr>
            <w:fldChar w:fldCharType="end"/>
          </w:r>
          <w:r>
            <w:rPr>
              <w:rFonts w:hint="eastAsia" w:eastAsia="方正小标宋_GBK"/>
              <w:color w:val="auto"/>
              <w:sz w:val="28"/>
              <w:szCs w:val="28"/>
            </w:rPr>
            <w:fldChar w:fldCharType="end"/>
          </w:r>
        </w:p>
        <w:p w14:paraId="0A270ABD">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_Toc956509736 </w:instrText>
          </w:r>
          <w:r>
            <w:rPr>
              <w:rFonts w:hint="eastAsia" w:eastAsia="方正小标宋_GBK"/>
              <w:color w:val="auto"/>
              <w:sz w:val="28"/>
              <w:szCs w:val="28"/>
            </w:rPr>
            <w:fldChar w:fldCharType="separate"/>
          </w:r>
          <w:r>
            <w:rPr>
              <w:rFonts w:hint="eastAsia" w:eastAsia="楷体"/>
              <w:color w:val="auto"/>
              <w:sz w:val="28"/>
              <w:szCs w:val="28"/>
            </w:rPr>
            <w:t>第三节  实施“人工智能+”赋能行动</w:t>
          </w:r>
          <w:r>
            <w:rPr>
              <w:color w:val="auto"/>
              <w:sz w:val="28"/>
              <w:szCs w:val="28"/>
            </w:rPr>
            <w:tab/>
          </w:r>
          <w:r>
            <w:rPr>
              <w:color w:val="auto"/>
              <w:sz w:val="28"/>
              <w:szCs w:val="28"/>
            </w:rPr>
            <w:fldChar w:fldCharType="begin"/>
          </w:r>
          <w:r>
            <w:rPr>
              <w:color w:val="auto"/>
              <w:sz w:val="28"/>
              <w:szCs w:val="28"/>
            </w:rPr>
            <w:instrText xml:space="preserve"> PAGEREF _Toc956509736 \h </w:instrText>
          </w:r>
          <w:r>
            <w:rPr>
              <w:color w:val="auto"/>
              <w:sz w:val="28"/>
              <w:szCs w:val="28"/>
            </w:rPr>
            <w:fldChar w:fldCharType="separate"/>
          </w:r>
          <w:r>
            <w:rPr>
              <w:color w:val="auto"/>
              <w:sz w:val="28"/>
              <w:szCs w:val="28"/>
            </w:rPr>
            <w:t>34</w:t>
          </w:r>
          <w:r>
            <w:rPr>
              <w:color w:val="auto"/>
              <w:sz w:val="28"/>
              <w:szCs w:val="28"/>
            </w:rPr>
            <w:fldChar w:fldCharType="end"/>
          </w:r>
          <w:r>
            <w:rPr>
              <w:rFonts w:hint="eastAsia" w:eastAsia="方正小标宋_GBK"/>
              <w:color w:val="auto"/>
              <w:sz w:val="28"/>
              <w:szCs w:val="28"/>
            </w:rPr>
            <w:fldChar w:fldCharType="end"/>
          </w:r>
        </w:p>
        <w:p w14:paraId="56957B04">
          <w:pPr>
            <w:pStyle w:val="20"/>
            <w:tabs>
              <w:tab w:val="right" w:leader="dot" w:pos="8306"/>
            </w:tabs>
            <w:spacing w:line="480" w:lineRule="exact"/>
            <w:ind w:firstLine="0" w:firstLineChars="0"/>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_Toc2144035157 </w:instrText>
          </w:r>
          <w:r>
            <w:rPr>
              <w:rFonts w:hint="eastAsia" w:eastAsia="方正小标宋_GBK"/>
              <w:color w:val="auto"/>
              <w:sz w:val="28"/>
              <w:szCs w:val="28"/>
            </w:rPr>
            <w:fldChar w:fldCharType="separate"/>
          </w:r>
          <w:r>
            <w:rPr>
              <w:rFonts w:hint="eastAsia" w:ascii="Times New Roman" w:hAnsi="Times New Roman" w:eastAsia="方正黑体_GBK" w:cs="方正黑体_GBK"/>
              <w:color w:val="auto"/>
              <w:sz w:val="28"/>
              <w:szCs w:val="28"/>
            </w:rPr>
            <w:t>第五章 挖掘文化创新潜能 绘就云冈大景区全域旅游新画卷</w:t>
          </w:r>
          <w:r>
            <w:rPr>
              <w:color w:val="auto"/>
              <w:sz w:val="28"/>
              <w:szCs w:val="28"/>
            </w:rPr>
            <w:tab/>
          </w:r>
          <w:r>
            <w:rPr>
              <w:color w:val="auto"/>
              <w:sz w:val="28"/>
              <w:szCs w:val="28"/>
            </w:rPr>
            <w:fldChar w:fldCharType="begin"/>
          </w:r>
          <w:r>
            <w:rPr>
              <w:color w:val="auto"/>
              <w:sz w:val="28"/>
              <w:szCs w:val="28"/>
            </w:rPr>
            <w:instrText xml:space="preserve"> PAGEREF _Toc2144035157 \h </w:instrText>
          </w:r>
          <w:r>
            <w:rPr>
              <w:color w:val="auto"/>
              <w:sz w:val="28"/>
              <w:szCs w:val="28"/>
            </w:rPr>
            <w:fldChar w:fldCharType="separate"/>
          </w:r>
          <w:r>
            <w:rPr>
              <w:color w:val="auto"/>
              <w:sz w:val="28"/>
              <w:szCs w:val="28"/>
            </w:rPr>
            <w:t>36</w:t>
          </w:r>
          <w:r>
            <w:rPr>
              <w:color w:val="auto"/>
              <w:sz w:val="28"/>
              <w:szCs w:val="28"/>
            </w:rPr>
            <w:fldChar w:fldCharType="end"/>
          </w:r>
          <w:r>
            <w:rPr>
              <w:rFonts w:hint="eastAsia" w:eastAsia="方正小标宋_GBK"/>
              <w:color w:val="auto"/>
              <w:sz w:val="28"/>
              <w:szCs w:val="28"/>
            </w:rPr>
            <w:fldChar w:fldCharType="end"/>
          </w:r>
        </w:p>
        <w:p w14:paraId="7FFA5CAC">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_Toc23287039 </w:instrText>
          </w:r>
          <w:r>
            <w:rPr>
              <w:rFonts w:hint="eastAsia" w:eastAsia="方正小标宋_GBK"/>
              <w:color w:val="auto"/>
              <w:sz w:val="28"/>
              <w:szCs w:val="28"/>
            </w:rPr>
            <w:fldChar w:fldCharType="separate"/>
          </w:r>
          <w:r>
            <w:rPr>
              <w:rFonts w:hint="eastAsia" w:eastAsia="楷体" w:cs="Times New Roman"/>
              <w:color w:val="auto"/>
              <w:sz w:val="28"/>
              <w:szCs w:val="28"/>
            </w:rPr>
            <w:t>第一节  弘扬践行社会主义核心价值观</w:t>
          </w:r>
          <w:r>
            <w:rPr>
              <w:color w:val="auto"/>
              <w:sz w:val="28"/>
              <w:szCs w:val="28"/>
            </w:rPr>
            <w:tab/>
          </w:r>
          <w:r>
            <w:rPr>
              <w:color w:val="auto"/>
              <w:sz w:val="28"/>
              <w:szCs w:val="28"/>
            </w:rPr>
            <w:fldChar w:fldCharType="begin"/>
          </w:r>
          <w:r>
            <w:rPr>
              <w:color w:val="auto"/>
              <w:sz w:val="28"/>
              <w:szCs w:val="28"/>
            </w:rPr>
            <w:instrText xml:space="preserve"> PAGEREF _Toc23287039 \h </w:instrText>
          </w:r>
          <w:r>
            <w:rPr>
              <w:color w:val="auto"/>
              <w:sz w:val="28"/>
              <w:szCs w:val="28"/>
            </w:rPr>
            <w:fldChar w:fldCharType="separate"/>
          </w:r>
          <w:r>
            <w:rPr>
              <w:color w:val="auto"/>
              <w:sz w:val="28"/>
              <w:szCs w:val="28"/>
            </w:rPr>
            <w:t>36</w:t>
          </w:r>
          <w:r>
            <w:rPr>
              <w:color w:val="auto"/>
              <w:sz w:val="28"/>
              <w:szCs w:val="28"/>
            </w:rPr>
            <w:fldChar w:fldCharType="end"/>
          </w:r>
          <w:r>
            <w:rPr>
              <w:rFonts w:hint="eastAsia" w:eastAsia="方正小标宋_GBK"/>
              <w:color w:val="auto"/>
              <w:sz w:val="28"/>
              <w:szCs w:val="28"/>
            </w:rPr>
            <w:fldChar w:fldCharType="end"/>
          </w:r>
        </w:p>
        <w:p w14:paraId="63BE4604">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_Toc543240719 </w:instrText>
          </w:r>
          <w:r>
            <w:rPr>
              <w:rFonts w:hint="eastAsia" w:eastAsia="方正小标宋_GBK"/>
              <w:color w:val="auto"/>
              <w:sz w:val="28"/>
              <w:szCs w:val="28"/>
            </w:rPr>
            <w:fldChar w:fldCharType="separate"/>
          </w:r>
          <w:r>
            <w:rPr>
              <w:rFonts w:hint="eastAsia" w:eastAsia="楷体" w:cs="Times New Roman"/>
              <w:color w:val="auto"/>
              <w:sz w:val="28"/>
              <w:szCs w:val="28"/>
            </w:rPr>
            <w:t>第二节  繁荣发展文化事业和文化产业</w:t>
          </w:r>
          <w:r>
            <w:rPr>
              <w:color w:val="auto"/>
              <w:sz w:val="28"/>
              <w:szCs w:val="28"/>
            </w:rPr>
            <w:tab/>
          </w:r>
          <w:r>
            <w:rPr>
              <w:color w:val="auto"/>
              <w:sz w:val="28"/>
              <w:szCs w:val="28"/>
            </w:rPr>
            <w:fldChar w:fldCharType="begin"/>
          </w:r>
          <w:r>
            <w:rPr>
              <w:color w:val="auto"/>
              <w:sz w:val="28"/>
              <w:szCs w:val="28"/>
            </w:rPr>
            <w:instrText xml:space="preserve"> PAGEREF _Toc543240719 \h </w:instrText>
          </w:r>
          <w:r>
            <w:rPr>
              <w:color w:val="auto"/>
              <w:sz w:val="28"/>
              <w:szCs w:val="28"/>
            </w:rPr>
            <w:fldChar w:fldCharType="separate"/>
          </w:r>
          <w:r>
            <w:rPr>
              <w:color w:val="auto"/>
              <w:sz w:val="28"/>
              <w:szCs w:val="28"/>
            </w:rPr>
            <w:t>37</w:t>
          </w:r>
          <w:r>
            <w:rPr>
              <w:color w:val="auto"/>
              <w:sz w:val="28"/>
              <w:szCs w:val="28"/>
            </w:rPr>
            <w:fldChar w:fldCharType="end"/>
          </w:r>
          <w:r>
            <w:rPr>
              <w:rFonts w:hint="eastAsia" w:eastAsia="方正小标宋_GBK"/>
              <w:color w:val="auto"/>
              <w:sz w:val="28"/>
              <w:szCs w:val="28"/>
            </w:rPr>
            <w:fldChar w:fldCharType="end"/>
          </w:r>
        </w:p>
        <w:p w14:paraId="09506D03">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_Toc1293780836 </w:instrText>
          </w:r>
          <w:r>
            <w:rPr>
              <w:rFonts w:hint="eastAsia" w:eastAsia="方正小标宋_GBK"/>
              <w:color w:val="auto"/>
              <w:sz w:val="28"/>
              <w:szCs w:val="28"/>
            </w:rPr>
            <w:fldChar w:fldCharType="separate"/>
          </w:r>
          <w:r>
            <w:rPr>
              <w:rFonts w:hint="eastAsia" w:eastAsia="楷体" w:cs="Times New Roman"/>
              <w:color w:val="auto"/>
              <w:sz w:val="28"/>
              <w:szCs w:val="28"/>
            </w:rPr>
            <w:t>第三节  丰富全域全季文旅融合产品体系</w:t>
          </w:r>
          <w:r>
            <w:rPr>
              <w:color w:val="auto"/>
              <w:sz w:val="28"/>
              <w:szCs w:val="28"/>
            </w:rPr>
            <w:tab/>
          </w:r>
          <w:r>
            <w:rPr>
              <w:color w:val="auto"/>
              <w:sz w:val="28"/>
              <w:szCs w:val="28"/>
            </w:rPr>
            <w:fldChar w:fldCharType="begin"/>
          </w:r>
          <w:r>
            <w:rPr>
              <w:color w:val="auto"/>
              <w:sz w:val="28"/>
              <w:szCs w:val="28"/>
            </w:rPr>
            <w:instrText xml:space="preserve"> PAGEREF _Toc1293780836 \h </w:instrText>
          </w:r>
          <w:r>
            <w:rPr>
              <w:color w:val="auto"/>
              <w:sz w:val="28"/>
              <w:szCs w:val="28"/>
            </w:rPr>
            <w:fldChar w:fldCharType="separate"/>
          </w:r>
          <w:r>
            <w:rPr>
              <w:color w:val="auto"/>
              <w:sz w:val="28"/>
              <w:szCs w:val="28"/>
            </w:rPr>
            <w:t>38</w:t>
          </w:r>
          <w:r>
            <w:rPr>
              <w:color w:val="auto"/>
              <w:sz w:val="28"/>
              <w:szCs w:val="28"/>
            </w:rPr>
            <w:fldChar w:fldCharType="end"/>
          </w:r>
          <w:r>
            <w:rPr>
              <w:rFonts w:hint="eastAsia" w:eastAsia="方正小标宋_GBK"/>
              <w:color w:val="auto"/>
              <w:sz w:val="28"/>
              <w:szCs w:val="28"/>
            </w:rPr>
            <w:fldChar w:fldCharType="end"/>
          </w:r>
        </w:p>
        <w:p w14:paraId="123DDEE5">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_Toc1302584777 </w:instrText>
          </w:r>
          <w:r>
            <w:rPr>
              <w:rFonts w:hint="eastAsia" w:eastAsia="方正小标宋_GBK"/>
              <w:color w:val="auto"/>
              <w:sz w:val="28"/>
              <w:szCs w:val="28"/>
            </w:rPr>
            <w:fldChar w:fldCharType="separate"/>
          </w:r>
          <w:r>
            <w:rPr>
              <w:rFonts w:hint="eastAsia" w:eastAsia="楷体" w:cs="Times New Roman"/>
              <w:color w:val="auto"/>
              <w:sz w:val="28"/>
              <w:szCs w:val="28"/>
            </w:rPr>
            <w:t>第四节  完善文旅基础设施和公共服务</w:t>
          </w:r>
          <w:r>
            <w:rPr>
              <w:color w:val="auto"/>
              <w:sz w:val="28"/>
              <w:szCs w:val="28"/>
            </w:rPr>
            <w:tab/>
          </w:r>
          <w:r>
            <w:rPr>
              <w:color w:val="auto"/>
              <w:sz w:val="28"/>
              <w:szCs w:val="28"/>
            </w:rPr>
            <w:fldChar w:fldCharType="begin"/>
          </w:r>
          <w:r>
            <w:rPr>
              <w:color w:val="auto"/>
              <w:sz w:val="28"/>
              <w:szCs w:val="28"/>
            </w:rPr>
            <w:instrText xml:space="preserve"> PAGEREF _Toc1302584777 \h </w:instrText>
          </w:r>
          <w:r>
            <w:rPr>
              <w:color w:val="auto"/>
              <w:sz w:val="28"/>
              <w:szCs w:val="28"/>
            </w:rPr>
            <w:fldChar w:fldCharType="separate"/>
          </w:r>
          <w:r>
            <w:rPr>
              <w:color w:val="auto"/>
              <w:sz w:val="28"/>
              <w:szCs w:val="28"/>
            </w:rPr>
            <w:t>40</w:t>
          </w:r>
          <w:r>
            <w:rPr>
              <w:color w:val="auto"/>
              <w:sz w:val="28"/>
              <w:szCs w:val="28"/>
            </w:rPr>
            <w:fldChar w:fldCharType="end"/>
          </w:r>
          <w:r>
            <w:rPr>
              <w:rFonts w:hint="eastAsia" w:eastAsia="方正小标宋_GBK"/>
              <w:color w:val="auto"/>
              <w:sz w:val="28"/>
              <w:szCs w:val="28"/>
            </w:rPr>
            <w:fldChar w:fldCharType="end"/>
          </w:r>
        </w:p>
        <w:p w14:paraId="5BC36ECF">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_Toc1094049521 </w:instrText>
          </w:r>
          <w:r>
            <w:rPr>
              <w:rFonts w:hint="eastAsia" w:eastAsia="方正小标宋_GBK"/>
              <w:color w:val="auto"/>
              <w:sz w:val="28"/>
              <w:szCs w:val="28"/>
            </w:rPr>
            <w:fldChar w:fldCharType="separate"/>
          </w:r>
          <w:r>
            <w:rPr>
              <w:rFonts w:hint="eastAsia" w:eastAsia="楷体" w:cs="Times New Roman"/>
              <w:color w:val="auto"/>
              <w:sz w:val="28"/>
              <w:szCs w:val="28"/>
            </w:rPr>
            <w:t>第五节  提升文旅品牌影响力和吸引力</w:t>
          </w:r>
          <w:r>
            <w:rPr>
              <w:color w:val="auto"/>
              <w:sz w:val="28"/>
              <w:szCs w:val="28"/>
            </w:rPr>
            <w:tab/>
          </w:r>
          <w:r>
            <w:rPr>
              <w:color w:val="auto"/>
              <w:sz w:val="28"/>
              <w:szCs w:val="28"/>
            </w:rPr>
            <w:fldChar w:fldCharType="begin"/>
          </w:r>
          <w:r>
            <w:rPr>
              <w:color w:val="auto"/>
              <w:sz w:val="28"/>
              <w:szCs w:val="28"/>
            </w:rPr>
            <w:instrText xml:space="preserve"> PAGEREF _Toc1094049521 \h </w:instrText>
          </w:r>
          <w:r>
            <w:rPr>
              <w:color w:val="auto"/>
              <w:sz w:val="28"/>
              <w:szCs w:val="28"/>
            </w:rPr>
            <w:fldChar w:fldCharType="separate"/>
          </w:r>
          <w:r>
            <w:rPr>
              <w:color w:val="auto"/>
              <w:sz w:val="28"/>
              <w:szCs w:val="28"/>
            </w:rPr>
            <w:t>41</w:t>
          </w:r>
          <w:r>
            <w:rPr>
              <w:color w:val="auto"/>
              <w:sz w:val="28"/>
              <w:szCs w:val="28"/>
            </w:rPr>
            <w:fldChar w:fldCharType="end"/>
          </w:r>
          <w:r>
            <w:rPr>
              <w:rFonts w:hint="eastAsia" w:eastAsia="方正小标宋_GBK"/>
              <w:color w:val="auto"/>
              <w:sz w:val="28"/>
              <w:szCs w:val="28"/>
            </w:rPr>
            <w:fldChar w:fldCharType="end"/>
          </w:r>
        </w:p>
        <w:p w14:paraId="59C8E185">
          <w:pPr>
            <w:pStyle w:val="20"/>
            <w:tabs>
              <w:tab w:val="right" w:leader="dot" w:pos="8306"/>
            </w:tabs>
            <w:spacing w:line="480" w:lineRule="exact"/>
            <w:ind w:firstLine="0" w:firstLineChars="0"/>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_Toc935313833 </w:instrText>
          </w:r>
          <w:r>
            <w:rPr>
              <w:rFonts w:hint="eastAsia" w:eastAsia="方正小标宋_GBK"/>
              <w:color w:val="auto"/>
              <w:sz w:val="28"/>
              <w:szCs w:val="28"/>
            </w:rPr>
            <w:fldChar w:fldCharType="separate"/>
          </w:r>
          <w:r>
            <w:rPr>
              <w:rFonts w:hint="eastAsia" w:ascii="Times New Roman" w:hAnsi="Times New Roman" w:eastAsia="方正黑体_GBK" w:cs="方正黑体_GBK"/>
              <w:color w:val="auto"/>
              <w:sz w:val="28"/>
              <w:szCs w:val="28"/>
            </w:rPr>
            <w:t>第六章 内需牵引合作共赢 打造服务京津冀新高地</w:t>
          </w:r>
          <w:r>
            <w:rPr>
              <w:color w:val="auto"/>
              <w:sz w:val="28"/>
              <w:szCs w:val="28"/>
            </w:rPr>
            <w:tab/>
          </w:r>
          <w:r>
            <w:rPr>
              <w:color w:val="auto"/>
              <w:sz w:val="28"/>
              <w:szCs w:val="28"/>
            </w:rPr>
            <w:fldChar w:fldCharType="begin"/>
          </w:r>
          <w:r>
            <w:rPr>
              <w:color w:val="auto"/>
              <w:sz w:val="28"/>
              <w:szCs w:val="28"/>
            </w:rPr>
            <w:instrText xml:space="preserve"> PAGEREF _Toc935313833 \h </w:instrText>
          </w:r>
          <w:r>
            <w:rPr>
              <w:color w:val="auto"/>
              <w:sz w:val="28"/>
              <w:szCs w:val="28"/>
            </w:rPr>
            <w:fldChar w:fldCharType="separate"/>
          </w:r>
          <w:r>
            <w:rPr>
              <w:color w:val="auto"/>
              <w:sz w:val="28"/>
              <w:szCs w:val="28"/>
            </w:rPr>
            <w:t>43</w:t>
          </w:r>
          <w:r>
            <w:rPr>
              <w:color w:val="auto"/>
              <w:sz w:val="28"/>
              <w:szCs w:val="28"/>
            </w:rPr>
            <w:fldChar w:fldCharType="end"/>
          </w:r>
          <w:r>
            <w:rPr>
              <w:rFonts w:hint="eastAsia" w:eastAsia="方正小标宋_GBK"/>
              <w:color w:val="auto"/>
              <w:sz w:val="28"/>
              <w:szCs w:val="28"/>
            </w:rPr>
            <w:fldChar w:fldCharType="end"/>
          </w:r>
        </w:p>
        <w:p w14:paraId="1D75615F">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_Toc239295191 </w:instrText>
          </w:r>
          <w:r>
            <w:rPr>
              <w:rFonts w:hint="eastAsia" w:eastAsia="方正小标宋_GBK"/>
              <w:color w:val="auto"/>
              <w:sz w:val="28"/>
              <w:szCs w:val="28"/>
            </w:rPr>
            <w:fldChar w:fldCharType="separate"/>
          </w:r>
          <w:r>
            <w:rPr>
              <w:rFonts w:hint="eastAsia" w:eastAsia="方正楷体_GBK"/>
              <w:color w:val="auto"/>
              <w:sz w:val="28"/>
              <w:szCs w:val="28"/>
            </w:rPr>
            <w:t>第一节  创新多元化消费场景</w:t>
          </w:r>
          <w:r>
            <w:rPr>
              <w:color w:val="auto"/>
              <w:sz w:val="28"/>
              <w:szCs w:val="28"/>
            </w:rPr>
            <w:tab/>
          </w:r>
          <w:r>
            <w:rPr>
              <w:color w:val="auto"/>
              <w:sz w:val="28"/>
              <w:szCs w:val="28"/>
            </w:rPr>
            <w:fldChar w:fldCharType="begin"/>
          </w:r>
          <w:r>
            <w:rPr>
              <w:color w:val="auto"/>
              <w:sz w:val="28"/>
              <w:szCs w:val="28"/>
            </w:rPr>
            <w:instrText xml:space="preserve"> PAGEREF _Toc239295191 \h </w:instrText>
          </w:r>
          <w:r>
            <w:rPr>
              <w:color w:val="auto"/>
              <w:sz w:val="28"/>
              <w:szCs w:val="28"/>
            </w:rPr>
            <w:fldChar w:fldCharType="separate"/>
          </w:r>
          <w:r>
            <w:rPr>
              <w:color w:val="auto"/>
              <w:sz w:val="28"/>
              <w:szCs w:val="28"/>
            </w:rPr>
            <w:t>43</w:t>
          </w:r>
          <w:r>
            <w:rPr>
              <w:color w:val="auto"/>
              <w:sz w:val="28"/>
              <w:szCs w:val="28"/>
            </w:rPr>
            <w:fldChar w:fldCharType="end"/>
          </w:r>
          <w:r>
            <w:rPr>
              <w:rFonts w:hint="eastAsia" w:eastAsia="方正小标宋_GBK"/>
              <w:color w:val="auto"/>
              <w:sz w:val="28"/>
              <w:szCs w:val="28"/>
            </w:rPr>
            <w:fldChar w:fldCharType="end"/>
          </w:r>
        </w:p>
        <w:p w14:paraId="52B7ED76">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_Toc1744887953 </w:instrText>
          </w:r>
          <w:r>
            <w:rPr>
              <w:rFonts w:hint="eastAsia" w:eastAsia="方正小标宋_GBK"/>
              <w:color w:val="auto"/>
              <w:sz w:val="28"/>
              <w:szCs w:val="28"/>
            </w:rPr>
            <w:fldChar w:fldCharType="separate"/>
          </w:r>
          <w:r>
            <w:rPr>
              <w:rFonts w:hint="eastAsia" w:eastAsia="方正楷体_GBK"/>
              <w:color w:val="auto"/>
              <w:sz w:val="28"/>
              <w:szCs w:val="28"/>
            </w:rPr>
            <w:t>第二节  持续扩大有效投资</w:t>
          </w:r>
          <w:r>
            <w:rPr>
              <w:color w:val="auto"/>
              <w:sz w:val="28"/>
              <w:szCs w:val="28"/>
            </w:rPr>
            <w:tab/>
          </w:r>
          <w:r>
            <w:rPr>
              <w:color w:val="auto"/>
              <w:sz w:val="28"/>
              <w:szCs w:val="28"/>
            </w:rPr>
            <w:fldChar w:fldCharType="begin"/>
          </w:r>
          <w:r>
            <w:rPr>
              <w:color w:val="auto"/>
              <w:sz w:val="28"/>
              <w:szCs w:val="28"/>
            </w:rPr>
            <w:instrText xml:space="preserve"> PAGEREF _Toc1744887953 \h </w:instrText>
          </w:r>
          <w:r>
            <w:rPr>
              <w:color w:val="auto"/>
              <w:sz w:val="28"/>
              <w:szCs w:val="28"/>
            </w:rPr>
            <w:fldChar w:fldCharType="separate"/>
          </w:r>
          <w:r>
            <w:rPr>
              <w:color w:val="auto"/>
              <w:sz w:val="28"/>
              <w:szCs w:val="28"/>
            </w:rPr>
            <w:t>45</w:t>
          </w:r>
          <w:r>
            <w:rPr>
              <w:color w:val="auto"/>
              <w:sz w:val="28"/>
              <w:szCs w:val="28"/>
            </w:rPr>
            <w:fldChar w:fldCharType="end"/>
          </w:r>
          <w:r>
            <w:rPr>
              <w:rFonts w:hint="eastAsia" w:eastAsia="方正小标宋_GBK"/>
              <w:color w:val="auto"/>
              <w:sz w:val="28"/>
              <w:szCs w:val="28"/>
            </w:rPr>
            <w:fldChar w:fldCharType="end"/>
          </w:r>
        </w:p>
        <w:p w14:paraId="04D4340F">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_Toc295142639 </w:instrText>
          </w:r>
          <w:r>
            <w:rPr>
              <w:rFonts w:hint="eastAsia" w:eastAsia="方正小标宋_GBK"/>
              <w:color w:val="auto"/>
              <w:sz w:val="28"/>
              <w:szCs w:val="28"/>
            </w:rPr>
            <w:fldChar w:fldCharType="separate"/>
          </w:r>
          <w:r>
            <w:rPr>
              <w:rFonts w:hint="eastAsia" w:eastAsia="方正楷体_GBK"/>
              <w:color w:val="auto"/>
              <w:sz w:val="28"/>
              <w:szCs w:val="28"/>
            </w:rPr>
            <w:t>第三节</w:t>
          </w:r>
          <w:r>
            <w:rPr>
              <w:rFonts w:eastAsia="方正楷体_GBK"/>
              <w:color w:val="auto"/>
              <w:sz w:val="28"/>
              <w:szCs w:val="28"/>
            </w:rPr>
            <w:t xml:space="preserve">  </w:t>
          </w:r>
          <w:r>
            <w:rPr>
              <w:rFonts w:hint="eastAsia" w:eastAsia="方正楷体_GBK"/>
              <w:color w:val="auto"/>
              <w:sz w:val="28"/>
              <w:szCs w:val="28"/>
            </w:rPr>
            <w:t>全面融入京津冀协同发展</w:t>
          </w:r>
          <w:r>
            <w:rPr>
              <w:color w:val="auto"/>
              <w:sz w:val="28"/>
              <w:szCs w:val="28"/>
            </w:rPr>
            <w:tab/>
          </w:r>
          <w:r>
            <w:rPr>
              <w:color w:val="auto"/>
              <w:sz w:val="28"/>
              <w:szCs w:val="28"/>
            </w:rPr>
            <w:fldChar w:fldCharType="begin"/>
          </w:r>
          <w:r>
            <w:rPr>
              <w:color w:val="auto"/>
              <w:sz w:val="28"/>
              <w:szCs w:val="28"/>
            </w:rPr>
            <w:instrText xml:space="preserve"> PAGEREF _Toc295142639 \h </w:instrText>
          </w:r>
          <w:r>
            <w:rPr>
              <w:color w:val="auto"/>
              <w:sz w:val="28"/>
              <w:szCs w:val="28"/>
            </w:rPr>
            <w:fldChar w:fldCharType="separate"/>
          </w:r>
          <w:r>
            <w:rPr>
              <w:color w:val="auto"/>
              <w:sz w:val="28"/>
              <w:szCs w:val="28"/>
            </w:rPr>
            <w:t>46</w:t>
          </w:r>
          <w:r>
            <w:rPr>
              <w:color w:val="auto"/>
              <w:sz w:val="28"/>
              <w:szCs w:val="28"/>
            </w:rPr>
            <w:fldChar w:fldCharType="end"/>
          </w:r>
          <w:r>
            <w:rPr>
              <w:rFonts w:hint="eastAsia" w:eastAsia="方正小标宋_GBK"/>
              <w:color w:val="auto"/>
              <w:sz w:val="28"/>
              <w:szCs w:val="28"/>
            </w:rPr>
            <w:fldChar w:fldCharType="end"/>
          </w:r>
        </w:p>
        <w:p w14:paraId="3E2A885C">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_Toc1922592750 </w:instrText>
          </w:r>
          <w:r>
            <w:rPr>
              <w:rFonts w:hint="eastAsia" w:eastAsia="方正小标宋_GBK"/>
              <w:color w:val="auto"/>
              <w:sz w:val="28"/>
              <w:szCs w:val="28"/>
            </w:rPr>
            <w:fldChar w:fldCharType="separate"/>
          </w:r>
          <w:r>
            <w:rPr>
              <w:rFonts w:hint="eastAsia" w:eastAsia="方正楷体_GBK"/>
              <w:color w:val="auto"/>
              <w:sz w:val="28"/>
              <w:szCs w:val="28"/>
            </w:rPr>
            <w:t>第四节  拓展区域合作新空间</w:t>
          </w:r>
          <w:r>
            <w:rPr>
              <w:color w:val="auto"/>
              <w:sz w:val="28"/>
              <w:szCs w:val="28"/>
            </w:rPr>
            <w:tab/>
          </w:r>
          <w:r>
            <w:rPr>
              <w:color w:val="auto"/>
              <w:sz w:val="28"/>
              <w:szCs w:val="28"/>
            </w:rPr>
            <w:fldChar w:fldCharType="begin"/>
          </w:r>
          <w:r>
            <w:rPr>
              <w:color w:val="auto"/>
              <w:sz w:val="28"/>
              <w:szCs w:val="28"/>
            </w:rPr>
            <w:instrText xml:space="preserve"> PAGEREF _Toc1922592750 \h </w:instrText>
          </w:r>
          <w:r>
            <w:rPr>
              <w:color w:val="auto"/>
              <w:sz w:val="28"/>
              <w:szCs w:val="28"/>
            </w:rPr>
            <w:fldChar w:fldCharType="separate"/>
          </w:r>
          <w:r>
            <w:rPr>
              <w:color w:val="auto"/>
              <w:sz w:val="28"/>
              <w:szCs w:val="28"/>
            </w:rPr>
            <w:t>47</w:t>
          </w:r>
          <w:r>
            <w:rPr>
              <w:color w:val="auto"/>
              <w:sz w:val="28"/>
              <w:szCs w:val="28"/>
            </w:rPr>
            <w:fldChar w:fldCharType="end"/>
          </w:r>
          <w:r>
            <w:rPr>
              <w:rFonts w:hint="eastAsia" w:eastAsia="方正小标宋_GBK"/>
              <w:color w:val="auto"/>
              <w:sz w:val="28"/>
              <w:szCs w:val="28"/>
            </w:rPr>
            <w:fldChar w:fldCharType="end"/>
          </w:r>
        </w:p>
        <w:p w14:paraId="4794BDFD">
          <w:pPr>
            <w:pStyle w:val="20"/>
            <w:tabs>
              <w:tab w:val="right" w:leader="dot" w:pos="8306"/>
            </w:tabs>
            <w:spacing w:line="480" w:lineRule="exact"/>
            <w:ind w:firstLine="0" w:firstLineChars="0"/>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_Toc1977396488 </w:instrText>
          </w:r>
          <w:r>
            <w:rPr>
              <w:rFonts w:hint="eastAsia" w:eastAsia="方正小标宋_GBK"/>
              <w:color w:val="auto"/>
              <w:sz w:val="28"/>
              <w:szCs w:val="28"/>
            </w:rPr>
            <w:fldChar w:fldCharType="separate"/>
          </w:r>
          <w:r>
            <w:rPr>
              <w:rFonts w:hint="eastAsia" w:ascii="Times New Roman" w:hAnsi="Times New Roman" w:eastAsia="方正黑体_GBK" w:cs="方正黑体_GBK"/>
              <w:color w:val="auto"/>
              <w:sz w:val="28"/>
              <w:szCs w:val="28"/>
            </w:rPr>
            <w:t>第七章 全面深化改革开放 激发高质量发展动能活力</w:t>
          </w:r>
          <w:r>
            <w:rPr>
              <w:color w:val="auto"/>
              <w:sz w:val="28"/>
              <w:szCs w:val="28"/>
            </w:rPr>
            <w:tab/>
          </w:r>
          <w:r>
            <w:rPr>
              <w:color w:val="auto"/>
              <w:sz w:val="28"/>
              <w:szCs w:val="28"/>
            </w:rPr>
            <w:fldChar w:fldCharType="begin"/>
          </w:r>
          <w:r>
            <w:rPr>
              <w:color w:val="auto"/>
              <w:sz w:val="28"/>
              <w:szCs w:val="28"/>
            </w:rPr>
            <w:instrText xml:space="preserve"> PAGEREF _Toc1977396488 \h </w:instrText>
          </w:r>
          <w:r>
            <w:rPr>
              <w:color w:val="auto"/>
              <w:sz w:val="28"/>
              <w:szCs w:val="28"/>
            </w:rPr>
            <w:fldChar w:fldCharType="separate"/>
          </w:r>
          <w:r>
            <w:rPr>
              <w:color w:val="auto"/>
              <w:sz w:val="28"/>
              <w:szCs w:val="28"/>
            </w:rPr>
            <w:t>50</w:t>
          </w:r>
          <w:r>
            <w:rPr>
              <w:color w:val="auto"/>
              <w:sz w:val="28"/>
              <w:szCs w:val="28"/>
            </w:rPr>
            <w:fldChar w:fldCharType="end"/>
          </w:r>
          <w:r>
            <w:rPr>
              <w:rFonts w:hint="eastAsia" w:eastAsia="方正小标宋_GBK"/>
              <w:color w:val="auto"/>
              <w:sz w:val="28"/>
              <w:szCs w:val="28"/>
            </w:rPr>
            <w:fldChar w:fldCharType="end"/>
          </w:r>
        </w:p>
        <w:p w14:paraId="0762722D">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_Toc1793336491 </w:instrText>
          </w:r>
          <w:r>
            <w:rPr>
              <w:rFonts w:hint="eastAsia" w:eastAsia="方正小标宋_GBK"/>
              <w:color w:val="auto"/>
              <w:sz w:val="28"/>
              <w:szCs w:val="28"/>
            </w:rPr>
            <w:fldChar w:fldCharType="separate"/>
          </w:r>
          <w:r>
            <w:rPr>
              <w:rFonts w:hint="eastAsia" w:eastAsia="楷体" w:cs="Times New Roman"/>
              <w:color w:val="auto"/>
              <w:sz w:val="28"/>
              <w:szCs w:val="28"/>
            </w:rPr>
            <w:t>第一节  打造市场化法治化营商环境</w:t>
          </w:r>
          <w:r>
            <w:rPr>
              <w:color w:val="auto"/>
              <w:sz w:val="28"/>
              <w:szCs w:val="28"/>
            </w:rPr>
            <w:tab/>
          </w:r>
          <w:r>
            <w:rPr>
              <w:color w:val="auto"/>
              <w:sz w:val="28"/>
              <w:szCs w:val="28"/>
            </w:rPr>
            <w:fldChar w:fldCharType="begin"/>
          </w:r>
          <w:r>
            <w:rPr>
              <w:color w:val="auto"/>
              <w:sz w:val="28"/>
              <w:szCs w:val="28"/>
            </w:rPr>
            <w:instrText xml:space="preserve"> PAGEREF _Toc1793336491 \h </w:instrText>
          </w:r>
          <w:r>
            <w:rPr>
              <w:color w:val="auto"/>
              <w:sz w:val="28"/>
              <w:szCs w:val="28"/>
            </w:rPr>
            <w:fldChar w:fldCharType="separate"/>
          </w:r>
          <w:r>
            <w:rPr>
              <w:color w:val="auto"/>
              <w:sz w:val="28"/>
              <w:szCs w:val="28"/>
            </w:rPr>
            <w:t>50</w:t>
          </w:r>
          <w:r>
            <w:rPr>
              <w:color w:val="auto"/>
              <w:sz w:val="28"/>
              <w:szCs w:val="28"/>
            </w:rPr>
            <w:fldChar w:fldCharType="end"/>
          </w:r>
          <w:r>
            <w:rPr>
              <w:rFonts w:hint="eastAsia" w:eastAsia="方正小标宋_GBK"/>
              <w:color w:val="auto"/>
              <w:sz w:val="28"/>
              <w:szCs w:val="28"/>
            </w:rPr>
            <w:fldChar w:fldCharType="end"/>
          </w:r>
        </w:p>
        <w:p w14:paraId="3427B881">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_Toc673418592 </w:instrText>
          </w:r>
          <w:r>
            <w:rPr>
              <w:rFonts w:hint="eastAsia" w:eastAsia="方正小标宋_GBK"/>
              <w:color w:val="auto"/>
              <w:sz w:val="28"/>
              <w:szCs w:val="28"/>
            </w:rPr>
            <w:fldChar w:fldCharType="separate"/>
          </w:r>
          <w:r>
            <w:rPr>
              <w:rFonts w:hint="eastAsia" w:eastAsia="楷体" w:cs="Times New Roman"/>
              <w:color w:val="auto"/>
              <w:sz w:val="28"/>
              <w:szCs w:val="28"/>
            </w:rPr>
            <w:t>第二节  充分激发各类经营主体发展活力</w:t>
          </w:r>
          <w:r>
            <w:rPr>
              <w:color w:val="auto"/>
              <w:sz w:val="28"/>
              <w:szCs w:val="28"/>
            </w:rPr>
            <w:tab/>
          </w:r>
          <w:r>
            <w:rPr>
              <w:color w:val="auto"/>
              <w:sz w:val="28"/>
              <w:szCs w:val="28"/>
            </w:rPr>
            <w:fldChar w:fldCharType="begin"/>
          </w:r>
          <w:r>
            <w:rPr>
              <w:color w:val="auto"/>
              <w:sz w:val="28"/>
              <w:szCs w:val="28"/>
            </w:rPr>
            <w:instrText xml:space="preserve"> PAGEREF _Toc673418592 \h </w:instrText>
          </w:r>
          <w:r>
            <w:rPr>
              <w:color w:val="auto"/>
              <w:sz w:val="28"/>
              <w:szCs w:val="28"/>
            </w:rPr>
            <w:fldChar w:fldCharType="separate"/>
          </w:r>
          <w:r>
            <w:rPr>
              <w:color w:val="auto"/>
              <w:sz w:val="28"/>
              <w:szCs w:val="28"/>
            </w:rPr>
            <w:t>51</w:t>
          </w:r>
          <w:r>
            <w:rPr>
              <w:color w:val="auto"/>
              <w:sz w:val="28"/>
              <w:szCs w:val="28"/>
            </w:rPr>
            <w:fldChar w:fldCharType="end"/>
          </w:r>
          <w:r>
            <w:rPr>
              <w:rFonts w:hint="eastAsia" w:eastAsia="方正小标宋_GBK"/>
              <w:color w:val="auto"/>
              <w:sz w:val="28"/>
              <w:szCs w:val="28"/>
            </w:rPr>
            <w:fldChar w:fldCharType="end"/>
          </w:r>
        </w:p>
        <w:p w14:paraId="266F724D">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_Toc907456054 </w:instrText>
          </w:r>
          <w:r>
            <w:rPr>
              <w:rFonts w:hint="eastAsia" w:eastAsia="方正小标宋_GBK"/>
              <w:color w:val="auto"/>
              <w:sz w:val="28"/>
              <w:szCs w:val="28"/>
            </w:rPr>
            <w:fldChar w:fldCharType="separate"/>
          </w:r>
          <w:r>
            <w:rPr>
              <w:rFonts w:hint="eastAsia" w:eastAsia="楷体" w:cs="Times New Roman"/>
              <w:color w:val="auto"/>
              <w:sz w:val="28"/>
              <w:szCs w:val="28"/>
            </w:rPr>
            <w:t>第三节  健全完善要素和金融配置改革</w:t>
          </w:r>
          <w:r>
            <w:rPr>
              <w:color w:val="auto"/>
              <w:sz w:val="28"/>
              <w:szCs w:val="28"/>
            </w:rPr>
            <w:tab/>
          </w:r>
          <w:r>
            <w:rPr>
              <w:color w:val="auto"/>
              <w:sz w:val="28"/>
              <w:szCs w:val="28"/>
            </w:rPr>
            <w:fldChar w:fldCharType="begin"/>
          </w:r>
          <w:r>
            <w:rPr>
              <w:color w:val="auto"/>
              <w:sz w:val="28"/>
              <w:szCs w:val="28"/>
            </w:rPr>
            <w:instrText xml:space="preserve"> PAGEREF _Toc907456054 \h </w:instrText>
          </w:r>
          <w:r>
            <w:rPr>
              <w:color w:val="auto"/>
              <w:sz w:val="28"/>
              <w:szCs w:val="28"/>
            </w:rPr>
            <w:fldChar w:fldCharType="separate"/>
          </w:r>
          <w:r>
            <w:rPr>
              <w:color w:val="auto"/>
              <w:sz w:val="28"/>
              <w:szCs w:val="28"/>
            </w:rPr>
            <w:t>52</w:t>
          </w:r>
          <w:r>
            <w:rPr>
              <w:color w:val="auto"/>
              <w:sz w:val="28"/>
              <w:szCs w:val="28"/>
            </w:rPr>
            <w:fldChar w:fldCharType="end"/>
          </w:r>
          <w:r>
            <w:rPr>
              <w:rFonts w:hint="eastAsia" w:eastAsia="方正小标宋_GBK"/>
              <w:color w:val="auto"/>
              <w:sz w:val="28"/>
              <w:szCs w:val="28"/>
            </w:rPr>
            <w:fldChar w:fldCharType="end"/>
          </w:r>
        </w:p>
        <w:p w14:paraId="44BA8139">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_Toc185038584 </w:instrText>
          </w:r>
          <w:r>
            <w:rPr>
              <w:rFonts w:hint="eastAsia" w:eastAsia="方正小标宋_GBK"/>
              <w:color w:val="auto"/>
              <w:sz w:val="28"/>
              <w:szCs w:val="28"/>
            </w:rPr>
            <w:fldChar w:fldCharType="separate"/>
          </w:r>
          <w:r>
            <w:rPr>
              <w:rFonts w:eastAsia="方正楷体_GBK"/>
              <w:color w:val="auto"/>
              <w:sz w:val="28"/>
              <w:szCs w:val="28"/>
            </w:rPr>
            <w:t>第四节</w:t>
          </w:r>
          <w:r>
            <w:rPr>
              <w:rFonts w:hint="eastAsia" w:eastAsia="方正楷体_GBK"/>
              <w:color w:val="auto"/>
              <w:sz w:val="28"/>
              <w:szCs w:val="28"/>
            </w:rPr>
            <w:t xml:space="preserve">  全面提升对外开放能级和水平</w:t>
          </w:r>
          <w:r>
            <w:rPr>
              <w:color w:val="auto"/>
              <w:sz w:val="28"/>
              <w:szCs w:val="28"/>
            </w:rPr>
            <w:tab/>
          </w:r>
          <w:r>
            <w:rPr>
              <w:color w:val="auto"/>
              <w:sz w:val="28"/>
              <w:szCs w:val="28"/>
            </w:rPr>
            <w:fldChar w:fldCharType="begin"/>
          </w:r>
          <w:r>
            <w:rPr>
              <w:color w:val="auto"/>
              <w:sz w:val="28"/>
              <w:szCs w:val="28"/>
            </w:rPr>
            <w:instrText xml:space="preserve"> PAGEREF _Toc185038584 \h </w:instrText>
          </w:r>
          <w:r>
            <w:rPr>
              <w:color w:val="auto"/>
              <w:sz w:val="28"/>
              <w:szCs w:val="28"/>
            </w:rPr>
            <w:fldChar w:fldCharType="separate"/>
          </w:r>
          <w:r>
            <w:rPr>
              <w:color w:val="auto"/>
              <w:sz w:val="28"/>
              <w:szCs w:val="28"/>
            </w:rPr>
            <w:t>53</w:t>
          </w:r>
          <w:r>
            <w:rPr>
              <w:color w:val="auto"/>
              <w:sz w:val="28"/>
              <w:szCs w:val="28"/>
            </w:rPr>
            <w:fldChar w:fldCharType="end"/>
          </w:r>
          <w:r>
            <w:rPr>
              <w:rFonts w:hint="eastAsia" w:eastAsia="方正小标宋_GBK"/>
              <w:color w:val="auto"/>
              <w:sz w:val="28"/>
              <w:szCs w:val="28"/>
            </w:rPr>
            <w:fldChar w:fldCharType="end"/>
          </w:r>
        </w:p>
        <w:p w14:paraId="5668E73B">
          <w:pPr>
            <w:pStyle w:val="20"/>
            <w:tabs>
              <w:tab w:val="right" w:leader="dot" w:pos="8306"/>
            </w:tabs>
            <w:spacing w:line="480" w:lineRule="exact"/>
            <w:ind w:firstLine="0" w:firstLineChars="0"/>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_Toc387160432 </w:instrText>
          </w:r>
          <w:r>
            <w:rPr>
              <w:rFonts w:hint="eastAsia" w:eastAsia="方正小标宋_GBK"/>
              <w:color w:val="auto"/>
              <w:sz w:val="28"/>
              <w:szCs w:val="28"/>
            </w:rPr>
            <w:fldChar w:fldCharType="separate"/>
          </w:r>
          <w:r>
            <w:rPr>
              <w:rFonts w:hint="eastAsia" w:ascii="Times New Roman" w:hAnsi="Times New Roman" w:eastAsia="方正黑体_GBK" w:cs="方正黑体_GBK"/>
              <w:color w:val="auto"/>
              <w:sz w:val="28"/>
              <w:szCs w:val="28"/>
            </w:rPr>
            <w:t>第八章 加快农业农村现代化步伐 扎实推动乡村全面振兴</w:t>
          </w:r>
          <w:r>
            <w:rPr>
              <w:color w:val="auto"/>
              <w:sz w:val="28"/>
              <w:szCs w:val="28"/>
            </w:rPr>
            <w:tab/>
          </w:r>
          <w:r>
            <w:rPr>
              <w:color w:val="auto"/>
              <w:sz w:val="28"/>
              <w:szCs w:val="28"/>
            </w:rPr>
            <w:fldChar w:fldCharType="begin"/>
          </w:r>
          <w:r>
            <w:rPr>
              <w:color w:val="auto"/>
              <w:sz w:val="28"/>
              <w:szCs w:val="28"/>
            </w:rPr>
            <w:instrText xml:space="preserve"> PAGEREF _Toc387160432 \h </w:instrText>
          </w:r>
          <w:r>
            <w:rPr>
              <w:color w:val="auto"/>
              <w:sz w:val="28"/>
              <w:szCs w:val="28"/>
            </w:rPr>
            <w:fldChar w:fldCharType="separate"/>
          </w:r>
          <w:r>
            <w:rPr>
              <w:color w:val="auto"/>
              <w:sz w:val="28"/>
              <w:szCs w:val="28"/>
            </w:rPr>
            <w:t>54</w:t>
          </w:r>
          <w:r>
            <w:rPr>
              <w:color w:val="auto"/>
              <w:sz w:val="28"/>
              <w:szCs w:val="28"/>
            </w:rPr>
            <w:fldChar w:fldCharType="end"/>
          </w:r>
          <w:r>
            <w:rPr>
              <w:rFonts w:hint="eastAsia" w:eastAsia="方正小标宋_GBK"/>
              <w:color w:val="auto"/>
              <w:sz w:val="28"/>
              <w:szCs w:val="28"/>
            </w:rPr>
            <w:fldChar w:fldCharType="end"/>
          </w:r>
        </w:p>
        <w:p w14:paraId="5438F8F8">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_Toc129930214 </w:instrText>
          </w:r>
          <w:r>
            <w:rPr>
              <w:rFonts w:hint="eastAsia" w:eastAsia="方正小标宋_GBK"/>
              <w:color w:val="auto"/>
              <w:sz w:val="28"/>
              <w:szCs w:val="28"/>
            </w:rPr>
            <w:fldChar w:fldCharType="separate"/>
          </w:r>
          <w:r>
            <w:rPr>
              <w:rFonts w:hint="eastAsia" w:eastAsia="楷体" w:cs="Times New Roman"/>
              <w:color w:val="auto"/>
              <w:sz w:val="28"/>
              <w:szCs w:val="28"/>
            </w:rPr>
            <w:t>第一节  增强粮食和重要农产品供给保障能力</w:t>
          </w:r>
          <w:r>
            <w:rPr>
              <w:color w:val="auto"/>
              <w:sz w:val="28"/>
              <w:szCs w:val="28"/>
            </w:rPr>
            <w:tab/>
          </w:r>
          <w:r>
            <w:rPr>
              <w:color w:val="auto"/>
              <w:sz w:val="28"/>
              <w:szCs w:val="28"/>
            </w:rPr>
            <w:fldChar w:fldCharType="begin"/>
          </w:r>
          <w:r>
            <w:rPr>
              <w:color w:val="auto"/>
              <w:sz w:val="28"/>
              <w:szCs w:val="28"/>
            </w:rPr>
            <w:instrText xml:space="preserve"> PAGEREF _Toc129930214 \h </w:instrText>
          </w:r>
          <w:r>
            <w:rPr>
              <w:color w:val="auto"/>
              <w:sz w:val="28"/>
              <w:szCs w:val="28"/>
            </w:rPr>
            <w:fldChar w:fldCharType="separate"/>
          </w:r>
          <w:r>
            <w:rPr>
              <w:color w:val="auto"/>
              <w:sz w:val="28"/>
              <w:szCs w:val="28"/>
            </w:rPr>
            <w:t>54</w:t>
          </w:r>
          <w:r>
            <w:rPr>
              <w:color w:val="auto"/>
              <w:sz w:val="28"/>
              <w:szCs w:val="28"/>
            </w:rPr>
            <w:fldChar w:fldCharType="end"/>
          </w:r>
          <w:r>
            <w:rPr>
              <w:rFonts w:hint="eastAsia" w:eastAsia="方正小标宋_GBK"/>
              <w:color w:val="auto"/>
              <w:sz w:val="28"/>
              <w:szCs w:val="28"/>
            </w:rPr>
            <w:fldChar w:fldCharType="end"/>
          </w:r>
        </w:p>
        <w:p w14:paraId="55C4A6D7">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_Toc1893721346 </w:instrText>
          </w:r>
          <w:r>
            <w:rPr>
              <w:rFonts w:hint="eastAsia" w:eastAsia="方正小标宋_GBK"/>
              <w:color w:val="auto"/>
              <w:sz w:val="28"/>
              <w:szCs w:val="28"/>
            </w:rPr>
            <w:fldChar w:fldCharType="separate"/>
          </w:r>
          <w:r>
            <w:rPr>
              <w:rFonts w:hint="eastAsia" w:eastAsia="楷体" w:cs="Times New Roman"/>
              <w:color w:val="auto"/>
              <w:sz w:val="28"/>
              <w:szCs w:val="28"/>
            </w:rPr>
            <w:t>第二节  大力发展特色优质农业</w:t>
          </w:r>
          <w:r>
            <w:rPr>
              <w:color w:val="auto"/>
              <w:sz w:val="28"/>
              <w:szCs w:val="28"/>
            </w:rPr>
            <w:tab/>
          </w:r>
          <w:r>
            <w:rPr>
              <w:color w:val="auto"/>
              <w:sz w:val="28"/>
              <w:szCs w:val="28"/>
            </w:rPr>
            <w:fldChar w:fldCharType="begin"/>
          </w:r>
          <w:r>
            <w:rPr>
              <w:color w:val="auto"/>
              <w:sz w:val="28"/>
              <w:szCs w:val="28"/>
            </w:rPr>
            <w:instrText xml:space="preserve"> PAGEREF _Toc1893721346 \h </w:instrText>
          </w:r>
          <w:r>
            <w:rPr>
              <w:color w:val="auto"/>
              <w:sz w:val="28"/>
              <w:szCs w:val="28"/>
            </w:rPr>
            <w:fldChar w:fldCharType="separate"/>
          </w:r>
          <w:r>
            <w:rPr>
              <w:color w:val="auto"/>
              <w:sz w:val="28"/>
              <w:szCs w:val="28"/>
            </w:rPr>
            <w:t>55</w:t>
          </w:r>
          <w:r>
            <w:rPr>
              <w:color w:val="auto"/>
              <w:sz w:val="28"/>
              <w:szCs w:val="28"/>
            </w:rPr>
            <w:fldChar w:fldCharType="end"/>
          </w:r>
          <w:r>
            <w:rPr>
              <w:rFonts w:hint="eastAsia" w:eastAsia="方正小标宋_GBK"/>
              <w:color w:val="auto"/>
              <w:sz w:val="28"/>
              <w:szCs w:val="28"/>
            </w:rPr>
            <w:fldChar w:fldCharType="end"/>
          </w:r>
        </w:p>
        <w:p w14:paraId="51CB058B">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_Toc2067013682 </w:instrText>
          </w:r>
          <w:r>
            <w:rPr>
              <w:rFonts w:hint="eastAsia" w:eastAsia="方正小标宋_GBK"/>
              <w:color w:val="auto"/>
              <w:sz w:val="28"/>
              <w:szCs w:val="28"/>
            </w:rPr>
            <w:fldChar w:fldCharType="separate"/>
          </w:r>
          <w:r>
            <w:rPr>
              <w:rFonts w:hint="eastAsia" w:eastAsia="楷体" w:cs="Times New Roman"/>
              <w:color w:val="auto"/>
              <w:sz w:val="28"/>
              <w:szCs w:val="28"/>
            </w:rPr>
            <w:t>第三节  加快建设宜居宜业和美乡村</w:t>
          </w:r>
          <w:r>
            <w:rPr>
              <w:color w:val="auto"/>
              <w:sz w:val="28"/>
              <w:szCs w:val="28"/>
            </w:rPr>
            <w:tab/>
          </w:r>
          <w:r>
            <w:rPr>
              <w:color w:val="auto"/>
              <w:sz w:val="28"/>
              <w:szCs w:val="28"/>
            </w:rPr>
            <w:fldChar w:fldCharType="begin"/>
          </w:r>
          <w:r>
            <w:rPr>
              <w:color w:val="auto"/>
              <w:sz w:val="28"/>
              <w:szCs w:val="28"/>
            </w:rPr>
            <w:instrText xml:space="preserve"> PAGEREF _Toc2067013682 \h </w:instrText>
          </w:r>
          <w:r>
            <w:rPr>
              <w:color w:val="auto"/>
              <w:sz w:val="28"/>
              <w:szCs w:val="28"/>
            </w:rPr>
            <w:fldChar w:fldCharType="separate"/>
          </w:r>
          <w:r>
            <w:rPr>
              <w:color w:val="auto"/>
              <w:sz w:val="28"/>
              <w:szCs w:val="28"/>
            </w:rPr>
            <w:t>56</w:t>
          </w:r>
          <w:r>
            <w:rPr>
              <w:color w:val="auto"/>
              <w:sz w:val="28"/>
              <w:szCs w:val="28"/>
            </w:rPr>
            <w:fldChar w:fldCharType="end"/>
          </w:r>
          <w:r>
            <w:rPr>
              <w:rFonts w:hint="eastAsia" w:eastAsia="方正小标宋_GBK"/>
              <w:color w:val="auto"/>
              <w:sz w:val="28"/>
              <w:szCs w:val="28"/>
            </w:rPr>
            <w:fldChar w:fldCharType="end"/>
          </w:r>
        </w:p>
        <w:p w14:paraId="475792DB">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_Toc455995855 </w:instrText>
          </w:r>
          <w:r>
            <w:rPr>
              <w:rFonts w:hint="eastAsia" w:eastAsia="方正小标宋_GBK"/>
              <w:color w:val="auto"/>
              <w:sz w:val="28"/>
              <w:szCs w:val="28"/>
            </w:rPr>
            <w:fldChar w:fldCharType="separate"/>
          </w:r>
          <w:r>
            <w:rPr>
              <w:rFonts w:hint="eastAsia" w:eastAsia="楷体" w:cs="Times New Roman"/>
              <w:color w:val="auto"/>
              <w:sz w:val="28"/>
              <w:szCs w:val="28"/>
            </w:rPr>
            <w:t>第四节  全面落实强农惠农富农政策举措</w:t>
          </w:r>
          <w:r>
            <w:rPr>
              <w:color w:val="auto"/>
              <w:sz w:val="28"/>
              <w:szCs w:val="28"/>
            </w:rPr>
            <w:tab/>
          </w:r>
          <w:r>
            <w:rPr>
              <w:color w:val="auto"/>
              <w:sz w:val="28"/>
              <w:szCs w:val="28"/>
            </w:rPr>
            <w:fldChar w:fldCharType="begin"/>
          </w:r>
          <w:r>
            <w:rPr>
              <w:color w:val="auto"/>
              <w:sz w:val="28"/>
              <w:szCs w:val="28"/>
            </w:rPr>
            <w:instrText xml:space="preserve"> PAGEREF _Toc455995855 \h </w:instrText>
          </w:r>
          <w:r>
            <w:rPr>
              <w:color w:val="auto"/>
              <w:sz w:val="28"/>
              <w:szCs w:val="28"/>
            </w:rPr>
            <w:fldChar w:fldCharType="separate"/>
          </w:r>
          <w:r>
            <w:rPr>
              <w:color w:val="auto"/>
              <w:sz w:val="28"/>
              <w:szCs w:val="28"/>
            </w:rPr>
            <w:t>57</w:t>
          </w:r>
          <w:r>
            <w:rPr>
              <w:color w:val="auto"/>
              <w:sz w:val="28"/>
              <w:szCs w:val="28"/>
            </w:rPr>
            <w:fldChar w:fldCharType="end"/>
          </w:r>
          <w:r>
            <w:rPr>
              <w:rFonts w:hint="eastAsia" w:eastAsia="方正小标宋_GBK"/>
              <w:color w:val="auto"/>
              <w:sz w:val="28"/>
              <w:szCs w:val="28"/>
            </w:rPr>
            <w:fldChar w:fldCharType="end"/>
          </w:r>
        </w:p>
        <w:p w14:paraId="393F262A">
          <w:pPr>
            <w:pStyle w:val="20"/>
            <w:tabs>
              <w:tab w:val="right" w:leader="dot" w:pos="8306"/>
            </w:tabs>
            <w:spacing w:line="480" w:lineRule="exact"/>
            <w:ind w:firstLine="0" w:firstLineChars="0"/>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_Toc1700682489 </w:instrText>
          </w:r>
          <w:r>
            <w:rPr>
              <w:rFonts w:hint="eastAsia" w:eastAsia="方正小标宋_GBK"/>
              <w:color w:val="auto"/>
              <w:sz w:val="28"/>
              <w:szCs w:val="28"/>
            </w:rPr>
            <w:fldChar w:fldCharType="separate"/>
          </w:r>
          <w:r>
            <w:rPr>
              <w:rFonts w:hint="eastAsia" w:ascii="Times New Roman" w:hAnsi="Times New Roman" w:eastAsia="方正黑体_GBK" w:cs="方正黑体_GBK"/>
              <w:color w:val="auto"/>
              <w:sz w:val="28"/>
              <w:szCs w:val="28"/>
            </w:rPr>
            <w:t>第九章 统筹城乡融合发展 建设宜居韧性智慧品质城区</w:t>
          </w:r>
          <w:r>
            <w:rPr>
              <w:color w:val="auto"/>
              <w:sz w:val="28"/>
              <w:szCs w:val="28"/>
            </w:rPr>
            <w:tab/>
          </w:r>
          <w:r>
            <w:rPr>
              <w:color w:val="auto"/>
              <w:sz w:val="28"/>
              <w:szCs w:val="28"/>
            </w:rPr>
            <w:fldChar w:fldCharType="begin"/>
          </w:r>
          <w:r>
            <w:rPr>
              <w:color w:val="auto"/>
              <w:sz w:val="28"/>
              <w:szCs w:val="28"/>
            </w:rPr>
            <w:instrText xml:space="preserve"> PAGEREF _Toc1700682489 \h </w:instrText>
          </w:r>
          <w:r>
            <w:rPr>
              <w:color w:val="auto"/>
              <w:sz w:val="28"/>
              <w:szCs w:val="28"/>
            </w:rPr>
            <w:fldChar w:fldCharType="separate"/>
          </w:r>
          <w:r>
            <w:rPr>
              <w:color w:val="auto"/>
              <w:sz w:val="28"/>
              <w:szCs w:val="28"/>
            </w:rPr>
            <w:t>60</w:t>
          </w:r>
          <w:r>
            <w:rPr>
              <w:color w:val="auto"/>
              <w:sz w:val="28"/>
              <w:szCs w:val="28"/>
            </w:rPr>
            <w:fldChar w:fldCharType="end"/>
          </w:r>
          <w:r>
            <w:rPr>
              <w:rFonts w:hint="eastAsia" w:eastAsia="方正小标宋_GBK"/>
              <w:color w:val="auto"/>
              <w:sz w:val="28"/>
              <w:szCs w:val="28"/>
            </w:rPr>
            <w:fldChar w:fldCharType="end"/>
          </w:r>
        </w:p>
        <w:p w14:paraId="2A7F8F76">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_Toc363251053 </w:instrText>
          </w:r>
          <w:r>
            <w:rPr>
              <w:rFonts w:hint="eastAsia" w:eastAsia="方正小标宋_GBK"/>
              <w:color w:val="auto"/>
              <w:sz w:val="28"/>
              <w:szCs w:val="28"/>
            </w:rPr>
            <w:fldChar w:fldCharType="separate"/>
          </w:r>
          <w:r>
            <w:rPr>
              <w:rFonts w:hint="eastAsia" w:eastAsia="楷体"/>
              <w:color w:val="auto"/>
              <w:sz w:val="28"/>
              <w:szCs w:val="28"/>
            </w:rPr>
            <w:t>第一节  优化现代化城市功能体系</w:t>
          </w:r>
          <w:r>
            <w:rPr>
              <w:color w:val="auto"/>
              <w:sz w:val="28"/>
              <w:szCs w:val="28"/>
            </w:rPr>
            <w:tab/>
          </w:r>
          <w:r>
            <w:rPr>
              <w:color w:val="auto"/>
              <w:sz w:val="28"/>
              <w:szCs w:val="28"/>
            </w:rPr>
            <w:fldChar w:fldCharType="begin"/>
          </w:r>
          <w:r>
            <w:rPr>
              <w:color w:val="auto"/>
              <w:sz w:val="28"/>
              <w:szCs w:val="28"/>
            </w:rPr>
            <w:instrText xml:space="preserve"> PAGEREF _Toc363251053 \h </w:instrText>
          </w:r>
          <w:r>
            <w:rPr>
              <w:color w:val="auto"/>
              <w:sz w:val="28"/>
              <w:szCs w:val="28"/>
            </w:rPr>
            <w:fldChar w:fldCharType="separate"/>
          </w:r>
          <w:r>
            <w:rPr>
              <w:color w:val="auto"/>
              <w:sz w:val="28"/>
              <w:szCs w:val="28"/>
            </w:rPr>
            <w:t>60</w:t>
          </w:r>
          <w:r>
            <w:rPr>
              <w:color w:val="auto"/>
              <w:sz w:val="28"/>
              <w:szCs w:val="28"/>
            </w:rPr>
            <w:fldChar w:fldCharType="end"/>
          </w:r>
          <w:r>
            <w:rPr>
              <w:rFonts w:hint="eastAsia" w:eastAsia="方正小标宋_GBK"/>
              <w:color w:val="auto"/>
              <w:sz w:val="28"/>
              <w:szCs w:val="28"/>
            </w:rPr>
            <w:fldChar w:fldCharType="end"/>
          </w:r>
        </w:p>
        <w:p w14:paraId="10AFBF5C">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_Toc2011922997 </w:instrText>
          </w:r>
          <w:r>
            <w:rPr>
              <w:rFonts w:hint="eastAsia" w:eastAsia="方正小标宋_GBK"/>
              <w:color w:val="auto"/>
              <w:sz w:val="28"/>
              <w:szCs w:val="28"/>
            </w:rPr>
            <w:fldChar w:fldCharType="separate"/>
          </w:r>
          <w:r>
            <w:rPr>
              <w:rFonts w:hint="eastAsia" w:eastAsia="楷体"/>
              <w:color w:val="auto"/>
              <w:sz w:val="28"/>
              <w:szCs w:val="28"/>
            </w:rPr>
            <w:t>第二节  高标准推进城市更新</w:t>
          </w:r>
          <w:r>
            <w:rPr>
              <w:color w:val="auto"/>
              <w:sz w:val="28"/>
              <w:szCs w:val="28"/>
            </w:rPr>
            <w:tab/>
          </w:r>
          <w:r>
            <w:rPr>
              <w:color w:val="auto"/>
              <w:sz w:val="28"/>
              <w:szCs w:val="28"/>
            </w:rPr>
            <w:fldChar w:fldCharType="begin"/>
          </w:r>
          <w:r>
            <w:rPr>
              <w:color w:val="auto"/>
              <w:sz w:val="28"/>
              <w:szCs w:val="28"/>
            </w:rPr>
            <w:instrText xml:space="preserve"> PAGEREF _Toc2011922997 \h </w:instrText>
          </w:r>
          <w:r>
            <w:rPr>
              <w:color w:val="auto"/>
              <w:sz w:val="28"/>
              <w:szCs w:val="28"/>
            </w:rPr>
            <w:fldChar w:fldCharType="separate"/>
          </w:r>
          <w:r>
            <w:rPr>
              <w:color w:val="auto"/>
              <w:sz w:val="28"/>
              <w:szCs w:val="28"/>
            </w:rPr>
            <w:t>61</w:t>
          </w:r>
          <w:r>
            <w:rPr>
              <w:color w:val="auto"/>
              <w:sz w:val="28"/>
              <w:szCs w:val="28"/>
            </w:rPr>
            <w:fldChar w:fldCharType="end"/>
          </w:r>
          <w:r>
            <w:rPr>
              <w:rFonts w:hint="eastAsia" w:eastAsia="方正小标宋_GBK"/>
              <w:color w:val="auto"/>
              <w:sz w:val="28"/>
              <w:szCs w:val="28"/>
            </w:rPr>
            <w:fldChar w:fldCharType="end"/>
          </w:r>
        </w:p>
        <w:p w14:paraId="5FB99EE3">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_Toc112304917 </w:instrText>
          </w:r>
          <w:r>
            <w:rPr>
              <w:rFonts w:hint="eastAsia" w:eastAsia="方正小标宋_GBK"/>
              <w:color w:val="auto"/>
              <w:sz w:val="28"/>
              <w:szCs w:val="28"/>
            </w:rPr>
            <w:fldChar w:fldCharType="separate"/>
          </w:r>
          <w:r>
            <w:rPr>
              <w:rFonts w:hint="eastAsia" w:eastAsia="楷体"/>
              <w:color w:val="auto"/>
              <w:sz w:val="28"/>
              <w:szCs w:val="28"/>
            </w:rPr>
            <w:t>第三节  全面提升城市宜居程度</w:t>
          </w:r>
          <w:r>
            <w:rPr>
              <w:color w:val="auto"/>
              <w:sz w:val="28"/>
              <w:szCs w:val="28"/>
            </w:rPr>
            <w:tab/>
          </w:r>
          <w:r>
            <w:rPr>
              <w:color w:val="auto"/>
              <w:sz w:val="28"/>
              <w:szCs w:val="28"/>
            </w:rPr>
            <w:fldChar w:fldCharType="begin"/>
          </w:r>
          <w:r>
            <w:rPr>
              <w:color w:val="auto"/>
              <w:sz w:val="28"/>
              <w:szCs w:val="28"/>
            </w:rPr>
            <w:instrText xml:space="preserve"> PAGEREF _Toc112304917 \h </w:instrText>
          </w:r>
          <w:r>
            <w:rPr>
              <w:color w:val="auto"/>
              <w:sz w:val="28"/>
              <w:szCs w:val="28"/>
            </w:rPr>
            <w:fldChar w:fldCharType="separate"/>
          </w:r>
          <w:r>
            <w:rPr>
              <w:color w:val="auto"/>
              <w:sz w:val="28"/>
              <w:szCs w:val="28"/>
            </w:rPr>
            <w:t>62</w:t>
          </w:r>
          <w:r>
            <w:rPr>
              <w:color w:val="auto"/>
              <w:sz w:val="28"/>
              <w:szCs w:val="28"/>
            </w:rPr>
            <w:fldChar w:fldCharType="end"/>
          </w:r>
          <w:r>
            <w:rPr>
              <w:rFonts w:hint="eastAsia" w:eastAsia="方正小标宋_GBK"/>
              <w:color w:val="auto"/>
              <w:sz w:val="28"/>
              <w:szCs w:val="28"/>
            </w:rPr>
            <w:fldChar w:fldCharType="end"/>
          </w:r>
        </w:p>
        <w:p w14:paraId="6F48F956">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_Toc2018097953 </w:instrText>
          </w:r>
          <w:r>
            <w:rPr>
              <w:rFonts w:hint="eastAsia" w:eastAsia="方正小标宋_GBK"/>
              <w:color w:val="auto"/>
              <w:sz w:val="28"/>
              <w:szCs w:val="28"/>
            </w:rPr>
            <w:fldChar w:fldCharType="separate"/>
          </w:r>
          <w:r>
            <w:rPr>
              <w:rFonts w:hint="eastAsia" w:eastAsia="楷体"/>
              <w:color w:val="auto"/>
              <w:sz w:val="28"/>
              <w:szCs w:val="28"/>
            </w:rPr>
            <w:t>第四节  加快推动城乡融合发展</w:t>
          </w:r>
          <w:r>
            <w:rPr>
              <w:color w:val="auto"/>
              <w:sz w:val="28"/>
              <w:szCs w:val="28"/>
            </w:rPr>
            <w:tab/>
          </w:r>
          <w:r>
            <w:rPr>
              <w:color w:val="auto"/>
              <w:sz w:val="28"/>
              <w:szCs w:val="28"/>
            </w:rPr>
            <w:fldChar w:fldCharType="begin"/>
          </w:r>
          <w:r>
            <w:rPr>
              <w:color w:val="auto"/>
              <w:sz w:val="28"/>
              <w:szCs w:val="28"/>
            </w:rPr>
            <w:instrText xml:space="preserve"> PAGEREF _Toc2018097953 \h </w:instrText>
          </w:r>
          <w:r>
            <w:rPr>
              <w:color w:val="auto"/>
              <w:sz w:val="28"/>
              <w:szCs w:val="28"/>
            </w:rPr>
            <w:fldChar w:fldCharType="separate"/>
          </w:r>
          <w:r>
            <w:rPr>
              <w:color w:val="auto"/>
              <w:sz w:val="28"/>
              <w:szCs w:val="28"/>
            </w:rPr>
            <w:t>63</w:t>
          </w:r>
          <w:r>
            <w:rPr>
              <w:color w:val="auto"/>
              <w:sz w:val="28"/>
              <w:szCs w:val="28"/>
            </w:rPr>
            <w:fldChar w:fldCharType="end"/>
          </w:r>
          <w:r>
            <w:rPr>
              <w:rFonts w:hint="eastAsia" w:eastAsia="方正小标宋_GBK"/>
              <w:color w:val="auto"/>
              <w:sz w:val="28"/>
              <w:szCs w:val="28"/>
            </w:rPr>
            <w:fldChar w:fldCharType="end"/>
          </w:r>
        </w:p>
        <w:p w14:paraId="2925C983">
          <w:pPr>
            <w:pStyle w:val="20"/>
            <w:tabs>
              <w:tab w:val="right" w:leader="dot" w:pos="8306"/>
            </w:tabs>
            <w:spacing w:line="480" w:lineRule="exact"/>
            <w:ind w:firstLine="0" w:firstLineChars="0"/>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_Toc815575353 </w:instrText>
          </w:r>
          <w:r>
            <w:rPr>
              <w:rFonts w:hint="eastAsia" w:eastAsia="方正小标宋_GBK"/>
              <w:color w:val="auto"/>
              <w:sz w:val="28"/>
              <w:szCs w:val="28"/>
            </w:rPr>
            <w:fldChar w:fldCharType="separate"/>
          </w:r>
          <w:r>
            <w:rPr>
              <w:rFonts w:hint="eastAsia" w:ascii="Times New Roman" w:hAnsi="Times New Roman" w:eastAsia="方正黑体_GBK" w:cs="方正黑体_GBK"/>
              <w:color w:val="auto"/>
              <w:sz w:val="28"/>
              <w:szCs w:val="28"/>
            </w:rPr>
            <w:t>第十章 推进基础设施建设 增强发展支撑保障能力</w:t>
          </w:r>
          <w:r>
            <w:rPr>
              <w:color w:val="auto"/>
              <w:sz w:val="28"/>
              <w:szCs w:val="28"/>
            </w:rPr>
            <w:tab/>
          </w:r>
          <w:r>
            <w:rPr>
              <w:color w:val="auto"/>
              <w:sz w:val="28"/>
              <w:szCs w:val="28"/>
            </w:rPr>
            <w:fldChar w:fldCharType="begin"/>
          </w:r>
          <w:r>
            <w:rPr>
              <w:color w:val="auto"/>
              <w:sz w:val="28"/>
              <w:szCs w:val="28"/>
            </w:rPr>
            <w:instrText xml:space="preserve"> PAGEREF _Toc815575353 \h </w:instrText>
          </w:r>
          <w:r>
            <w:rPr>
              <w:color w:val="auto"/>
              <w:sz w:val="28"/>
              <w:szCs w:val="28"/>
            </w:rPr>
            <w:fldChar w:fldCharType="separate"/>
          </w:r>
          <w:r>
            <w:rPr>
              <w:color w:val="auto"/>
              <w:sz w:val="28"/>
              <w:szCs w:val="28"/>
            </w:rPr>
            <w:t>65</w:t>
          </w:r>
          <w:r>
            <w:rPr>
              <w:color w:val="auto"/>
              <w:sz w:val="28"/>
              <w:szCs w:val="28"/>
            </w:rPr>
            <w:fldChar w:fldCharType="end"/>
          </w:r>
          <w:r>
            <w:rPr>
              <w:rFonts w:hint="eastAsia" w:eastAsia="方正小标宋_GBK"/>
              <w:color w:val="auto"/>
              <w:sz w:val="28"/>
              <w:szCs w:val="28"/>
            </w:rPr>
            <w:fldChar w:fldCharType="end"/>
          </w:r>
        </w:p>
        <w:p w14:paraId="7463AD82">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_Toc2134322717 </w:instrText>
          </w:r>
          <w:r>
            <w:rPr>
              <w:rFonts w:hint="eastAsia" w:eastAsia="方正小标宋_GBK"/>
              <w:color w:val="auto"/>
              <w:sz w:val="28"/>
              <w:szCs w:val="28"/>
            </w:rPr>
            <w:fldChar w:fldCharType="separate"/>
          </w:r>
          <w:r>
            <w:rPr>
              <w:rFonts w:hint="eastAsia" w:eastAsia="方正楷体_GBK"/>
              <w:color w:val="auto"/>
              <w:sz w:val="28"/>
              <w:szCs w:val="28"/>
            </w:rPr>
            <w:t>第一节  建设高效便捷综合交通网</w:t>
          </w:r>
          <w:r>
            <w:rPr>
              <w:color w:val="auto"/>
              <w:sz w:val="28"/>
              <w:szCs w:val="28"/>
            </w:rPr>
            <w:tab/>
          </w:r>
          <w:r>
            <w:rPr>
              <w:color w:val="auto"/>
              <w:sz w:val="28"/>
              <w:szCs w:val="28"/>
            </w:rPr>
            <w:fldChar w:fldCharType="begin"/>
          </w:r>
          <w:r>
            <w:rPr>
              <w:color w:val="auto"/>
              <w:sz w:val="28"/>
              <w:szCs w:val="28"/>
            </w:rPr>
            <w:instrText xml:space="preserve"> PAGEREF _Toc2134322717 \h </w:instrText>
          </w:r>
          <w:r>
            <w:rPr>
              <w:color w:val="auto"/>
              <w:sz w:val="28"/>
              <w:szCs w:val="28"/>
            </w:rPr>
            <w:fldChar w:fldCharType="separate"/>
          </w:r>
          <w:r>
            <w:rPr>
              <w:color w:val="auto"/>
              <w:sz w:val="28"/>
              <w:szCs w:val="28"/>
            </w:rPr>
            <w:t>65</w:t>
          </w:r>
          <w:r>
            <w:rPr>
              <w:color w:val="auto"/>
              <w:sz w:val="28"/>
              <w:szCs w:val="28"/>
            </w:rPr>
            <w:fldChar w:fldCharType="end"/>
          </w:r>
          <w:r>
            <w:rPr>
              <w:rFonts w:hint="eastAsia" w:eastAsia="方正小标宋_GBK"/>
              <w:color w:val="auto"/>
              <w:sz w:val="28"/>
              <w:szCs w:val="28"/>
            </w:rPr>
            <w:fldChar w:fldCharType="end"/>
          </w:r>
        </w:p>
        <w:p w14:paraId="0A03DDBD">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_Toc2142548778 </w:instrText>
          </w:r>
          <w:r>
            <w:rPr>
              <w:rFonts w:hint="eastAsia" w:eastAsia="方正小标宋_GBK"/>
              <w:color w:val="auto"/>
              <w:sz w:val="28"/>
              <w:szCs w:val="28"/>
            </w:rPr>
            <w:fldChar w:fldCharType="separate"/>
          </w:r>
          <w:r>
            <w:rPr>
              <w:rFonts w:hint="eastAsia" w:eastAsia="方正楷体_GBK"/>
              <w:color w:val="auto"/>
              <w:sz w:val="28"/>
              <w:szCs w:val="28"/>
            </w:rPr>
            <w:t>第二节  构建清洁低碳现代能源网</w:t>
          </w:r>
          <w:r>
            <w:rPr>
              <w:color w:val="auto"/>
              <w:sz w:val="28"/>
              <w:szCs w:val="28"/>
            </w:rPr>
            <w:tab/>
          </w:r>
          <w:r>
            <w:rPr>
              <w:color w:val="auto"/>
              <w:sz w:val="28"/>
              <w:szCs w:val="28"/>
            </w:rPr>
            <w:fldChar w:fldCharType="begin"/>
          </w:r>
          <w:r>
            <w:rPr>
              <w:color w:val="auto"/>
              <w:sz w:val="28"/>
              <w:szCs w:val="28"/>
            </w:rPr>
            <w:instrText xml:space="preserve"> PAGEREF _Toc2142548778 \h </w:instrText>
          </w:r>
          <w:r>
            <w:rPr>
              <w:color w:val="auto"/>
              <w:sz w:val="28"/>
              <w:szCs w:val="28"/>
            </w:rPr>
            <w:fldChar w:fldCharType="separate"/>
          </w:r>
          <w:r>
            <w:rPr>
              <w:color w:val="auto"/>
              <w:sz w:val="28"/>
              <w:szCs w:val="28"/>
            </w:rPr>
            <w:t>66</w:t>
          </w:r>
          <w:r>
            <w:rPr>
              <w:color w:val="auto"/>
              <w:sz w:val="28"/>
              <w:szCs w:val="28"/>
            </w:rPr>
            <w:fldChar w:fldCharType="end"/>
          </w:r>
          <w:r>
            <w:rPr>
              <w:rFonts w:hint="eastAsia" w:eastAsia="方正小标宋_GBK"/>
              <w:color w:val="auto"/>
              <w:sz w:val="28"/>
              <w:szCs w:val="28"/>
            </w:rPr>
            <w:fldChar w:fldCharType="end"/>
          </w:r>
        </w:p>
        <w:p w14:paraId="24953206">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_Toc811518950 </w:instrText>
          </w:r>
          <w:r>
            <w:rPr>
              <w:rFonts w:hint="eastAsia" w:eastAsia="方正小标宋_GBK"/>
              <w:color w:val="auto"/>
              <w:sz w:val="28"/>
              <w:szCs w:val="28"/>
            </w:rPr>
            <w:fldChar w:fldCharType="separate"/>
          </w:r>
          <w:r>
            <w:rPr>
              <w:rFonts w:hint="eastAsia" w:eastAsia="方正楷体_GBK"/>
              <w:color w:val="auto"/>
              <w:sz w:val="28"/>
              <w:szCs w:val="28"/>
            </w:rPr>
            <w:t>第三节  完善安全韧性现代水网</w:t>
          </w:r>
          <w:r>
            <w:rPr>
              <w:color w:val="auto"/>
              <w:sz w:val="28"/>
              <w:szCs w:val="28"/>
            </w:rPr>
            <w:tab/>
          </w:r>
          <w:r>
            <w:rPr>
              <w:color w:val="auto"/>
              <w:sz w:val="28"/>
              <w:szCs w:val="28"/>
            </w:rPr>
            <w:fldChar w:fldCharType="begin"/>
          </w:r>
          <w:r>
            <w:rPr>
              <w:color w:val="auto"/>
              <w:sz w:val="28"/>
              <w:szCs w:val="28"/>
            </w:rPr>
            <w:instrText xml:space="preserve"> PAGEREF _Toc811518950 \h </w:instrText>
          </w:r>
          <w:r>
            <w:rPr>
              <w:color w:val="auto"/>
              <w:sz w:val="28"/>
              <w:szCs w:val="28"/>
            </w:rPr>
            <w:fldChar w:fldCharType="separate"/>
          </w:r>
          <w:r>
            <w:rPr>
              <w:color w:val="auto"/>
              <w:sz w:val="28"/>
              <w:szCs w:val="28"/>
            </w:rPr>
            <w:t>67</w:t>
          </w:r>
          <w:r>
            <w:rPr>
              <w:color w:val="auto"/>
              <w:sz w:val="28"/>
              <w:szCs w:val="28"/>
            </w:rPr>
            <w:fldChar w:fldCharType="end"/>
          </w:r>
          <w:r>
            <w:rPr>
              <w:rFonts w:hint="eastAsia" w:eastAsia="方正小标宋_GBK"/>
              <w:color w:val="auto"/>
              <w:sz w:val="28"/>
              <w:szCs w:val="28"/>
            </w:rPr>
            <w:fldChar w:fldCharType="end"/>
          </w:r>
        </w:p>
        <w:p w14:paraId="4112C97E">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_Toc530350553 </w:instrText>
          </w:r>
          <w:r>
            <w:rPr>
              <w:rFonts w:hint="eastAsia" w:eastAsia="方正小标宋_GBK"/>
              <w:color w:val="auto"/>
              <w:sz w:val="28"/>
              <w:szCs w:val="28"/>
            </w:rPr>
            <w:fldChar w:fldCharType="separate"/>
          </w:r>
          <w:r>
            <w:rPr>
              <w:rFonts w:hint="eastAsia" w:eastAsia="方正楷体_GBK"/>
              <w:color w:val="auto"/>
              <w:sz w:val="28"/>
              <w:szCs w:val="28"/>
            </w:rPr>
            <w:t>第四节</w:t>
          </w:r>
          <w:r>
            <w:rPr>
              <w:rFonts w:eastAsia="方正楷体_GBK"/>
              <w:color w:val="auto"/>
              <w:sz w:val="28"/>
              <w:szCs w:val="28"/>
            </w:rPr>
            <w:t xml:space="preserve">  布局</w:t>
          </w:r>
          <w:r>
            <w:rPr>
              <w:rFonts w:hint="eastAsia" w:eastAsia="方正楷体_GBK"/>
              <w:color w:val="auto"/>
              <w:sz w:val="28"/>
              <w:szCs w:val="28"/>
            </w:rPr>
            <w:t>智能互联</w:t>
          </w:r>
          <w:r>
            <w:rPr>
              <w:rFonts w:eastAsia="方正楷体_GBK"/>
              <w:color w:val="auto"/>
              <w:sz w:val="28"/>
              <w:szCs w:val="28"/>
            </w:rPr>
            <w:t>新型基础设施</w:t>
          </w:r>
          <w:r>
            <w:rPr>
              <w:color w:val="auto"/>
              <w:sz w:val="28"/>
              <w:szCs w:val="28"/>
            </w:rPr>
            <w:tab/>
          </w:r>
          <w:r>
            <w:rPr>
              <w:color w:val="auto"/>
              <w:sz w:val="28"/>
              <w:szCs w:val="28"/>
            </w:rPr>
            <w:fldChar w:fldCharType="begin"/>
          </w:r>
          <w:r>
            <w:rPr>
              <w:color w:val="auto"/>
              <w:sz w:val="28"/>
              <w:szCs w:val="28"/>
            </w:rPr>
            <w:instrText xml:space="preserve"> PAGEREF _Toc530350553 \h </w:instrText>
          </w:r>
          <w:r>
            <w:rPr>
              <w:color w:val="auto"/>
              <w:sz w:val="28"/>
              <w:szCs w:val="28"/>
            </w:rPr>
            <w:fldChar w:fldCharType="separate"/>
          </w:r>
          <w:r>
            <w:rPr>
              <w:color w:val="auto"/>
              <w:sz w:val="28"/>
              <w:szCs w:val="28"/>
            </w:rPr>
            <w:t>68</w:t>
          </w:r>
          <w:r>
            <w:rPr>
              <w:color w:val="auto"/>
              <w:sz w:val="28"/>
              <w:szCs w:val="28"/>
            </w:rPr>
            <w:fldChar w:fldCharType="end"/>
          </w:r>
          <w:r>
            <w:rPr>
              <w:rFonts w:hint="eastAsia" w:eastAsia="方正小标宋_GBK"/>
              <w:color w:val="auto"/>
              <w:sz w:val="28"/>
              <w:szCs w:val="28"/>
            </w:rPr>
            <w:fldChar w:fldCharType="end"/>
          </w:r>
        </w:p>
        <w:p w14:paraId="1ED5105D">
          <w:pPr>
            <w:pStyle w:val="20"/>
            <w:tabs>
              <w:tab w:val="right" w:leader="dot" w:pos="8306"/>
            </w:tabs>
            <w:spacing w:line="480" w:lineRule="exact"/>
            <w:ind w:firstLine="0" w:firstLineChars="0"/>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_Toc1544609221 </w:instrText>
          </w:r>
          <w:r>
            <w:rPr>
              <w:rFonts w:hint="eastAsia" w:eastAsia="方正小标宋_GBK"/>
              <w:color w:val="auto"/>
              <w:sz w:val="28"/>
              <w:szCs w:val="28"/>
            </w:rPr>
            <w:fldChar w:fldCharType="separate"/>
          </w:r>
          <w:r>
            <w:rPr>
              <w:rFonts w:hint="eastAsia" w:ascii="Times New Roman" w:hAnsi="Times New Roman" w:eastAsia="方正黑体_GBK" w:cs="方正黑体_GBK"/>
              <w:color w:val="auto"/>
              <w:sz w:val="28"/>
              <w:szCs w:val="28"/>
            </w:rPr>
            <w:t>第十一章 做强开发区主阵地 打造转型发展增长极</w:t>
          </w:r>
          <w:r>
            <w:rPr>
              <w:color w:val="auto"/>
              <w:sz w:val="28"/>
              <w:szCs w:val="28"/>
            </w:rPr>
            <w:tab/>
          </w:r>
          <w:r>
            <w:rPr>
              <w:color w:val="auto"/>
              <w:sz w:val="28"/>
              <w:szCs w:val="28"/>
            </w:rPr>
            <w:fldChar w:fldCharType="begin"/>
          </w:r>
          <w:r>
            <w:rPr>
              <w:color w:val="auto"/>
              <w:sz w:val="28"/>
              <w:szCs w:val="28"/>
            </w:rPr>
            <w:instrText xml:space="preserve"> PAGEREF _Toc1544609221 \h </w:instrText>
          </w:r>
          <w:r>
            <w:rPr>
              <w:color w:val="auto"/>
              <w:sz w:val="28"/>
              <w:szCs w:val="28"/>
            </w:rPr>
            <w:fldChar w:fldCharType="separate"/>
          </w:r>
          <w:r>
            <w:rPr>
              <w:color w:val="auto"/>
              <w:sz w:val="28"/>
              <w:szCs w:val="28"/>
            </w:rPr>
            <w:t>71</w:t>
          </w:r>
          <w:r>
            <w:rPr>
              <w:color w:val="auto"/>
              <w:sz w:val="28"/>
              <w:szCs w:val="28"/>
            </w:rPr>
            <w:fldChar w:fldCharType="end"/>
          </w:r>
          <w:r>
            <w:rPr>
              <w:rFonts w:hint="eastAsia" w:eastAsia="方正小标宋_GBK"/>
              <w:color w:val="auto"/>
              <w:sz w:val="28"/>
              <w:szCs w:val="28"/>
            </w:rPr>
            <w:fldChar w:fldCharType="end"/>
          </w:r>
        </w:p>
        <w:p w14:paraId="5C98B2A0">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_Toc1464852411 </w:instrText>
          </w:r>
          <w:r>
            <w:rPr>
              <w:rFonts w:hint="eastAsia" w:eastAsia="方正小标宋_GBK"/>
              <w:color w:val="auto"/>
              <w:sz w:val="28"/>
              <w:szCs w:val="28"/>
            </w:rPr>
            <w:fldChar w:fldCharType="separate"/>
          </w:r>
          <w:r>
            <w:rPr>
              <w:rFonts w:hint="eastAsia" w:eastAsia="楷体" w:cs="Times New Roman"/>
              <w:color w:val="auto"/>
              <w:sz w:val="28"/>
              <w:szCs w:val="28"/>
            </w:rPr>
            <w:t>第一节  持续增强四园发展能级</w:t>
          </w:r>
          <w:r>
            <w:rPr>
              <w:color w:val="auto"/>
              <w:sz w:val="28"/>
              <w:szCs w:val="28"/>
            </w:rPr>
            <w:tab/>
          </w:r>
          <w:r>
            <w:rPr>
              <w:color w:val="auto"/>
              <w:sz w:val="28"/>
              <w:szCs w:val="28"/>
            </w:rPr>
            <w:fldChar w:fldCharType="begin"/>
          </w:r>
          <w:r>
            <w:rPr>
              <w:color w:val="auto"/>
              <w:sz w:val="28"/>
              <w:szCs w:val="28"/>
            </w:rPr>
            <w:instrText xml:space="preserve"> PAGEREF _Toc1464852411 \h </w:instrText>
          </w:r>
          <w:r>
            <w:rPr>
              <w:color w:val="auto"/>
              <w:sz w:val="28"/>
              <w:szCs w:val="28"/>
            </w:rPr>
            <w:fldChar w:fldCharType="separate"/>
          </w:r>
          <w:r>
            <w:rPr>
              <w:color w:val="auto"/>
              <w:sz w:val="28"/>
              <w:szCs w:val="28"/>
            </w:rPr>
            <w:t>71</w:t>
          </w:r>
          <w:r>
            <w:rPr>
              <w:color w:val="auto"/>
              <w:sz w:val="28"/>
              <w:szCs w:val="28"/>
            </w:rPr>
            <w:fldChar w:fldCharType="end"/>
          </w:r>
          <w:r>
            <w:rPr>
              <w:rFonts w:hint="eastAsia" w:eastAsia="方正小标宋_GBK"/>
              <w:color w:val="auto"/>
              <w:sz w:val="28"/>
              <w:szCs w:val="28"/>
            </w:rPr>
            <w:fldChar w:fldCharType="end"/>
          </w:r>
        </w:p>
        <w:p w14:paraId="2FBD5B3D">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_Toc1021942469 </w:instrText>
          </w:r>
          <w:r>
            <w:rPr>
              <w:rFonts w:hint="eastAsia" w:eastAsia="方正小标宋_GBK"/>
              <w:color w:val="auto"/>
              <w:sz w:val="28"/>
              <w:szCs w:val="28"/>
            </w:rPr>
            <w:fldChar w:fldCharType="separate"/>
          </w:r>
          <w:r>
            <w:rPr>
              <w:rFonts w:hint="eastAsia" w:eastAsia="楷体"/>
              <w:color w:val="auto"/>
              <w:sz w:val="28"/>
              <w:szCs w:val="28"/>
            </w:rPr>
            <w:t xml:space="preserve">第二节  </w:t>
          </w:r>
          <w:r>
            <w:rPr>
              <w:rFonts w:hint="eastAsia" w:eastAsia="楷体" w:cs="Times New Roman"/>
              <w:color w:val="auto"/>
              <w:sz w:val="28"/>
              <w:szCs w:val="28"/>
            </w:rPr>
            <w:t>提升招商引资实效与水平</w:t>
          </w:r>
          <w:r>
            <w:rPr>
              <w:color w:val="auto"/>
              <w:sz w:val="28"/>
              <w:szCs w:val="28"/>
            </w:rPr>
            <w:tab/>
          </w:r>
          <w:r>
            <w:rPr>
              <w:color w:val="auto"/>
              <w:sz w:val="28"/>
              <w:szCs w:val="28"/>
            </w:rPr>
            <w:fldChar w:fldCharType="begin"/>
          </w:r>
          <w:r>
            <w:rPr>
              <w:color w:val="auto"/>
              <w:sz w:val="28"/>
              <w:szCs w:val="28"/>
            </w:rPr>
            <w:instrText xml:space="preserve"> PAGEREF _Toc1021942469 \h </w:instrText>
          </w:r>
          <w:r>
            <w:rPr>
              <w:color w:val="auto"/>
              <w:sz w:val="28"/>
              <w:szCs w:val="28"/>
            </w:rPr>
            <w:fldChar w:fldCharType="separate"/>
          </w:r>
          <w:r>
            <w:rPr>
              <w:color w:val="auto"/>
              <w:sz w:val="28"/>
              <w:szCs w:val="28"/>
            </w:rPr>
            <w:t>72</w:t>
          </w:r>
          <w:r>
            <w:rPr>
              <w:color w:val="auto"/>
              <w:sz w:val="28"/>
              <w:szCs w:val="28"/>
            </w:rPr>
            <w:fldChar w:fldCharType="end"/>
          </w:r>
          <w:r>
            <w:rPr>
              <w:rFonts w:hint="eastAsia" w:eastAsia="方正小标宋_GBK"/>
              <w:color w:val="auto"/>
              <w:sz w:val="28"/>
              <w:szCs w:val="28"/>
            </w:rPr>
            <w:fldChar w:fldCharType="end"/>
          </w:r>
        </w:p>
        <w:p w14:paraId="2E5D0FCC">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_Toc212867777 </w:instrText>
          </w:r>
          <w:r>
            <w:rPr>
              <w:rFonts w:hint="eastAsia" w:eastAsia="方正小标宋_GBK"/>
              <w:color w:val="auto"/>
              <w:sz w:val="28"/>
              <w:szCs w:val="28"/>
            </w:rPr>
            <w:fldChar w:fldCharType="separate"/>
          </w:r>
          <w:r>
            <w:rPr>
              <w:rFonts w:hint="eastAsia" w:eastAsia="楷体" w:cs="Times New Roman"/>
              <w:color w:val="auto"/>
              <w:sz w:val="28"/>
              <w:szCs w:val="28"/>
            </w:rPr>
            <w:t>第三节  全力提高土地开发利用效率</w:t>
          </w:r>
          <w:r>
            <w:rPr>
              <w:color w:val="auto"/>
              <w:sz w:val="28"/>
              <w:szCs w:val="28"/>
            </w:rPr>
            <w:tab/>
          </w:r>
          <w:r>
            <w:rPr>
              <w:color w:val="auto"/>
              <w:sz w:val="28"/>
              <w:szCs w:val="28"/>
            </w:rPr>
            <w:fldChar w:fldCharType="begin"/>
          </w:r>
          <w:r>
            <w:rPr>
              <w:color w:val="auto"/>
              <w:sz w:val="28"/>
              <w:szCs w:val="28"/>
            </w:rPr>
            <w:instrText xml:space="preserve"> PAGEREF _Toc212867777 \h </w:instrText>
          </w:r>
          <w:r>
            <w:rPr>
              <w:color w:val="auto"/>
              <w:sz w:val="28"/>
              <w:szCs w:val="28"/>
            </w:rPr>
            <w:fldChar w:fldCharType="separate"/>
          </w:r>
          <w:r>
            <w:rPr>
              <w:color w:val="auto"/>
              <w:sz w:val="28"/>
              <w:szCs w:val="28"/>
            </w:rPr>
            <w:t>73</w:t>
          </w:r>
          <w:r>
            <w:rPr>
              <w:color w:val="auto"/>
              <w:sz w:val="28"/>
              <w:szCs w:val="28"/>
            </w:rPr>
            <w:fldChar w:fldCharType="end"/>
          </w:r>
          <w:r>
            <w:rPr>
              <w:rFonts w:hint="eastAsia" w:eastAsia="方正小标宋_GBK"/>
              <w:color w:val="auto"/>
              <w:sz w:val="28"/>
              <w:szCs w:val="28"/>
            </w:rPr>
            <w:fldChar w:fldCharType="end"/>
          </w:r>
        </w:p>
        <w:p w14:paraId="03DF830C">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_Toc2108455784 </w:instrText>
          </w:r>
          <w:r>
            <w:rPr>
              <w:rFonts w:hint="eastAsia" w:eastAsia="方正小标宋_GBK"/>
              <w:color w:val="auto"/>
              <w:sz w:val="28"/>
              <w:szCs w:val="28"/>
            </w:rPr>
            <w:fldChar w:fldCharType="separate"/>
          </w:r>
          <w:r>
            <w:rPr>
              <w:rFonts w:hint="eastAsia" w:eastAsia="楷体" w:cs="Times New Roman"/>
              <w:color w:val="auto"/>
              <w:sz w:val="28"/>
              <w:szCs w:val="28"/>
            </w:rPr>
            <w:t>第四节  深化开发区管理体制改革</w:t>
          </w:r>
          <w:r>
            <w:rPr>
              <w:color w:val="auto"/>
              <w:sz w:val="28"/>
              <w:szCs w:val="28"/>
            </w:rPr>
            <w:tab/>
          </w:r>
          <w:r>
            <w:rPr>
              <w:color w:val="auto"/>
              <w:sz w:val="28"/>
              <w:szCs w:val="28"/>
            </w:rPr>
            <w:fldChar w:fldCharType="begin"/>
          </w:r>
          <w:r>
            <w:rPr>
              <w:color w:val="auto"/>
              <w:sz w:val="28"/>
              <w:szCs w:val="28"/>
            </w:rPr>
            <w:instrText xml:space="preserve"> PAGEREF _Toc2108455784 \h </w:instrText>
          </w:r>
          <w:r>
            <w:rPr>
              <w:color w:val="auto"/>
              <w:sz w:val="28"/>
              <w:szCs w:val="28"/>
            </w:rPr>
            <w:fldChar w:fldCharType="separate"/>
          </w:r>
          <w:r>
            <w:rPr>
              <w:color w:val="auto"/>
              <w:sz w:val="28"/>
              <w:szCs w:val="28"/>
            </w:rPr>
            <w:t>74</w:t>
          </w:r>
          <w:r>
            <w:rPr>
              <w:color w:val="auto"/>
              <w:sz w:val="28"/>
              <w:szCs w:val="28"/>
            </w:rPr>
            <w:fldChar w:fldCharType="end"/>
          </w:r>
          <w:r>
            <w:rPr>
              <w:rFonts w:hint="eastAsia" w:eastAsia="方正小标宋_GBK"/>
              <w:color w:val="auto"/>
              <w:sz w:val="28"/>
              <w:szCs w:val="28"/>
            </w:rPr>
            <w:fldChar w:fldCharType="end"/>
          </w:r>
        </w:p>
        <w:p w14:paraId="4BA2774E">
          <w:pPr>
            <w:pStyle w:val="20"/>
            <w:tabs>
              <w:tab w:val="right" w:leader="dot" w:pos="8306"/>
            </w:tabs>
            <w:spacing w:line="480" w:lineRule="exact"/>
            <w:ind w:firstLine="0" w:firstLineChars="0"/>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_Toc1188702541 </w:instrText>
          </w:r>
          <w:r>
            <w:rPr>
              <w:rFonts w:hint="eastAsia" w:eastAsia="方正小标宋_GBK"/>
              <w:color w:val="auto"/>
              <w:sz w:val="28"/>
              <w:szCs w:val="28"/>
            </w:rPr>
            <w:fldChar w:fldCharType="separate"/>
          </w:r>
          <w:r>
            <w:rPr>
              <w:rFonts w:hint="eastAsia" w:ascii="Times New Roman" w:hAnsi="Times New Roman" w:eastAsia="方正黑体_GBK" w:cs="方正黑体_GBK"/>
              <w:color w:val="auto"/>
              <w:sz w:val="28"/>
              <w:szCs w:val="28"/>
            </w:rPr>
            <w:t>第十二章 持续增进民生福祉</w:t>
          </w:r>
          <w:r>
            <w:rPr>
              <w:rFonts w:ascii="Times New Roman" w:hAnsi="Times New Roman" w:eastAsia="方正黑体_GBK" w:cs="方正黑体_GBK"/>
              <w:color w:val="auto"/>
              <w:sz w:val="28"/>
              <w:szCs w:val="28"/>
            </w:rPr>
            <w:t xml:space="preserve"> </w:t>
          </w:r>
          <w:r>
            <w:rPr>
              <w:rFonts w:hint="eastAsia" w:ascii="Times New Roman" w:hAnsi="Times New Roman" w:eastAsia="方正黑体_GBK" w:cs="方正黑体_GBK"/>
              <w:color w:val="auto"/>
              <w:sz w:val="28"/>
              <w:szCs w:val="28"/>
            </w:rPr>
            <w:t>稳步推进共同富裕云冈实践</w:t>
          </w:r>
          <w:r>
            <w:rPr>
              <w:color w:val="auto"/>
              <w:sz w:val="28"/>
              <w:szCs w:val="28"/>
            </w:rPr>
            <w:tab/>
          </w:r>
          <w:r>
            <w:rPr>
              <w:color w:val="auto"/>
              <w:sz w:val="28"/>
              <w:szCs w:val="28"/>
            </w:rPr>
            <w:fldChar w:fldCharType="begin"/>
          </w:r>
          <w:r>
            <w:rPr>
              <w:color w:val="auto"/>
              <w:sz w:val="28"/>
              <w:szCs w:val="28"/>
            </w:rPr>
            <w:instrText xml:space="preserve"> PAGEREF _Toc1188702541 \h </w:instrText>
          </w:r>
          <w:r>
            <w:rPr>
              <w:color w:val="auto"/>
              <w:sz w:val="28"/>
              <w:szCs w:val="28"/>
            </w:rPr>
            <w:fldChar w:fldCharType="separate"/>
          </w:r>
          <w:r>
            <w:rPr>
              <w:color w:val="auto"/>
              <w:sz w:val="28"/>
              <w:szCs w:val="28"/>
            </w:rPr>
            <w:t>76</w:t>
          </w:r>
          <w:r>
            <w:rPr>
              <w:color w:val="auto"/>
              <w:sz w:val="28"/>
              <w:szCs w:val="28"/>
            </w:rPr>
            <w:fldChar w:fldCharType="end"/>
          </w:r>
          <w:r>
            <w:rPr>
              <w:rFonts w:hint="eastAsia" w:eastAsia="方正小标宋_GBK"/>
              <w:color w:val="auto"/>
              <w:sz w:val="28"/>
              <w:szCs w:val="28"/>
            </w:rPr>
            <w:fldChar w:fldCharType="end"/>
          </w:r>
        </w:p>
        <w:p w14:paraId="79CE46AC">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_Toc483238546 </w:instrText>
          </w:r>
          <w:r>
            <w:rPr>
              <w:rFonts w:hint="eastAsia" w:eastAsia="方正小标宋_GBK"/>
              <w:color w:val="auto"/>
              <w:sz w:val="28"/>
              <w:szCs w:val="28"/>
            </w:rPr>
            <w:fldChar w:fldCharType="separate"/>
          </w:r>
          <w:r>
            <w:rPr>
              <w:rFonts w:hint="eastAsia" w:eastAsia="楷体" w:cs="Times New Roman"/>
              <w:color w:val="auto"/>
              <w:sz w:val="28"/>
              <w:szCs w:val="28"/>
            </w:rPr>
            <w:t>第一节  促进高质量充分就业增收</w:t>
          </w:r>
          <w:r>
            <w:rPr>
              <w:color w:val="auto"/>
              <w:sz w:val="28"/>
              <w:szCs w:val="28"/>
            </w:rPr>
            <w:tab/>
          </w:r>
          <w:r>
            <w:rPr>
              <w:color w:val="auto"/>
              <w:sz w:val="28"/>
              <w:szCs w:val="28"/>
            </w:rPr>
            <w:fldChar w:fldCharType="begin"/>
          </w:r>
          <w:r>
            <w:rPr>
              <w:color w:val="auto"/>
              <w:sz w:val="28"/>
              <w:szCs w:val="28"/>
            </w:rPr>
            <w:instrText xml:space="preserve"> PAGEREF _Toc483238546 \h </w:instrText>
          </w:r>
          <w:r>
            <w:rPr>
              <w:color w:val="auto"/>
              <w:sz w:val="28"/>
              <w:szCs w:val="28"/>
            </w:rPr>
            <w:fldChar w:fldCharType="separate"/>
          </w:r>
          <w:r>
            <w:rPr>
              <w:color w:val="auto"/>
              <w:sz w:val="28"/>
              <w:szCs w:val="28"/>
            </w:rPr>
            <w:t>76</w:t>
          </w:r>
          <w:r>
            <w:rPr>
              <w:color w:val="auto"/>
              <w:sz w:val="28"/>
              <w:szCs w:val="28"/>
            </w:rPr>
            <w:fldChar w:fldCharType="end"/>
          </w:r>
          <w:r>
            <w:rPr>
              <w:rFonts w:hint="eastAsia" w:eastAsia="方正小标宋_GBK"/>
              <w:color w:val="auto"/>
              <w:sz w:val="28"/>
              <w:szCs w:val="28"/>
            </w:rPr>
            <w:fldChar w:fldCharType="end"/>
          </w:r>
        </w:p>
        <w:p w14:paraId="4CA59571">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_Toc7089668 </w:instrText>
          </w:r>
          <w:r>
            <w:rPr>
              <w:rFonts w:hint="eastAsia" w:eastAsia="方正小标宋_GBK"/>
              <w:color w:val="auto"/>
              <w:sz w:val="28"/>
              <w:szCs w:val="28"/>
            </w:rPr>
            <w:fldChar w:fldCharType="separate"/>
          </w:r>
          <w:r>
            <w:rPr>
              <w:rFonts w:hint="eastAsia" w:eastAsia="楷体" w:cs="Times New Roman"/>
              <w:color w:val="auto"/>
              <w:sz w:val="28"/>
              <w:szCs w:val="28"/>
            </w:rPr>
            <w:t>第二节  办好人民满意的优质教育</w:t>
          </w:r>
          <w:r>
            <w:rPr>
              <w:color w:val="auto"/>
              <w:sz w:val="28"/>
              <w:szCs w:val="28"/>
            </w:rPr>
            <w:tab/>
          </w:r>
          <w:r>
            <w:rPr>
              <w:color w:val="auto"/>
              <w:sz w:val="28"/>
              <w:szCs w:val="28"/>
            </w:rPr>
            <w:fldChar w:fldCharType="begin"/>
          </w:r>
          <w:r>
            <w:rPr>
              <w:color w:val="auto"/>
              <w:sz w:val="28"/>
              <w:szCs w:val="28"/>
            </w:rPr>
            <w:instrText xml:space="preserve"> PAGEREF _Toc7089668 \h </w:instrText>
          </w:r>
          <w:r>
            <w:rPr>
              <w:color w:val="auto"/>
              <w:sz w:val="28"/>
              <w:szCs w:val="28"/>
            </w:rPr>
            <w:fldChar w:fldCharType="separate"/>
          </w:r>
          <w:r>
            <w:rPr>
              <w:color w:val="auto"/>
              <w:sz w:val="28"/>
              <w:szCs w:val="28"/>
            </w:rPr>
            <w:t>77</w:t>
          </w:r>
          <w:r>
            <w:rPr>
              <w:color w:val="auto"/>
              <w:sz w:val="28"/>
              <w:szCs w:val="28"/>
            </w:rPr>
            <w:fldChar w:fldCharType="end"/>
          </w:r>
          <w:r>
            <w:rPr>
              <w:rFonts w:hint="eastAsia" w:eastAsia="方正小标宋_GBK"/>
              <w:color w:val="auto"/>
              <w:sz w:val="28"/>
              <w:szCs w:val="28"/>
            </w:rPr>
            <w:fldChar w:fldCharType="end"/>
          </w:r>
        </w:p>
        <w:p w14:paraId="4D96F225">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_Toc1044449491 </w:instrText>
          </w:r>
          <w:r>
            <w:rPr>
              <w:rFonts w:hint="eastAsia" w:eastAsia="方正小标宋_GBK"/>
              <w:color w:val="auto"/>
              <w:sz w:val="28"/>
              <w:szCs w:val="28"/>
            </w:rPr>
            <w:fldChar w:fldCharType="separate"/>
          </w:r>
          <w:r>
            <w:rPr>
              <w:rFonts w:hint="eastAsia" w:eastAsia="楷体" w:cs="Times New Roman"/>
              <w:color w:val="auto"/>
              <w:sz w:val="28"/>
              <w:szCs w:val="28"/>
            </w:rPr>
            <w:t>第三节  建设更高水平的健康云冈</w:t>
          </w:r>
          <w:r>
            <w:rPr>
              <w:color w:val="auto"/>
              <w:sz w:val="28"/>
              <w:szCs w:val="28"/>
            </w:rPr>
            <w:tab/>
          </w:r>
          <w:r>
            <w:rPr>
              <w:color w:val="auto"/>
              <w:sz w:val="28"/>
              <w:szCs w:val="28"/>
            </w:rPr>
            <w:fldChar w:fldCharType="begin"/>
          </w:r>
          <w:r>
            <w:rPr>
              <w:color w:val="auto"/>
              <w:sz w:val="28"/>
              <w:szCs w:val="28"/>
            </w:rPr>
            <w:instrText xml:space="preserve"> PAGEREF _Toc1044449491 \h </w:instrText>
          </w:r>
          <w:r>
            <w:rPr>
              <w:color w:val="auto"/>
              <w:sz w:val="28"/>
              <w:szCs w:val="28"/>
            </w:rPr>
            <w:fldChar w:fldCharType="separate"/>
          </w:r>
          <w:r>
            <w:rPr>
              <w:color w:val="auto"/>
              <w:sz w:val="28"/>
              <w:szCs w:val="28"/>
            </w:rPr>
            <w:t>79</w:t>
          </w:r>
          <w:r>
            <w:rPr>
              <w:color w:val="auto"/>
              <w:sz w:val="28"/>
              <w:szCs w:val="28"/>
            </w:rPr>
            <w:fldChar w:fldCharType="end"/>
          </w:r>
          <w:r>
            <w:rPr>
              <w:rFonts w:hint="eastAsia" w:eastAsia="方正小标宋_GBK"/>
              <w:color w:val="auto"/>
              <w:sz w:val="28"/>
              <w:szCs w:val="28"/>
            </w:rPr>
            <w:fldChar w:fldCharType="end"/>
          </w:r>
        </w:p>
        <w:p w14:paraId="4D3679F2">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_Toc531264659 </w:instrText>
          </w:r>
          <w:r>
            <w:rPr>
              <w:rFonts w:hint="eastAsia" w:eastAsia="方正小标宋_GBK"/>
              <w:color w:val="auto"/>
              <w:sz w:val="28"/>
              <w:szCs w:val="28"/>
            </w:rPr>
            <w:fldChar w:fldCharType="separate"/>
          </w:r>
          <w:r>
            <w:rPr>
              <w:rFonts w:hint="eastAsia" w:eastAsia="楷体" w:cs="Times New Roman"/>
              <w:color w:val="auto"/>
              <w:sz w:val="28"/>
              <w:szCs w:val="28"/>
            </w:rPr>
            <w:t>第四节  健全完善多层次社会保障体系</w:t>
          </w:r>
          <w:r>
            <w:rPr>
              <w:color w:val="auto"/>
              <w:sz w:val="28"/>
              <w:szCs w:val="28"/>
            </w:rPr>
            <w:tab/>
          </w:r>
          <w:r>
            <w:rPr>
              <w:color w:val="auto"/>
              <w:sz w:val="28"/>
              <w:szCs w:val="28"/>
            </w:rPr>
            <w:fldChar w:fldCharType="begin"/>
          </w:r>
          <w:r>
            <w:rPr>
              <w:color w:val="auto"/>
              <w:sz w:val="28"/>
              <w:szCs w:val="28"/>
            </w:rPr>
            <w:instrText xml:space="preserve"> PAGEREF _Toc531264659 \h </w:instrText>
          </w:r>
          <w:r>
            <w:rPr>
              <w:color w:val="auto"/>
              <w:sz w:val="28"/>
              <w:szCs w:val="28"/>
            </w:rPr>
            <w:fldChar w:fldCharType="separate"/>
          </w:r>
          <w:r>
            <w:rPr>
              <w:color w:val="auto"/>
              <w:sz w:val="28"/>
              <w:szCs w:val="28"/>
            </w:rPr>
            <w:t>80</w:t>
          </w:r>
          <w:r>
            <w:rPr>
              <w:color w:val="auto"/>
              <w:sz w:val="28"/>
              <w:szCs w:val="28"/>
            </w:rPr>
            <w:fldChar w:fldCharType="end"/>
          </w:r>
          <w:r>
            <w:rPr>
              <w:rFonts w:hint="eastAsia" w:eastAsia="方正小标宋_GBK"/>
              <w:color w:val="auto"/>
              <w:sz w:val="28"/>
              <w:szCs w:val="28"/>
            </w:rPr>
            <w:fldChar w:fldCharType="end"/>
          </w:r>
        </w:p>
        <w:p w14:paraId="314D0C8D">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_Toc1875603234 </w:instrText>
          </w:r>
          <w:r>
            <w:rPr>
              <w:rFonts w:hint="eastAsia" w:eastAsia="方正小标宋_GBK"/>
              <w:color w:val="auto"/>
              <w:sz w:val="28"/>
              <w:szCs w:val="28"/>
            </w:rPr>
            <w:fldChar w:fldCharType="separate"/>
          </w:r>
          <w:r>
            <w:rPr>
              <w:rFonts w:hint="eastAsia" w:eastAsia="楷体" w:cs="Times New Roman"/>
              <w:color w:val="auto"/>
              <w:sz w:val="28"/>
              <w:szCs w:val="28"/>
            </w:rPr>
            <w:t>第五节  促进人口长期均衡高质量发展</w:t>
          </w:r>
          <w:r>
            <w:rPr>
              <w:color w:val="auto"/>
              <w:sz w:val="28"/>
              <w:szCs w:val="28"/>
            </w:rPr>
            <w:tab/>
          </w:r>
          <w:r>
            <w:rPr>
              <w:color w:val="auto"/>
              <w:sz w:val="28"/>
              <w:szCs w:val="28"/>
            </w:rPr>
            <w:fldChar w:fldCharType="begin"/>
          </w:r>
          <w:r>
            <w:rPr>
              <w:color w:val="auto"/>
              <w:sz w:val="28"/>
              <w:szCs w:val="28"/>
            </w:rPr>
            <w:instrText xml:space="preserve"> PAGEREF _Toc1875603234 \h </w:instrText>
          </w:r>
          <w:r>
            <w:rPr>
              <w:color w:val="auto"/>
              <w:sz w:val="28"/>
              <w:szCs w:val="28"/>
            </w:rPr>
            <w:fldChar w:fldCharType="separate"/>
          </w:r>
          <w:r>
            <w:rPr>
              <w:color w:val="auto"/>
              <w:sz w:val="28"/>
              <w:szCs w:val="28"/>
            </w:rPr>
            <w:t>81</w:t>
          </w:r>
          <w:r>
            <w:rPr>
              <w:color w:val="auto"/>
              <w:sz w:val="28"/>
              <w:szCs w:val="28"/>
            </w:rPr>
            <w:fldChar w:fldCharType="end"/>
          </w:r>
          <w:r>
            <w:rPr>
              <w:rFonts w:hint="eastAsia" w:eastAsia="方正小标宋_GBK"/>
              <w:color w:val="auto"/>
              <w:sz w:val="28"/>
              <w:szCs w:val="28"/>
            </w:rPr>
            <w:fldChar w:fldCharType="end"/>
          </w:r>
        </w:p>
        <w:p w14:paraId="4D19494C">
          <w:pPr>
            <w:pStyle w:val="20"/>
            <w:tabs>
              <w:tab w:val="right" w:leader="dot" w:pos="8306"/>
            </w:tabs>
            <w:spacing w:line="480" w:lineRule="exact"/>
            <w:ind w:firstLine="0" w:firstLineChars="0"/>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_Toc351099525 </w:instrText>
          </w:r>
          <w:r>
            <w:rPr>
              <w:rFonts w:hint="eastAsia" w:eastAsia="方正小标宋_GBK"/>
              <w:color w:val="auto"/>
              <w:sz w:val="28"/>
              <w:szCs w:val="28"/>
            </w:rPr>
            <w:fldChar w:fldCharType="separate"/>
          </w:r>
          <w:r>
            <w:rPr>
              <w:rFonts w:hint="eastAsia" w:ascii="Times New Roman" w:hAnsi="Times New Roman" w:eastAsia="方正黑体_GBK" w:cs="方正黑体_GBK"/>
              <w:color w:val="auto"/>
              <w:sz w:val="28"/>
              <w:szCs w:val="28"/>
            </w:rPr>
            <w:t>第十三章 加快推动全面绿色转型 建设生态宜居美丽云冈</w:t>
          </w:r>
          <w:r>
            <w:rPr>
              <w:color w:val="auto"/>
              <w:sz w:val="28"/>
              <w:szCs w:val="28"/>
            </w:rPr>
            <w:tab/>
          </w:r>
          <w:r>
            <w:rPr>
              <w:color w:val="auto"/>
              <w:sz w:val="28"/>
              <w:szCs w:val="28"/>
            </w:rPr>
            <w:fldChar w:fldCharType="begin"/>
          </w:r>
          <w:r>
            <w:rPr>
              <w:color w:val="auto"/>
              <w:sz w:val="28"/>
              <w:szCs w:val="28"/>
            </w:rPr>
            <w:instrText xml:space="preserve"> PAGEREF _Toc351099525 \h </w:instrText>
          </w:r>
          <w:r>
            <w:rPr>
              <w:color w:val="auto"/>
              <w:sz w:val="28"/>
              <w:szCs w:val="28"/>
            </w:rPr>
            <w:fldChar w:fldCharType="separate"/>
          </w:r>
          <w:r>
            <w:rPr>
              <w:color w:val="auto"/>
              <w:sz w:val="28"/>
              <w:szCs w:val="28"/>
            </w:rPr>
            <w:t>84</w:t>
          </w:r>
          <w:r>
            <w:rPr>
              <w:color w:val="auto"/>
              <w:sz w:val="28"/>
              <w:szCs w:val="28"/>
            </w:rPr>
            <w:fldChar w:fldCharType="end"/>
          </w:r>
          <w:r>
            <w:rPr>
              <w:rFonts w:hint="eastAsia" w:eastAsia="方正小标宋_GBK"/>
              <w:color w:val="auto"/>
              <w:sz w:val="28"/>
              <w:szCs w:val="28"/>
            </w:rPr>
            <w:fldChar w:fldCharType="end"/>
          </w:r>
        </w:p>
        <w:p w14:paraId="2CDC5643">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_Toc1792138366 </w:instrText>
          </w:r>
          <w:r>
            <w:rPr>
              <w:rFonts w:hint="eastAsia" w:eastAsia="方正小标宋_GBK"/>
              <w:color w:val="auto"/>
              <w:sz w:val="28"/>
              <w:szCs w:val="28"/>
            </w:rPr>
            <w:fldChar w:fldCharType="separate"/>
          </w:r>
          <w:r>
            <w:rPr>
              <w:rFonts w:hint="eastAsia" w:eastAsia="楷体" w:cs="Times New Roman"/>
              <w:color w:val="auto"/>
              <w:sz w:val="28"/>
              <w:szCs w:val="28"/>
            </w:rPr>
            <w:t>第一节  全面筑牢生态安全屏障</w:t>
          </w:r>
          <w:r>
            <w:rPr>
              <w:color w:val="auto"/>
              <w:sz w:val="28"/>
              <w:szCs w:val="28"/>
            </w:rPr>
            <w:tab/>
          </w:r>
          <w:r>
            <w:rPr>
              <w:color w:val="auto"/>
              <w:sz w:val="28"/>
              <w:szCs w:val="28"/>
            </w:rPr>
            <w:fldChar w:fldCharType="begin"/>
          </w:r>
          <w:r>
            <w:rPr>
              <w:color w:val="auto"/>
              <w:sz w:val="28"/>
              <w:szCs w:val="28"/>
            </w:rPr>
            <w:instrText xml:space="preserve"> PAGEREF _Toc1792138366 \h </w:instrText>
          </w:r>
          <w:r>
            <w:rPr>
              <w:color w:val="auto"/>
              <w:sz w:val="28"/>
              <w:szCs w:val="28"/>
            </w:rPr>
            <w:fldChar w:fldCharType="separate"/>
          </w:r>
          <w:r>
            <w:rPr>
              <w:color w:val="auto"/>
              <w:sz w:val="28"/>
              <w:szCs w:val="28"/>
            </w:rPr>
            <w:t>84</w:t>
          </w:r>
          <w:r>
            <w:rPr>
              <w:color w:val="auto"/>
              <w:sz w:val="28"/>
              <w:szCs w:val="28"/>
            </w:rPr>
            <w:fldChar w:fldCharType="end"/>
          </w:r>
          <w:r>
            <w:rPr>
              <w:rFonts w:hint="eastAsia" w:eastAsia="方正小标宋_GBK"/>
              <w:color w:val="auto"/>
              <w:sz w:val="28"/>
              <w:szCs w:val="28"/>
            </w:rPr>
            <w:fldChar w:fldCharType="end"/>
          </w:r>
        </w:p>
        <w:p w14:paraId="339B97AF">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_Toc2011368187 </w:instrText>
          </w:r>
          <w:r>
            <w:rPr>
              <w:rFonts w:hint="eastAsia" w:eastAsia="方正小标宋_GBK"/>
              <w:color w:val="auto"/>
              <w:sz w:val="28"/>
              <w:szCs w:val="28"/>
            </w:rPr>
            <w:fldChar w:fldCharType="separate"/>
          </w:r>
          <w:r>
            <w:rPr>
              <w:rFonts w:hint="eastAsia" w:eastAsia="楷体" w:cs="Times New Roman"/>
              <w:color w:val="auto"/>
              <w:sz w:val="28"/>
              <w:szCs w:val="28"/>
            </w:rPr>
            <w:t>第二节  持续深入推进污染防治攻坚</w:t>
          </w:r>
          <w:r>
            <w:rPr>
              <w:color w:val="auto"/>
              <w:sz w:val="28"/>
              <w:szCs w:val="28"/>
            </w:rPr>
            <w:tab/>
          </w:r>
          <w:r>
            <w:rPr>
              <w:color w:val="auto"/>
              <w:sz w:val="28"/>
              <w:szCs w:val="28"/>
            </w:rPr>
            <w:fldChar w:fldCharType="begin"/>
          </w:r>
          <w:r>
            <w:rPr>
              <w:color w:val="auto"/>
              <w:sz w:val="28"/>
              <w:szCs w:val="28"/>
            </w:rPr>
            <w:instrText xml:space="preserve"> PAGEREF _Toc2011368187 \h </w:instrText>
          </w:r>
          <w:r>
            <w:rPr>
              <w:color w:val="auto"/>
              <w:sz w:val="28"/>
              <w:szCs w:val="28"/>
            </w:rPr>
            <w:fldChar w:fldCharType="separate"/>
          </w:r>
          <w:r>
            <w:rPr>
              <w:color w:val="auto"/>
              <w:sz w:val="28"/>
              <w:szCs w:val="28"/>
            </w:rPr>
            <w:t>85</w:t>
          </w:r>
          <w:r>
            <w:rPr>
              <w:color w:val="auto"/>
              <w:sz w:val="28"/>
              <w:szCs w:val="28"/>
            </w:rPr>
            <w:fldChar w:fldCharType="end"/>
          </w:r>
          <w:r>
            <w:rPr>
              <w:rFonts w:hint="eastAsia" w:eastAsia="方正小标宋_GBK"/>
              <w:color w:val="auto"/>
              <w:sz w:val="28"/>
              <w:szCs w:val="28"/>
            </w:rPr>
            <w:fldChar w:fldCharType="end"/>
          </w:r>
        </w:p>
        <w:p w14:paraId="5927134A">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_Toc1525031482 </w:instrText>
          </w:r>
          <w:r>
            <w:rPr>
              <w:rFonts w:hint="eastAsia" w:eastAsia="方正小标宋_GBK"/>
              <w:color w:val="auto"/>
              <w:sz w:val="28"/>
              <w:szCs w:val="28"/>
            </w:rPr>
            <w:fldChar w:fldCharType="separate"/>
          </w:r>
          <w:r>
            <w:rPr>
              <w:rFonts w:hint="eastAsia" w:eastAsia="楷体" w:cs="Times New Roman"/>
              <w:color w:val="auto"/>
              <w:sz w:val="28"/>
              <w:szCs w:val="28"/>
            </w:rPr>
            <w:t>第三节  加快形成绿色低碳生产生活方式</w:t>
          </w:r>
          <w:r>
            <w:rPr>
              <w:color w:val="auto"/>
              <w:sz w:val="28"/>
              <w:szCs w:val="28"/>
            </w:rPr>
            <w:tab/>
          </w:r>
          <w:r>
            <w:rPr>
              <w:color w:val="auto"/>
              <w:sz w:val="28"/>
              <w:szCs w:val="28"/>
            </w:rPr>
            <w:fldChar w:fldCharType="begin"/>
          </w:r>
          <w:r>
            <w:rPr>
              <w:color w:val="auto"/>
              <w:sz w:val="28"/>
              <w:szCs w:val="28"/>
            </w:rPr>
            <w:instrText xml:space="preserve"> PAGEREF _Toc1525031482 \h </w:instrText>
          </w:r>
          <w:r>
            <w:rPr>
              <w:color w:val="auto"/>
              <w:sz w:val="28"/>
              <w:szCs w:val="28"/>
            </w:rPr>
            <w:fldChar w:fldCharType="separate"/>
          </w:r>
          <w:r>
            <w:rPr>
              <w:color w:val="auto"/>
              <w:sz w:val="28"/>
              <w:szCs w:val="28"/>
            </w:rPr>
            <w:t>87</w:t>
          </w:r>
          <w:r>
            <w:rPr>
              <w:color w:val="auto"/>
              <w:sz w:val="28"/>
              <w:szCs w:val="28"/>
            </w:rPr>
            <w:fldChar w:fldCharType="end"/>
          </w:r>
          <w:r>
            <w:rPr>
              <w:rFonts w:hint="eastAsia" w:eastAsia="方正小标宋_GBK"/>
              <w:color w:val="auto"/>
              <w:sz w:val="28"/>
              <w:szCs w:val="28"/>
            </w:rPr>
            <w:fldChar w:fldCharType="end"/>
          </w:r>
        </w:p>
        <w:p w14:paraId="3B344E7A">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_Toc986791029 </w:instrText>
          </w:r>
          <w:r>
            <w:rPr>
              <w:rFonts w:hint="eastAsia" w:eastAsia="方正小标宋_GBK"/>
              <w:color w:val="auto"/>
              <w:sz w:val="28"/>
              <w:szCs w:val="28"/>
            </w:rPr>
            <w:fldChar w:fldCharType="separate"/>
          </w:r>
          <w:r>
            <w:rPr>
              <w:rFonts w:hint="eastAsia" w:eastAsia="楷体" w:cs="Times New Roman"/>
              <w:color w:val="auto"/>
              <w:sz w:val="28"/>
              <w:szCs w:val="28"/>
            </w:rPr>
            <w:t>第四节  积极稳妥推进碳达峰云冈行动</w:t>
          </w:r>
          <w:r>
            <w:rPr>
              <w:color w:val="auto"/>
              <w:sz w:val="28"/>
              <w:szCs w:val="28"/>
            </w:rPr>
            <w:tab/>
          </w:r>
          <w:r>
            <w:rPr>
              <w:color w:val="auto"/>
              <w:sz w:val="28"/>
              <w:szCs w:val="28"/>
            </w:rPr>
            <w:fldChar w:fldCharType="begin"/>
          </w:r>
          <w:r>
            <w:rPr>
              <w:color w:val="auto"/>
              <w:sz w:val="28"/>
              <w:szCs w:val="28"/>
            </w:rPr>
            <w:instrText xml:space="preserve"> PAGEREF _Toc986791029 \h </w:instrText>
          </w:r>
          <w:r>
            <w:rPr>
              <w:color w:val="auto"/>
              <w:sz w:val="28"/>
              <w:szCs w:val="28"/>
            </w:rPr>
            <w:fldChar w:fldCharType="separate"/>
          </w:r>
          <w:r>
            <w:rPr>
              <w:color w:val="auto"/>
              <w:sz w:val="28"/>
              <w:szCs w:val="28"/>
            </w:rPr>
            <w:t>89</w:t>
          </w:r>
          <w:r>
            <w:rPr>
              <w:color w:val="auto"/>
              <w:sz w:val="28"/>
              <w:szCs w:val="28"/>
            </w:rPr>
            <w:fldChar w:fldCharType="end"/>
          </w:r>
          <w:r>
            <w:rPr>
              <w:rFonts w:hint="eastAsia" w:eastAsia="方正小标宋_GBK"/>
              <w:color w:val="auto"/>
              <w:sz w:val="28"/>
              <w:szCs w:val="28"/>
            </w:rPr>
            <w:fldChar w:fldCharType="end"/>
          </w:r>
        </w:p>
        <w:p w14:paraId="732E87D7">
          <w:pPr>
            <w:pStyle w:val="20"/>
            <w:tabs>
              <w:tab w:val="right" w:leader="dot" w:pos="8306"/>
            </w:tabs>
            <w:spacing w:line="480" w:lineRule="exact"/>
            <w:ind w:firstLine="0" w:firstLineChars="0"/>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_Toc2128102269 </w:instrText>
          </w:r>
          <w:r>
            <w:rPr>
              <w:rFonts w:hint="eastAsia" w:eastAsia="方正小标宋_GBK"/>
              <w:color w:val="auto"/>
              <w:sz w:val="28"/>
              <w:szCs w:val="28"/>
            </w:rPr>
            <w:fldChar w:fldCharType="separate"/>
          </w:r>
          <w:r>
            <w:rPr>
              <w:rFonts w:hint="eastAsia" w:ascii="Times New Roman" w:hAnsi="Times New Roman" w:eastAsia="方正黑体_GBK" w:cs="方正黑体_GBK"/>
              <w:color w:val="auto"/>
              <w:sz w:val="28"/>
              <w:szCs w:val="28"/>
            </w:rPr>
            <w:t>第十四章 提升社会治理效能 加快建设更高水平平安云冈</w:t>
          </w:r>
          <w:r>
            <w:rPr>
              <w:color w:val="auto"/>
              <w:sz w:val="28"/>
              <w:szCs w:val="28"/>
            </w:rPr>
            <w:tab/>
          </w:r>
          <w:r>
            <w:rPr>
              <w:color w:val="auto"/>
              <w:sz w:val="28"/>
              <w:szCs w:val="28"/>
            </w:rPr>
            <w:fldChar w:fldCharType="begin"/>
          </w:r>
          <w:r>
            <w:rPr>
              <w:color w:val="auto"/>
              <w:sz w:val="28"/>
              <w:szCs w:val="28"/>
            </w:rPr>
            <w:instrText xml:space="preserve"> PAGEREF _Toc2128102269 \h </w:instrText>
          </w:r>
          <w:r>
            <w:rPr>
              <w:color w:val="auto"/>
              <w:sz w:val="28"/>
              <w:szCs w:val="28"/>
            </w:rPr>
            <w:fldChar w:fldCharType="separate"/>
          </w:r>
          <w:r>
            <w:rPr>
              <w:color w:val="auto"/>
              <w:sz w:val="28"/>
              <w:szCs w:val="28"/>
            </w:rPr>
            <w:t>92</w:t>
          </w:r>
          <w:r>
            <w:rPr>
              <w:color w:val="auto"/>
              <w:sz w:val="28"/>
              <w:szCs w:val="28"/>
            </w:rPr>
            <w:fldChar w:fldCharType="end"/>
          </w:r>
          <w:r>
            <w:rPr>
              <w:rFonts w:hint="eastAsia" w:eastAsia="方正小标宋_GBK"/>
              <w:color w:val="auto"/>
              <w:sz w:val="28"/>
              <w:szCs w:val="28"/>
            </w:rPr>
            <w:fldChar w:fldCharType="end"/>
          </w:r>
        </w:p>
        <w:p w14:paraId="383B5428">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_Toc674694298 </w:instrText>
          </w:r>
          <w:r>
            <w:rPr>
              <w:rFonts w:hint="eastAsia" w:eastAsia="方正小标宋_GBK"/>
              <w:color w:val="auto"/>
              <w:sz w:val="28"/>
              <w:szCs w:val="28"/>
            </w:rPr>
            <w:fldChar w:fldCharType="separate"/>
          </w:r>
          <w:r>
            <w:rPr>
              <w:rFonts w:hint="eastAsia" w:eastAsia="楷体" w:cs="Times New Roman"/>
              <w:color w:val="auto"/>
              <w:sz w:val="28"/>
              <w:szCs w:val="28"/>
            </w:rPr>
            <w:t>第一节  坚决筑牢国家安全屏障</w:t>
          </w:r>
          <w:r>
            <w:rPr>
              <w:color w:val="auto"/>
              <w:sz w:val="28"/>
              <w:szCs w:val="28"/>
            </w:rPr>
            <w:tab/>
          </w:r>
          <w:r>
            <w:rPr>
              <w:color w:val="auto"/>
              <w:sz w:val="28"/>
              <w:szCs w:val="28"/>
            </w:rPr>
            <w:fldChar w:fldCharType="begin"/>
          </w:r>
          <w:r>
            <w:rPr>
              <w:color w:val="auto"/>
              <w:sz w:val="28"/>
              <w:szCs w:val="28"/>
            </w:rPr>
            <w:instrText xml:space="preserve"> PAGEREF _Toc674694298 \h </w:instrText>
          </w:r>
          <w:r>
            <w:rPr>
              <w:color w:val="auto"/>
              <w:sz w:val="28"/>
              <w:szCs w:val="28"/>
            </w:rPr>
            <w:fldChar w:fldCharType="separate"/>
          </w:r>
          <w:r>
            <w:rPr>
              <w:color w:val="auto"/>
              <w:sz w:val="28"/>
              <w:szCs w:val="28"/>
            </w:rPr>
            <w:t>92</w:t>
          </w:r>
          <w:r>
            <w:rPr>
              <w:color w:val="auto"/>
              <w:sz w:val="28"/>
              <w:szCs w:val="28"/>
            </w:rPr>
            <w:fldChar w:fldCharType="end"/>
          </w:r>
          <w:r>
            <w:rPr>
              <w:rFonts w:hint="eastAsia" w:eastAsia="方正小标宋_GBK"/>
              <w:color w:val="auto"/>
              <w:sz w:val="28"/>
              <w:szCs w:val="28"/>
            </w:rPr>
            <w:fldChar w:fldCharType="end"/>
          </w:r>
        </w:p>
        <w:p w14:paraId="5A7A8800">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_Toc873410326 </w:instrText>
          </w:r>
          <w:r>
            <w:rPr>
              <w:rFonts w:hint="eastAsia" w:eastAsia="方正小标宋_GBK"/>
              <w:color w:val="auto"/>
              <w:sz w:val="28"/>
              <w:szCs w:val="28"/>
            </w:rPr>
            <w:fldChar w:fldCharType="separate"/>
          </w:r>
          <w:r>
            <w:rPr>
              <w:rFonts w:hint="eastAsia" w:eastAsia="楷体" w:cs="Times New Roman"/>
              <w:color w:val="auto"/>
              <w:sz w:val="28"/>
              <w:szCs w:val="28"/>
            </w:rPr>
            <w:t>第二节  提高公共安全治理现代化水平</w:t>
          </w:r>
          <w:r>
            <w:rPr>
              <w:color w:val="auto"/>
              <w:sz w:val="28"/>
              <w:szCs w:val="28"/>
            </w:rPr>
            <w:tab/>
          </w:r>
          <w:r>
            <w:rPr>
              <w:color w:val="auto"/>
              <w:sz w:val="28"/>
              <w:szCs w:val="28"/>
            </w:rPr>
            <w:fldChar w:fldCharType="begin"/>
          </w:r>
          <w:r>
            <w:rPr>
              <w:color w:val="auto"/>
              <w:sz w:val="28"/>
              <w:szCs w:val="28"/>
            </w:rPr>
            <w:instrText xml:space="preserve"> PAGEREF _Toc873410326 \h </w:instrText>
          </w:r>
          <w:r>
            <w:rPr>
              <w:color w:val="auto"/>
              <w:sz w:val="28"/>
              <w:szCs w:val="28"/>
            </w:rPr>
            <w:fldChar w:fldCharType="separate"/>
          </w:r>
          <w:r>
            <w:rPr>
              <w:color w:val="auto"/>
              <w:sz w:val="28"/>
              <w:szCs w:val="28"/>
            </w:rPr>
            <w:t>93</w:t>
          </w:r>
          <w:r>
            <w:rPr>
              <w:color w:val="auto"/>
              <w:sz w:val="28"/>
              <w:szCs w:val="28"/>
            </w:rPr>
            <w:fldChar w:fldCharType="end"/>
          </w:r>
          <w:r>
            <w:rPr>
              <w:rFonts w:hint="eastAsia" w:eastAsia="方正小标宋_GBK"/>
              <w:color w:val="auto"/>
              <w:sz w:val="28"/>
              <w:szCs w:val="28"/>
            </w:rPr>
            <w:fldChar w:fldCharType="end"/>
          </w:r>
        </w:p>
        <w:p w14:paraId="1DE4EF1A">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_Toc1356621837 </w:instrText>
          </w:r>
          <w:r>
            <w:rPr>
              <w:rFonts w:hint="eastAsia" w:eastAsia="方正小标宋_GBK"/>
              <w:color w:val="auto"/>
              <w:sz w:val="28"/>
              <w:szCs w:val="28"/>
            </w:rPr>
            <w:fldChar w:fldCharType="separate"/>
          </w:r>
          <w:r>
            <w:rPr>
              <w:rFonts w:hint="eastAsia" w:eastAsia="楷体" w:cs="Times New Roman"/>
              <w:color w:val="auto"/>
              <w:sz w:val="28"/>
              <w:szCs w:val="28"/>
              <w14:ligatures w14:val="standardContextual"/>
            </w:rPr>
            <w:t xml:space="preserve">第三节 </w:t>
          </w:r>
          <w:r>
            <w:rPr>
              <w:rFonts w:hint="eastAsia" w:eastAsia="楷体" w:cs="Times New Roman"/>
              <w:color w:val="auto"/>
              <w:sz w:val="28"/>
              <w:szCs w:val="28"/>
            </w:rPr>
            <w:t xml:space="preserve"> </w:t>
          </w:r>
          <w:r>
            <w:rPr>
              <w:rFonts w:hint="eastAsia" w:eastAsia="楷体" w:cs="Times New Roman"/>
              <w:color w:val="auto"/>
              <w:sz w:val="28"/>
              <w:szCs w:val="28"/>
              <w14:ligatures w14:val="standardContextual"/>
            </w:rPr>
            <w:t>提升防灾减灾救灾综合应对能力</w:t>
          </w:r>
          <w:r>
            <w:rPr>
              <w:color w:val="auto"/>
              <w:sz w:val="28"/>
              <w:szCs w:val="28"/>
            </w:rPr>
            <w:tab/>
          </w:r>
          <w:r>
            <w:rPr>
              <w:color w:val="auto"/>
              <w:sz w:val="28"/>
              <w:szCs w:val="28"/>
            </w:rPr>
            <w:fldChar w:fldCharType="begin"/>
          </w:r>
          <w:r>
            <w:rPr>
              <w:color w:val="auto"/>
              <w:sz w:val="28"/>
              <w:szCs w:val="28"/>
            </w:rPr>
            <w:instrText xml:space="preserve"> PAGEREF _Toc1356621837 \h </w:instrText>
          </w:r>
          <w:r>
            <w:rPr>
              <w:color w:val="auto"/>
              <w:sz w:val="28"/>
              <w:szCs w:val="28"/>
            </w:rPr>
            <w:fldChar w:fldCharType="separate"/>
          </w:r>
          <w:r>
            <w:rPr>
              <w:color w:val="auto"/>
              <w:sz w:val="28"/>
              <w:szCs w:val="28"/>
            </w:rPr>
            <w:t>95</w:t>
          </w:r>
          <w:r>
            <w:rPr>
              <w:color w:val="auto"/>
              <w:sz w:val="28"/>
              <w:szCs w:val="28"/>
            </w:rPr>
            <w:fldChar w:fldCharType="end"/>
          </w:r>
          <w:r>
            <w:rPr>
              <w:rFonts w:hint="eastAsia" w:eastAsia="方正小标宋_GBK"/>
              <w:color w:val="auto"/>
              <w:sz w:val="28"/>
              <w:szCs w:val="28"/>
            </w:rPr>
            <w:fldChar w:fldCharType="end"/>
          </w:r>
        </w:p>
        <w:p w14:paraId="50E72E85">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_Toc909334260 </w:instrText>
          </w:r>
          <w:r>
            <w:rPr>
              <w:rFonts w:hint="eastAsia" w:eastAsia="方正小标宋_GBK"/>
              <w:color w:val="auto"/>
              <w:sz w:val="28"/>
              <w:szCs w:val="28"/>
            </w:rPr>
            <w:fldChar w:fldCharType="separate"/>
          </w:r>
          <w:r>
            <w:rPr>
              <w:rFonts w:hint="eastAsia" w:eastAsia="楷体" w:cs="Times New Roman"/>
              <w:color w:val="auto"/>
              <w:sz w:val="28"/>
              <w:szCs w:val="28"/>
            </w:rPr>
            <w:t>第四节  完善共建共治共享社会治理体系</w:t>
          </w:r>
          <w:r>
            <w:rPr>
              <w:color w:val="auto"/>
              <w:sz w:val="28"/>
              <w:szCs w:val="28"/>
            </w:rPr>
            <w:tab/>
          </w:r>
          <w:r>
            <w:rPr>
              <w:color w:val="auto"/>
              <w:sz w:val="28"/>
              <w:szCs w:val="28"/>
            </w:rPr>
            <w:fldChar w:fldCharType="begin"/>
          </w:r>
          <w:r>
            <w:rPr>
              <w:color w:val="auto"/>
              <w:sz w:val="28"/>
              <w:szCs w:val="28"/>
            </w:rPr>
            <w:instrText xml:space="preserve"> PAGEREF _Toc909334260 \h </w:instrText>
          </w:r>
          <w:r>
            <w:rPr>
              <w:color w:val="auto"/>
              <w:sz w:val="28"/>
              <w:szCs w:val="28"/>
            </w:rPr>
            <w:fldChar w:fldCharType="separate"/>
          </w:r>
          <w:r>
            <w:rPr>
              <w:color w:val="auto"/>
              <w:sz w:val="28"/>
              <w:szCs w:val="28"/>
            </w:rPr>
            <w:t>96</w:t>
          </w:r>
          <w:r>
            <w:rPr>
              <w:color w:val="auto"/>
              <w:sz w:val="28"/>
              <w:szCs w:val="28"/>
            </w:rPr>
            <w:fldChar w:fldCharType="end"/>
          </w:r>
          <w:r>
            <w:rPr>
              <w:rFonts w:hint="eastAsia" w:eastAsia="方正小标宋_GBK"/>
              <w:color w:val="auto"/>
              <w:sz w:val="28"/>
              <w:szCs w:val="28"/>
            </w:rPr>
            <w:fldChar w:fldCharType="end"/>
          </w:r>
        </w:p>
        <w:p w14:paraId="52FC576D">
          <w:pPr>
            <w:pStyle w:val="20"/>
            <w:tabs>
              <w:tab w:val="right" w:leader="dot" w:pos="8306"/>
            </w:tabs>
            <w:spacing w:line="480" w:lineRule="exact"/>
            <w:ind w:firstLine="0" w:firstLineChars="0"/>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_Toc1687275768 </w:instrText>
          </w:r>
          <w:r>
            <w:rPr>
              <w:rFonts w:hint="eastAsia" w:eastAsia="方正小标宋_GBK"/>
              <w:color w:val="auto"/>
              <w:sz w:val="28"/>
              <w:szCs w:val="28"/>
            </w:rPr>
            <w:fldChar w:fldCharType="separate"/>
          </w:r>
          <w:r>
            <w:rPr>
              <w:rFonts w:hint="eastAsia" w:ascii="Times New Roman" w:hAnsi="Times New Roman" w:eastAsia="方正黑体_GBK" w:cs="方正黑体_GBK"/>
              <w:color w:val="auto"/>
              <w:sz w:val="28"/>
              <w:szCs w:val="28"/>
            </w:rPr>
            <w:t>第十五章 强化规划实施保障 擘画现代化云冈美好蓝图</w:t>
          </w:r>
          <w:r>
            <w:rPr>
              <w:color w:val="auto"/>
              <w:sz w:val="28"/>
              <w:szCs w:val="28"/>
            </w:rPr>
            <w:tab/>
          </w:r>
          <w:r>
            <w:rPr>
              <w:color w:val="auto"/>
              <w:sz w:val="28"/>
              <w:szCs w:val="28"/>
            </w:rPr>
            <w:fldChar w:fldCharType="begin"/>
          </w:r>
          <w:r>
            <w:rPr>
              <w:color w:val="auto"/>
              <w:sz w:val="28"/>
              <w:szCs w:val="28"/>
            </w:rPr>
            <w:instrText xml:space="preserve"> PAGEREF _Toc1687275768 \h </w:instrText>
          </w:r>
          <w:r>
            <w:rPr>
              <w:color w:val="auto"/>
              <w:sz w:val="28"/>
              <w:szCs w:val="28"/>
            </w:rPr>
            <w:fldChar w:fldCharType="separate"/>
          </w:r>
          <w:r>
            <w:rPr>
              <w:color w:val="auto"/>
              <w:sz w:val="28"/>
              <w:szCs w:val="28"/>
            </w:rPr>
            <w:t>98</w:t>
          </w:r>
          <w:r>
            <w:rPr>
              <w:color w:val="auto"/>
              <w:sz w:val="28"/>
              <w:szCs w:val="28"/>
            </w:rPr>
            <w:fldChar w:fldCharType="end"/>
          </w:r>
          <w:r>
            <w:rPr>
              <w:rFonts w:hint="eastAsia" w:eastAsia="方正小标宋_GBK"/>
              <w:color w:val="auto"/>
              <w:sz w:val="28"/>
              <w:szCs w:val="28"/>
            </w:rPr>
            <w:fldChar w:fldCharType="end"/>
          </w:r>
        </w:p>
        <w:p w14:paraId="5710ACC8">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_Toc522274141 </w:instrText>
          </w:r>
          <w:r>
            <w:rPr>
              <w:rFonts w:hint="eastAsia" w:eastAsia="方正小标宋_GBK"/>
              <w:color w:val="auto"/>
              <w:sz w:val="28"/>
              <w:szCs w:val="28"/>
            </w:rPr>
            <w:fldChar w:fldCharType="separate"/>
          </w:r>
          <w:r>
            <w:rPr>
              <w:rFonts w:hint="eastAsia" w:eastAsia="楷体" w:cs="Times New Roman"/>
              <w:color w:val="auto"/>
              <w:sz w:val="28"/>
              <w:szCs w:val="28"/>
            </w:rPr>
            <w:t>第一节  坚持和加强党的全面领导</w:t>
          </w:r>
          <w:r>
            <w:rPr>
              <w:color w:val="auto"/>
              <w:sz w:val="28"/>
              <w:szCs w:val="28"/>
            </w:rPr>
            <w:tab/>
          </w:r>
          <w:r>
            <w:rPr>
              <w:color w:val="auto"/>
              <w:sz w:val="28"/>
              <w:szCs w:val="28"/>
            </w:rPr>
            <w:fldChar w:fldCharType="begin"/>
          </w:r>
          <w:r>
            <w:rPr>
              <w:color w:val="auto"/>
              <w:sz w:val="28"/>
              <w:szCs w:val="28"/>
            </w:rPr>
            <w:instrText xml:space="preserve"> PAGEREF _Toc522274141 \h </w:instrText>
          </w:r>
          <w:r>
            <w:rPr>
              <w:color w:val="auto"/>
              <w:sz w:val="28"/>
              <w:szCs w:val="28"/>
            </w:rPr>
            <w:fldChar w:fldCharType="separate"/>
          </w:r>
          <w:r>
            <w:rPr>
              <w:color w:val="auto"/>
              <w:sz w:val="28"/>
              <w:szCs w:val="28"/>
            </w:rPr>
            <w:t>98</w:t>
          </w:r>
          <w:r>
            <w:rPr>
              <w:color w:val="auto"/>
              <w:sz w:val="28"/>
              <w:szCs w:val="28"/>
            </w:rPr>
            <w:fldChar w:fldCharType="end"/>
          </w:r>
          <w:r>
            <w:rPr>
              <w:rFonts w:hint="eastAsia" w:eastAsia="方正小标宋_GBK"/>
              <w:color w:val="auto"/>
              <w:sz w:val="28"/>
              <w:szCs w:val="28"/>
            </w:rPr>
            <w:fldChar w:fldCharType="end"/>
          </w:r>
        </w:p>
        <w:p w14:paraId="1EB9367C">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_Toc1095822498 </w:instrText>
          </w:r>
          <w:r>
            <w:rPr>
              <w:rFonts w:hint="eastAsia" w:eastAsia="方正小标宋_GBK"/>
              <w:color w:val="auto"/>
              <w:sz w:val="28"/>
              <w:szCs w:val="28"/>
            </w:rPr>
            <w:fldChar w:fldCharType="separate"/>
          </w:r>
          <w:r>
            <w:rPr>
              <w:rFonts w:hint="eastAsia" w:eastAsia="楷体" w:cs="Times New Roman"/>
              <w:color w:val="auto"/>
              <w:sz w:val="28"/>
              <w:szCs w:val="28"/>
            </w:rPr>
            <w:t>第二节</w:t>
          </w:r>
          <w:r>
            <w:rPr>
              <w:rFonts w:eastAsia="楷体" w:cs="Times New Roman"/>
              <w:color w:val="auto"/>
              <w:sz w:val="28"/>
              <w:szCs w:val="28"/>
            </w:rPr>
            <w:t xml:space="preserve"> </w:t>
          </w:r>
          <w:r>
            <w:rPr>
              <w:rFonts w:hint="eastAsia" w:eastAsia="楷体" w:cs="Times New Roman"/>
              <w:color w:val="auto"/>
              <w:sz w:val="28"/>
              <w:szCs w:val="28"/>
            </w:rPr>
            <w:t xml:space="preserve"> 加强社会主义民主法治建设</w:t>
          </w:r>
          <w:r>
            <w:rPr>
              <w:color w:val="auto"/>
              <w:sz w:val="28"/>
              <w:szCs w:val="28"/>
            </w:rPr>
            <w:tab/>
          </w:r>
          <w:r>
            <w:rPr>
              <w:color w:val="auto"/>
              <w:sz w:val="28"/>
              <w:szCs w:val="28"/>
            </w:rPr>
            <w:fldChar w:fldCharType="begin"/>
          </w:r>
          <w:r>
            <w:rPr>
              <w:color w:val="auto"/>
              <w:sz w:val="28"/>
              <w:szCs w:val="28"/>
            </w:rPr>
            <w:instrText xml:space="preserve"> PAGEREF _Toc1095822498 \h </w:instrText>
          </w:r>
          <w:r>
            <w:rPr>
              <w:color w:val="auto"/>
              <w:sz w:val="28"/>
              <w:szCs w:val="28"/>
            </w:rPr>
            <w:fldChar w:fldCharType="separate"/>
          </w:r>
          <w:r>
            <w:rPr>
              <w:color w:val="auto"/>
              <w:sz w:val="28"/>
              <w:szCs w:val="28"/>
            </w:rPr>
            <w:t>98</w:t>
          </w:r>
          <w:r>
            <w:rPr>
              <w:color w:val="auto"/>
              <w:sz w:val="28"/>
              <w:szCs w:val="28"/>
            </w:rPr>
            <w:fldChar w:fldCharType="end"/>
          </w:r>
          <w:r>
            <w:rPr>
              <w:rFonts w:hint="eastAsia" w:eastAsia="方正小标宋_GBK"/>
              <w:color w:val="auto"/>
              <w:sz w:val="28"/>
              <w:szCs w:val="28"/>
            </w:rPr>
            <w:fldChar w:fldCharType="end"/>
          </w:r>
        </w:p>
        <w:p w14:paraId="65D9FAF7">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_Toc668967214 </w:instrText>
          </w:r>
          <w:r>
            <w:rPr>
              <w:rFonts w:hint="eastAsia" w:eastAsia="方正小标宋_GBK"/>
              <w:color w:val="auto"/>
              <w:sz w:val="28"/>
              <w:szCs w:val="28"/>
            </w:rPr>
            <w:fldChar w:fldCharType="separate"/>
          </w:r>
          <w:r>
            <w:rPr>
              <w:rFonts w:hint="eastAsia" w:eastAsia="楷体" w:cs="Times New Roman"/>
              <w:color w:val="auto"/>
              <w:sz w:val="28"/>
              <w:szCs w:val="28"/>
            </w:rPr>
            <w:t>第三节  强化各项政策配套保障</w:t>
          </w:r>
          <w:r>
            <w:rPr>
              <w:color w:val="auto"/>
              <w:sz w:val="28"/>
              <w:szCs w:val="28"/>
            </w:rPr>
            <w:tab/>
          </w:r>
          <w:r>
            <w:rPr>
              <w:color w:val="auto"/>
              <w:sz w:val="28"/>
              <w:szCs w:val="28"/>
            </w:rPr>
            <w:fldChar w:fldCharType="begin"/>
          </w:r>
          <w:r>
            <w:rPr>
              <w:color w:val="auto"/>
              <w:sz w:val="28"/>
              <w:szCs w:val="28"/>
            </w:rPr>
            <w:instrText xml:space="preserve"> PAGEREF _Toc668967214 \h </w:instrText>
          </w:r>
          <w:r>
            <w:rPr>
              <w:color w:val="auto"/>
              <w:sz w:val="28"/>
              <w:szCs w:val="28"/>
            </w:rPr>
            <w:fldChar w:fldCharType="separate"/>
          </w:r>
          <w:r>
            <w:rPr>
              <w:color w:val="auto"/>
              <w:sz w:val="28"/>
              <w:szCs w:val="28"/>
            </w:rPr>
            <w:t>99</w:t>
          </w:r>
          <w:r>
            <w:rPr>
              <w:color w:val="auto"/>
              <w:sz w:val="28"/>
              <w:szCs w:val="28"/>
            </w:rPr>
            <w:fldChar w:fldCharType="end"/>
          </w:r>
          <w:r>
            <w:rPr>
              <w:rFonts w:hint="eastAsia" w:eastAsia="方正小标宋_GBK"/>
              <w:color w:val="auto"/>
              <w:sz w:val="28"/>
              <w:szCs w:val="28"/>
            </w:rPr>
            <w:fldChar w:fldCharType="end"/>
          </w:r>
        </w:p>
        <w:p w14:paraId="272ABDA9">
          <w:pPr>
            <w:pStyle w:val="24"/>
            <w:tabs>
              <w:tab w:val="right" w:leader="dot" w:pos="8306"/>
              <w:tab w:val="clear" w:pos="8296"/>
            </w:tabs>
            <w:spacing w:line="480" w:lineRule="exact"/>
            <w:rPr>
              <w:color w:val="auto"/>
              <w:sz w:val="28"/>
              <w:szCs w:val="28"/>
            </w:rPr>
          </w:pPr>
          <w:r>
            <w:rPr>
              <w:rFonts w:hint="eastAsia" w:eastAsia="方正小标宋_GBK"/>
              <w:color w:val="auto"/>
              <w:sz w:val="28"/>
              <w:szCs w:val="28"/>
            </w:rPr>
            <w:fldChar w:fldCharType="begin"/>
          </w:r>
          <w:r>
            <w:rPr>
              <w:rFonts w:hint="eastAsia" w:eastAsia="方正小标宋_GBK"/>
              <w:color w:val="auto"/>
              <w:sz w:val="28"/>
              <w:szCs w:val="28"/>
            </w:rPr>
            <w:instrText xml:space="preserve"> HYPERLINK \l _Toc1255073653 </w:instrText>
          </w:r>
          <w:r>
            <w:rPr>
              <w:rFonts w:hint="eastAsia" w:eastAsia="方正小标宋_GBK"/>
              <w:color w:val="auto"/>
              <w:sz w:val="28"/>
              <w:szCs w:val="28"/>
            </w:rPr>
            <w:fldChar w:fldCharType="separate"/>
          </w:r>
          <w:r>
            <w:rPr>
              <w:rFonts w:hint="eastAsia" w:eastAsia="楷体" w:cs="Times New Roman"/>
              <w:color w:val="auto"/>
              <w:sz w:val="28"/>
              <w:szCs w:val="28"/>
            </w:rPr>
            <w:t>第四节  完善规划监督评估体系</w:t>
          </w:r>
          <w:r>
            <w:rPr>
              <w:color w:val="auto"/>
              <w:sz w:val="28"/>
              <w:szCs w:val="28"/>
            </w:rPr>
            <w:tab/>
          </w:r>
          <w:r>
            <w:rPr>
              <w:color w:val="auto"/>
              <w:sz w:val="28"/>
              <w:szCs w:val="28"/>
            </w:rPr>
            <w:fldChar w:fldCharType="begin"/>
          </w:r>
          <w:r>
            <w:rPr>
              <w:color w:val="auto"/>
              <w:sz w:val="28"/>
              <w:szCs w:val="28"/>
            </w:rPr>
            <w:instrText xml:space="preserve"> PAGEREF _Toc1255073653 \h </w:instrText>
          </w:r>
          <w:r>
            <w:rPr>
              <w:color w:val="auto"/>
              <w:sz w:val="28"/>
              <w:szCs w:val="28"/>
            </w:rPr>
            <w:fldChar w:fldCharType="separate"/>
          </w:r>
          <w:r>
            <w:rPr>
              <w:color w:val="auto"/>
              <w:sz w:val="28"/>
              <w:szCs w:val="28"/>
            </w:rPr>
            <w:t>99</w:t>
          </w:r>
          <w:r>
            <w:rPr>
              <w:color w:val="auto"/>
              <w:sz w:val="28"/>
              <w:szCs w:val="28"/>
            </w:rPr>
            <w:fldChar w:fldCharType="end"/>
          </w:r>
          <w:r>
            <w:rPr>
              <w:rFonts w:hint="eastAsia" w:eastAsia="方正小标宋_GBK"/>
              <w:color w:val="auto"/>
              <w:sz w:val="28"/>
              <w:szCs w:val="28"/>
            </w:rPr>
            <w:fldChar w:fldCharType="end"/>
          </w:r>
        </w:p>
        <w:p w14:paraId="114F266C">
          <w:pPr>
            <w:spacing w:line="480" w:lineRule="exact"/>
            <w:ind w:firstLine="0" w:firstLineChars="0"/>
            <w:rPr>
              <w:color w:val="auto"/>
            </w:rPr>
          </w:pPr>
          <w:r>
            <w:rPr>
              <w:rFonts w:hint="eastAsia" w:eastAsia="方正小标宋_GBK"/>
              <w:color w:val="auto"/>
              <w:sz w:val="28"/>
              <w:szCs w:val="28"/>
            </w:rPr>
            <w:fldChar w:fldCharType="end"/>
          </w:r>
        </w:p>
      </w:sdtContent>
    </w:sdt>
    <w:p w14:paraId="7EF98E4E">
      <w:pPr>
        <w:spacing w:line="580" w:lineRule="exact"/>
        <w:ind w:firstLine="480"/>
        <w:rPr>
          <w:color w:val="auto"/>
        </w:rPr>
        <w:sectPr>
          <w:headerReference r:id="rId13" w:type="first"/>
          <w:footerReference r:id="rId16" w:type="first"/>
          <w:headerReference r:id="rId11" w:type="default"/>
          <w:footerReference r:id="rId14" w:type="default"/>
          <w:headerReference r:id="rId12" w:type="even"/>
          <w:footerReference r:id="rId15" w:type="even"/>
          <w:pgSz w:w="11906" w:h="16838"/>
          <w:pgMar w:top="1440" w:right="1800" w:bottom="1440" w:left="1800" w:header="851" w:footer="992" w:gutter="0"/>
          <w:pgNumType w:fmt="decimal"/>
          <w:cols w:space="425" w:num="1"/>
          <w:docGrid w:type="lines" w:linePitch="312" w:charSpace="0"/>
        </w:sectPr>
      </w:pPr>
    </w:p>
    <w:p w14:paraId="7977333B">
      <w:pPr>
        <w:keepNext w:val="0"/>
        <w:keepLines w:val="0"/>
        <w:pageBreakBefore w:val="0"/>
        <w:widowControl/>
        <w:kinsoku/>
        <w:wordWrap/>
        <w:overflowPunct/>
        <w:topLinePunct w:val="0"/>
        <w:autoSpaceDE/>
        <w:autoSpaceDN/>
        <w:bidi w:val="0"/>
        <w:adjustRightInd/>
        <w:snapToGrid/>
        <w:spacing w:before="313" w:beforeLines="100" w:line="700" w:lineRule="exact"/>
        <w:ind w:firstLine="0" w:firstLineChars="0"/>
        <w:jc w:val="center"/>
        <w:textAlignment w:val="auto"/>
        <w:rPr>
          <w:rFonts w:eastAsia="方正小标宋_GBK" w:cs="方正小标宋_GBK"/>
          <w:bCs/>
          <w:color w:val="auto"/>
          <w:kern w:val="44"/>
          <w:sz w:val="44"/>
          <w:szCs w:val="44"/>
        </w:rPr>
      </w:pPr>
      <w:bookmarkStart w:id="15" w:name="_Toc1036901482"/>
      <w:r>
        <w:rPr>
          <w:rFonts w:hint="eastAsia" w:eastAsia="方正小标宋_GBK" w:cs="方正小标宋_GBK"/>
          <w:bCs/>
          <w:color w:val="auto"/>
          <w:kern w:val="44"/>
          <w:sz w:val="44"/>
          <w:szCs w:val="44"/>
        </w:rPr>
        <w:t>云冈区国民经济和社会发展第十五个五年</w:t>
      </w:r>
    </w:p>
    <w:p w14:paraId="519C8A57">
      <w:pPr>
        <w:keepNext w:val="0"/>
        <w:keepLines w:val="0"/>
        <w:pageBreakBefore w:val="0"/>
        <w:widowControl/>
        <w:kinsoku/>
        <w:wordWrap/>
        <w:overflowPunct/>
        <w:topLinePunct w:val="0"/>
        <w:autoSpaceDE/>
        <w:autoSpaceDN/>
        <w:bidi w:val="0"/>
        <w:adjustRightInd/>
        <w:snapToGrid/>
        <w:spacing w:line="700" w:lineRule="exact"/>
        <w:ind w:firstLine="0" w:firstLineChars="0"/>
        <w:jc w:val="center"/>
        <w:textAlignment w:val="auto"/>
        <w:rPr>
          <w:rFonts w:eastAsia="方正小标宋_GBK" w:cs="方正小标宋_GBK"/>
          <w:bCs/>
          <w:color w:val="auto"/>
          <w:kern w:val="44"/>
          <w:sz w:val="44"/>
          <w:szCs w:val="44"/>
        </w:rPr>
      </w:pPr>
      <w:r>
        <w:rPr>
          <w:rFonts w:hint="eastAsia" w:eastAsia="方正小标宋_GBK" w:cs="方正小标宋_GBK"/>
          <w:bCs/>
          <w:color w:val="auto"/>
          <w:kern w:val="44"/>
          <w:sz w:val="44"/>
          <w:szCs w:val="44"/>
        </w:rPr>
        <w:t>规划纲要</w:t>
      </w:r>
    </w:p>
    <w:p w14:paraId="1F20AFE2">
      <w:pPr>
        <w:widowControl/>
        <w:spacing w:line="580" w:lineRule="exact"/>
        <w:ind w:firstLine="0" w:firstLineChars="0"/>
        <w:jc w:val="center"/>
        <w:rPr>
          <w:rFonts w:eastAsia="方正小标宋_GBK" w:cs="方正小标宋_GBK"/>
          <w:bCs/>
          <w:color w:val="auto"/>
          <w:kern w:val="44"/>
          <w:sz w:val="44"/>
          <w:szCs w:val="44"/>
        </w:rPr>
      </w:pPr>
    </w:p>
    <w:p w14:paraId="5DB9C6D9">
      <w:pPr>
        <w:snapToGrid w:val="0"/>
        <w:spacing w:line="580" w:lineRule="exact"/>
        <w:ind w:firstLine="600"/>
        <w:rPr>
          <w:color w:val="auto"/>
        </w:rPr>
      </w:pPr>
      <w:r>
        <w:rPr>
          <w:rFonts w:hint="eastAsia" w:eastAsia="方正仿宋_GBK" w:cs="Times New Roman"/>
          <w:color w:val="auto"/>
          <w:sz w:val="30"/>
          <w:szCs w:val="30"/>
          <w14:ligatures w14:val="standardContextual"/>
        </w:rPr>
        <w:t>“十五五”时期，是我国全面建设社会主义现代化国家奠定坚实基础的关键五年，也是云冈区推动高质量转型发展、决胜2035年基本实现现代化目标的攻坚五年。《云冈区国民经济和社会发展第十五个五年规划纲要》是以习近平新时代中国特色社会主义思想为指导，全面贯彻党的二十大和二十届历次全会精神，深入贯彻习近平总书记对山西工作的重要讲话重要指示精神，认真落实省委十二届十一次全会</w:t>
      </w:r>
      <w:bookmarkStart w:id="16" w:name="OLE_LINK8"/>
      <w:r>
        <w:rPr>
          <w:rFonts w:hint="eastAsia" w:eastAsia="方正仿宋_GBK" w:cs="Times New Roman"/>
          <w:color w:val="auto"/>
          <w:sz w:val="30"/>
          <w:szCs w:val="30"/>
          <w14:ligatures w14:val="standardContextual"/>
        </w:rPr>
        <w:t>、市委十六届十次全会</w:t>
      </w:r>
      <w:bookmarkEnd w:id="16"/>
      <w:r>
        <w:rPr>
          <w:rFonts w:hint="eastAsia" w:eastAsia="方正仿宋_GBK" w:cs="Times New Roman"/>
          <w:color w:val="auto"/>
          <w:sz w:val="30"/>
          <w:szCs w:val="30"/>
          <w14:ligatures w14:val="standardContextual"/>
        </w:rPr>
        <w:t>和区委二届十一次全会精神，根据《中共云冈区委关于制定国民经济和社会发展第十五个五年规划的建议》编制，主要阐明全区经济社会发展的战略意图，明确政府工作重点，是政府履行经济调节、社会管理、公共服务、基础设施建设、生态环境保护职能的重要依据，是引领全区人民共同奋斗、努力在推动资源型经济转型发展上迈出新步伐、奋力推进云冈基本实现现代化进程的行动纲领，是全区人民的共同愿景。</w:t>
      </w:r>
    </w:p>
    <w:bookmarkEnd w:id="15"/>
    <w:p w14:paraId="36CA4C65">
      <w:pPr>
        <w:pStyle w:val="61"/>
        <w:keepNext w:val="0"/>
        <w:keepLines w:val="0"/>
        <w:pageBreakBefore w:val="0"/>
        <w:widowControl w:val="0"/>
        <w:kinsoku/>
        <w:wordWrap/>
        <w:overflowPunct/>
        <w:topLinePunct w:val="0"/>
        <w:autoSpaceDE/>
        <w:autoSpaceDN/>
        <w:bidi w:val="0"/>
        <w:adjustRightInd/>
        <w:snapToGrid/>
        <w:spacing w:before="156" w:beforeLines="50" w:after="0" w:line="580" w:lineRule="exact"/>
        <w:ind w:firstLine="0" w:firstLineChars="0"/>
        <w:jc w:val="center"/>
        <w:textAlignment w:val="auto"/>
        <w:rPr>
          <w:rFonts w:hint="eastAsia" w:ascii="Times New Roman" w:hAnsi="Times New Roman" w:eastAsia="方正黑体_GBK" w:cs="方正黑体_GBK"/>
          <w:color w:val="auto"/>
        </w:rPr>
      </w:pPr>
      <w:bookmarkStart w:id="17" w:name="_Toc1341587322"/>
      <w:bookmarkStart w:id="18" w:name="_Toc1843414379"/>
      <w:bookmarkStart w:id="19" w:name="_Toc1623491327"/>
      <w:bookmarkStart w:id="20" w:name="_Toc966925506"/>
      <w:bookmarkStart w:id="21" w:name="OLE_LINK16"/>
      <w:bookmarkStart w:id="22" w:name="_Toc1108222493"/>
      <w:bookmarkStart w:id="23" w:name="_Toc373412569"/>
      <w:bookmarkStart w:id="24" w:name="_Toc91514107"/>
      <w:bookmarkStart w:id="25" w:name="_Hlk214044193"/>
      <w:r>
        <w:rPr>
          <w:rFonts w:hint="eastAsia" w:ascii="Times New Roman" w:hAnsi="Times New Roman" w:eastAsia="方正黑体_GBK" w:cs="方正黑体_GBK"/>
          <w:color w:val="auto"/>
        </w:rPr>
        <w:t>第一章 坚决扛牢重大使命 奋力谱写中国式现代化云冈</w:t>
      </w:r>
    </w:p>
    <w:p w14:paraId="7361F568">
      <w:pPr>
        <w:pStyle w:val="61"/>
        <w:keepNext w:val="0"/>
        <w:keepLines w:val="0"/>
        <w:pageBreakBefore w:val="0"/>
        <w:widowControl w:val="0"/>
        <w:kinsoku/>
        <w:wordWrap/>
        <w:overflowPunct/>
        <w:topLinePunct w:val="0"/>
        <w:autoSpaceDE/>
        <w:autoSpaceDN/>
        <w:bidi w:val="0"/>
        <w:adjustRightInd/>
        <w:snapToGrid/>
        <w:spacing w:after="156" w:afterLines="50" w:line="580" w:lineRule="exact"/>
        <w:ind w:firstLine="0" w:firstLineChars="0"/>
        <w:jc w:val="center"/>
        <w:textAlignment w:val="auto"/>
        <w:rPr>
          <w:rFonts w:ascii="Times New Roman" w:hAnsi="Times New Roman" w:eastAsia="方正黑体_GBK" w:cs="方正黑体_GBK"/>
          <w:color w:val="auto"/>
        </w:rPr>
      </w:pPr>
      <w:r>
        <w:rPr>
          <w:rFonts w:hint="eastAsia" w:ascii="Times New Roman" w:hAnsi="Times New Roman" w:eastAsia="方正黑体_GBK" w:cs="方正黑体_GBK"/>
          <w:color w:val="auto"/>
        </w:rPr>
        <w:t>新篇章</w:t>
      </w:r>
      <w:bookmarkEnd w:id="17"/>
      <w:bookmarkEnd w:id="18"/>
      <w:bookmarkEnd w:id="19"/>
      <w:bookmarkEnd w:id="20"/>
    </w:p>
    <w:p w14:paraId="06425183">
      <w:pPr>
        <w:snapToGrid w:val="0"/>
        <w:spacing w:line="580" w:lineRule="exact"/>
        <w:ind w:left="0" w:leftChars="0" w:firstLine="600" w:firstLineChars="200"/>
        <w:rPr>
          <w:rFonts w:hint="eastAsia" w:eastAsia="方正仿宋_GBK" w:cs="Times New Roman"/>
          <w:color w:val="auto"/>
          <w:sz w:val="30"/>
          <w:szCs w:val="30"/>
          <w14:ligatures w14:val="standardContextual"/>
        </w:rPr>
        <w:sectPr>
          <w:headerReference r:id="rId17" w:type="default"/>
          <w:footerReference r:id="rId19" w:type="default"/>
          <w:headerReference r:id="rId18" w:type="even"/>
          <w:footerReference r:id="rId20" w:type="even"/>
          <w:pgSz w:w="11906" w:h="16838"/>
          <w:pgMar w:top="1440" w:right="1800" w:bottom="1440" w:left="1800" w:header="851" w:footer="992" w:gutter="0"/>
          <w:pgNumType w:fmt="decimal" w:start="1"/>
          <w:cols w:space="0" w:num="1"/>
          <w:rtlGutter w:val="0"/>
          <w:docGrid w:type="lines" w:linePitch="312" w:charSpace="0"/>
        </w:sectPr>
      </w:pPr>
      <w:r>
        <w:rPr>
          <w:rFonts w:hint="eastAsia" w:eastAsia="方正仿宋_GBK" w:cs="Times New Roman"/>
          <w:color w:val="auto"/>
          <w:sz w:val="30"/>
          <w:szCs w:val="30"/>
          <w14:ligatures w14:val="standardContextual"/>
        </w:rPr>
        <w:t>“十五五”时期，需科学研判国内外发展环境和条件的深刻变化，准确把握新形势下云冈面临的新使命新机遇，准确把握“十五五”时期云冈所处的历史方位和阶段性战略要求，深入贯彻新</w:t>
      </w:r>
    </w:p>
    <w:p w14:paraId="03DE78C4">
      <w:pPr>
        <w:snapToGrid w:val="0"/>
        <w:spacing w:line="580" w:lineRule="exact"/>
        <w:ind w:left="0" w:leftChars="0" w:firstLine="0" w:firstLineChars="0"/>
        <w:rPr>
          <w:rFonts w:hint="eastAsia" w:eastAsia="方正仿宋_GBK" w:cs="Times New Roman"/>
          <w:color w:val="auto"/>
          <w:sz w:val="30"/>
          <w:szCs w:val="30"/>
          <w14:ligatures w14:val="standardContextual"/>
        </w:rPr>
      </w:pPr>
      <w:r>
        <w:rPr>
          <w:rFonts w:hint="eastAsia" w:eastAsia="方正仿宋_GBK" w:cs="Times New Roman"/>
          <w:color w:val="auto"/>
          <w:sz w:val="30"/>
          <w:szCs w:val="30"/>
          <w14:ligatures w14:val="standardContextual"/>
        </w:rPr>
        <w:t>发展理念，坚持高质量发展不动摇，在山西建设国家资源型经济转型综合配套改革试验区中展现云冈作为，为云冈基本实现现代化奠定关键基础。</w:t>
      </w:r>
      <w:bookmarkEnd w:id="21"/>
      <w:bookmarkEnd w:id="22"/>
      <w:bookmarkEnd w:id="23"/>
      <w:bookmarkEnd w:id="24"/>
      <w:bookmarkStart w:id="26" w:name="_Toc217274680"/>
      <w:bookmarkStart w:id="27" w:name="_Toc518892584"/>
      <w:bookmarkStart w:id="28" w:name="_Toc1627311001"/>
      <w:bookmarkStart w:id="29" w:name="_Toc479305097"/>
      <w:bookmarkStart w:id="30" w:name="_Toc769769420"/>
      <w:bookmarkStart w:id="31" w:name="OLE_LINK26"/>
      <w:bookmarkStart w:id="32" w:name="_Toc997830649"/>
    </w:p>
    <w:p w14:paraId="7BCC50E0">
      <w:pPr>
        <w:spacing w:line="580" w:lineRule="exact"/>
        <w:ind w:firstLine="0" w:firstLineChars="0"/>
        <w:jc w:val="center"/>
        <w:outlineLvl w:val="1"/>
        <w:rPr>
          <w:rFonts w:hint="eastAsia" w:eastAsia="楷体" w:cs="Times New Roman"/>
          <w:color w:val="auto"/>
          <w:sz w:val="30"/>
          <w:szCs w:val="30"/>
        </w:rPr>
      </w:pPr>
      <w:r>
        <w:rPr>
          <w:rFonts w:hint="eastAsia" w:eastAsia="楷体" w:cs="Times New Roman"/>
          <w:color w:val="auto"/>
          <w:sz w:val="30"/>
          <w:szCs w:val="30"/>
        </w:rPr>
        <w:t>第一节  “十四五”发展成就</w:t>
      </w:r>
      <w:bookmarkEnd w:id="26"/>
      <w:bookmarkEnd w:id="27"/>
      <w:bookmarkEnd w:id="28"/>
    </w:p>
    <w:p w14:paraId="233C4B13">
      <w:pPr>
        <w:snapToGrid w:val="0"/>
        <w:spacing w:line="580" w:lineRule="exact"/>
        <w:ind w:firstLine="600"/>
        <w:rPr>
          <w:rFonts w:eastAsia="方正仿宋_GBK" w:cs="Times New Roman"/>
          <w:color w:val="auto"/>
          <w:sz w:val="30"/>
          <w:szCs w:val="30"/>
          <w14:ligatures w14:val="standardContextual"/>
        </w:rPr>
      </w:pPr>
      <w:r>
        <w:rPr>
          <w:rFonts w:hint="eastAsia" w:eastAsia="方正仿宋_GBK" w:cs="Times New Roman"/>
          <w:color w:val="auto"/>
          <w:sz w:val="30"/>
          <w:szCs w:val="30"/>
          <w14:ligatures w14:val="standardContextual"/>
        </w:rPr>
        <w:t>“十四五”时期是云冈区区划调整后历经的极不平凡、极不寻常的五年。</w:t>
      </w:r>
      <w:bookmarkStart w:id="33" w:name="OLE_LINK10"/>
      <w:r>
        <w:rPr>
          <w:rFonts w:hint="eastAsia" w:eastAsia="方正仿宋_GBK" w:cs="Times New Roman"/>
          <w:color w:val="auto"/>
          <w:sz w:val="30"/>
          <w:szCs w:val="30"/>
          <w14:ligatures w14:val="standardContextual"/>
        </w:rPr>
        <w:t>面对错综复杂的国际形势</w:t>
      </w:r>
      <w:bookmarkEnd w:id="33"/>
      <w:r>
        <w:rPr>
          <w:rFonts w:hint="eastAsia" w:eastAsia="方正仿宋_GBK" w:cs="Times New Roman"/>
          <w:color w:val="auto"/>
          <w:sz w:val="30"/>
          <w:szCs w:val="30"/>
          <w14:ligatures w14:val="standardContextual"/>
        </w:rPr>
        <w:t>和艰巨繁重的国内改革发展稳定任务，能源市场波动和经济下行压力等多重挑战，在市委、市政府坚强领导下，区委、区政府团结带领全区人民坚持以习近平新时代中国特色社会主义思想为指导，紧紧围绕市委“奋斗两个五年、跨入第一方阵”总目标和“融入京津冀、打造桥头堡”重大战略，聚焦建设能源之城、算力之城、文化之城，扎实推动“转型四步走”，持续深耕“四大赛道”，全力以赴稳增长、谋发展、惠民生、保稳定，全区经济社会发展和党的建设各项事业取得新的重大成就，较好地完成了“十四五”规划纲要预期目标，中国式现代化在云冈展现出勃勃生机。</w:t>
      </w:r>
    </w:p>
    <w:p w14:paraId="4166E798">
      <w:pPr>
        <w:snapToGrid w:val="0"/>
        <w:spacing w:line="580" w:lineRule="exact"/>
        <w:ind w:left="0" w:leftChars="0" w:firstLine="602" w:firstLineChars="0"/>
        <w:rPr>
          <w:rFonts w:eastAsia="方正仿宋_GBK" w:cs="Times New Roman"/>
          <w:color w:val="auto"/>
          <w:sz w:val="30"/>
          <w:szCs w:val="30"/>
          <w14:ligatures w14:val="standardContextual"/>
        </w:rPr>
      </w:pPr>
      <w:r>
        <w:rPr>
          <w:rFonts w:hint="eastAsia" w:eastAsia="方正仿宋_GBK" w:cs="Times New Roman"/>
          <w:b/>
          <w:color w:val="auto"/>
          <w:sz w:val="30"/>
          <w:szCs w:val="30"/>
          <w14:ligatures w14:val="standardContextual"/>
        </w:rPr>
        <w:t>经济综合实力</w:t>
      </w:r>
      <w:bookmarkStart w:id="34" w:name="_Hlk217243519"/>
      <w:r>
        <w:rPr>
          <w:rFonts w:hint="eastAsia" w:eastAsia="方正仿宋_GBK"/>
          <w:b/>
          <w:bCs/>
          <w:color w:val="auto"/>
          <w:sz w:val="30"/>
          <w:szCs w:val="30"/>
        </w:rPr>
        <w:t>显著提升</w:t>
      </w:r>
      <w:bookmarkEnd w:id="34"/>
      <w:r>
        <w:rPr>
          <w:rFonts w:hint="eastAsia" w:eastAsia="方正仿宋_GBK" w:cs="Times New Roman"/>
          <w:b/>
          <w:color w:val="auto"/>
          <w:sz w:val="30"/>
          <w:szCs w:val="30"/>
          <w14:ligatures w14:val="standardContextual"/>
        </w:rPr>
        <w:t>。</w:t>
      </w:r>
      <w:r>
        <w:rPr>
          <w:rFonts w:hint="eastAsia" w:eastAsia="方正仿宋_GBK" w:cs="Times New Roman"/>
          <w:color w:val="auto"/>
          <w:sz w:val="30"/>
          <w:szCs w:val="30"/>
          <w14:ligatures w14:val="standardContextual"/>
        </w:rPr>
        <w:t>全区经济运行稳中有进，地区生产总值稳步跃升，由2021年的513.3亿元增至2025年的</w:t>
      </w:r>
      <w:r>
        <w:rPr>
          <w:rFonts w:eastAsia="方正仿宋_GBK" w:cs="Times New Roman"/>
          <w:color w:val="auto"/>
          <w:sz w:val="30"/>
          <w:szCs w:val="30"/>
          <w14:ligatures w14:val="standardContextual"/>
        </w:rPr>
        <w:t>528.4</w:t>
      </w:r>
      <w:r>
        <w:rPr>
          <w:rFonts w:hint="eastAsia" w:eastAsia="方正仿宋_GBK" w:cs="Times New Roman"/>
          <w:color w:val="auto"/>
          <w:sz w:val="30"/>
          <w:szCs w:val="30"/>
          <w14:ligatures w14:val="standardContextual"/>
        </w:rPr>
        <w:t>亿元，五年年均增长率</w:t>
      </w:r>
      <w:r>
        <w:rPr>
          <w:rFonts w:hint="eastAsia" w:eastAsia="方正仿宋_GBK" w:cs="Times New Roman"/>
          <w:color w:val="auto"/>
          <w:sz w:val="30"/>
          <w:szCs w:val="30"/>
          <w:lang w:val="en-US" w:eastAsia="zh-CN"/>
          <w14:ligatures w14:val="standardContextual"/>
        </w:rPr>
        <w:t>2.6</w:t>
      </w:r>
      <w:r>
        <w:rPr>
          <w:rFonts w:hint="eastAsia" w:eastAsia="方正仿宋_GBK" w:cs="Times New Roman"/>
          <w:color w:val="auto"/>
          <w:sz w:val="30"/>
          <w:szCs w:val="30"/>
          <w14:ligatures w14:val="standardContextual"/>
        </w:rPr>
        <w:t>%，其中前4年总量保持全市第一、为大同市贡献了30％以上地区生产总值和50％规上工业增加值。规模以上工业企业总数提前三年完成“十四五”目标，重大项目投资力度和强度持续加大，2021</w:t>
      </w:r>
      <w:r>
        <w:rPr>
          <w:rFonts w:hint="eastAsia" w:eastAsia="方正仿宋_GBK" w:cs="Times New Roman"/>
          <w:color w:val="auto"/>
          <w:sz w:val="30"/>
          <w:szCs w:val="30"/>
          <w:lang w:eastAsia="zh-CN"/>
          <w14:ligatures w14:val="standardContextual"/>
        </w:rPr>
        <w:t>—</w:t>
      </w:r>
      <w:r>
        <w:rPr>
          <w:rFonts w:hint="eastAsia" w:eastAsia="方正仿宋_GBK" w:cs="Times New Roman"/>
          <w:color w:val="auto"/>
          <w:sz w:val="30"/>
          <w:szCs w:val="30"/>
          <w14:ligatures w14:val="standardContextual"/>
        </w:rPr>
        <w:t>2025年，累计完成固定资产投资规模位居全市第一梯队，五年平均增长</w:t>
      </w:r>
      <w:r>
        <w:rPr>
          <w:rFonts w:hint="eastAsia" w:eastAsia="方正仿宋_GBK" w:cs="Times New Roman"/>
          <w:color w:val="auto"/>
          <w:sz w:val="30"/>
          <w:szCs w:val="30"/>
          <w:lang w:val="en-US" w:eastAsia="zh-CN"/>
          <w14:ligatures w14:val="standardContextual"/>
        </w:rPr>
        <w:t>3.2</w:t>
      </w:r>
      <w:r>
        <w:rPr>
          <w:rFonts w:hint="eastAsia" w:eastAsia="方正仿宋_GBK" w:cs="Times New Roman"/>
          <w:color w:val="auto"/>
          <w:sz w:val="30"/>
          <w:szCs w:val="30"/>
          <w14:ligatures w14:val="standardContextual"/>
        </w:rPr>
        <w:t>%，投资总量自区划以来首次位居全市第一。转型项目投资占开发区工业投资</w:t>
      </w:r>
      <w:r>
        <w:rPr>
          <w:rFonts w:hint="eastAsia" w:eastAsia="方正仿宋_GBK" w:cs="Times New Roman"/>
          <w:color w:val="auto"/>
          <w:sz w:val="30"/>
          <w:szCs w:val="30"/>
          <w:lang w:val="en-US" w:eastAsia="zh-CN"/>
          <w14:ligatures w14:val="standardContextual"/>
        </w:rPr>
        <w:t>比重</w:t>
      </w:r>
      <w:r>
        <w:rPr>
          <w:rFonts w:hint="eastAsia" w:eastAsia="方正仿宋_GBK" w:cs="Times New Roman"/>
          <w:color w:val="auto"/>
          <w:sz w:val="30"/>
          <w:szCs w:val="30"/>
          <w14:ligatures w14:val="standardContextual"/>
        </w:rPr>
        <w:t>超过80%，连续多年在全省考核中达到优秀名次。全区累计完成3.</w:t>
      </w:r>
      <w:r>
        <w:rPr>
          <w:rFonts w:hint="eastAsia" w:eastAsia="方正仿宋_GBK" w:cs="Times New Roman"/>
          <w:color w:val="auto"/>
          <w:sz w:val="30"/>
          <w:szCs w:val="30"/>
          <w:lang w:val="en-US" w:eastAsia="zh-CN"/>
          <w14:ligatures w14:val="standardContextual"/>
        </w:rPr>
        <w:t>7</w:t>
      </w:r>
      <w:r>
        <w:rPr>
          <w:rFonts w:hint="eastAsia" w:eastAsia="方正仿宋_GBK" w:cs="Times New Roman"/>
          <w:color w:val="auto"/>
          <w:sz w:val="30"/>
          <w:szCs w:val="30"/>
          <w14:ligatures w14:val="standardContextual"/>
        </w:rPr>
        <w:t>万亩高标准农田建设任务，粮食总产量由2021年的1.1亿斤增至2025年的</w:t>
      </w:r>
      <w:r>
        <w:rPr>
          <w:rFonts w:hint="eastAsia" w:eastAsia="方正仿宋_GBK" w:cs="Times New Roman"/>
          <w:color w:val="auto"/>
          <w:sz w:val="30"/>
          <w:szCs w:val="30"/>
          <w:lang w:val="en-US" w:eastAsia="zh-CN"/>
          <w14:ligatures w14:val="standardContextual"/>
        </w:rPr>
        <w:t>1.16</w:t>
      </w:r>
      <w:r>
        <w:rPr>
          <w:rFonts w:hint="eastAsia" w:eastAsia="方正仿宋_GBK" w:cs="Times New Roman"/>
          <w:color w:val="auto"/>
          <w:sz w:val="30"/>
          <w:szCs w:val="30"/>
          <w14:ligatures w14:val="standardContextual"/>
        </w:rPr>
        <w:t>亿斤，近五年粮食总产量增长</w:t>
      </w:r>
      <w:r>
        <w:rPr>
          <w:rFonts w:hint="eastAsia" w:eastAsia="方正仿宋_GBK" w:cs="Times New Roman"/>
          <w:color w:val="auto"/>
          <w:sz w:val="30"/>
          <w:szCs w:val="30"/>
          <w:lang w:val="en-US" w:eastAsia="zh-CN"/>
          <w14:ligatures w14:val="standardContextual"/>
        </w:rPr>
        <w:t>5</w:t>
      </w:r>
      <w:r>
        <w:rPr>
          <w:rFonts w:hint="default" w:eastAsia="方正仿宋_GBK" w:cs="Times New Roman"/>
          <w:color w:val="auto"/>
          <w:sz w:val="30"/>
          <w:szCs w:val="30"/>
          <w:lang w:val="en-US" w:eastAsia="zh-CN"/>
          <w14:ligatures w14:val="standardContextual"/>
        </w:rPr>
        <w:t>.</w:t>
      </w:r>
      <w:r>
        <w:rPr>
          <w:rFonts w:hint="eastAsia" w:eastAsia="方正仿宋_GBK" w:cs="Times New Roman"/>
          <w:color w:val="auto"/>
          <w:sz w:val="30"/>
          <w:szCs w:val="30"/>
          <w:lang w:val="en-US" w:eastAsia="zh-CN"/>
          <w14:ligatures w14:val="standardContextual"/>
        </w:rPr>
        <w:t>45%</w:t>
      </w:r>
      <w:r>
        <w:rPr>
          <w:rFonts w:hint="eastAsia" w:eastAsia="方正仿宋_GBK" w:cs="Times New Roman"/>
          <w:color w:val="auto"/>
          <w:sz w:val="30"/>
          <w:szCs w:val="30"/>
          <w14:ligatures w14:val="standardContextual"/>
        </w:rPr>
        <w:t>，播种面积和产量大幅增长，实现16连丰。</w:t>
      </w:r>
    </w:p>
    <w:p w14:paraId="4E00B649">
      <w:pPr>
        <w:snapToGrid w:val="0"/>
        <w:spacing w:line="580" w:lineRule="exact"/>
        <w:ind w:firstLine="602"/>
        <w:rPr>
          <w:rFonts w:eastAsia="方正仿宋_GBK" w:cs="Times New Roman"/>
          <w:color w:val="auto"/>
          <w:sz w:val="30"/>
          <w:szCs w:val="30"/>
          <w14:ligatures w14:val="standardContextual"/>
        </w:rPr>
      </w:pPr>
      <w:r>
        <w:rPr>
          <w:rFonts w:hint="eastAsia" w:eastAsia="方正仿宋_GBK" w:cs="Times New Roman"/>
          <w:b/>
          <w:bCs/>
          <w:color w:val="auto"/>
          <w:sz w:val="30"/>
          <w:szCs w:val="30"/>
          <w14:ligatures w14:val="standardContextual"/>
        </w:rPr>
        <w:t>产业转型升级进入快车道。</w:t>
      </w:r>
      <w:r>
        <w:rPr>
          <w:rFonts w:hint="eastAsia" w:eastAsia="方正仿宋_GBK" w:cs="Times New Roman"/>
          <w:color w:val="auto"/>
          <w:sz w:val="30"/>
          <w:szCs w:val="30"/>
          <w14:ligatures w14:val="standardContextual"/>
        </w:rPr>
        <w:t>现代化产业体系加快构建，产业结构不断优化，第一产业、第二产业和第三产业的比重由2021年的1.5:57.3:41.2调整为2025年的</w:t>
      </w:r>
      <w:r>
        <w:rPr>
          <w:rFonts w:eastAsia="方正仿宋_GBK" w:cs="Times New Roman"/>
          <w:color w:val="auto"/>
          <w:sz w:val="30"/>
          <w:szCs w:val="30"/>
          <w14:ligatures w14:val="standardContextual"/>
        </w:rPr>
        <w:t>1.7:55.5:42.8</w:t>
      </w:r>
      <w:r>
        <w:rPr>
          <w:rFonts w:hint="eastAsia" w:eastAsia="方正仿宋_GBK" w:cs="Times New Roman"/>
          <w:color w:val="auto"/>
          <w:sz w:val="30"/>
          <w:szCs w:val="30"/>
          <w14:ligatures w14:val="standardContextual"/>
        </w:rPr>
        <w:t>，产业结构更加合理。</w:t>
      </w:r>
      <w:bookmarkStart w:id="35" w:name="_Hlk217244246"/>
      <w:r>
        <w:rPr>
          <w:rFonts w:hint="eastAsia" w:eastAsia="方正仿宋_GBK" w:cs="Times New Roman"/>
          <w:color w:val="auto"/>
          <w:sz w:val="30"/>
          <w:szCs w:val="30"/>
          <w14:ligatures w14:val="standardContextual"/>
        </w:rPr>
        <w:t>传统产业全面优化升级，战略性新兴产业集聚效应开始显现，</w:t>
      </w:r>
      <w:bookmarkEnd w:id="35"/>
      <w:r>
        <w:rPr>
          <w:rFonts w:hint="eastAsia" w:eastAsia="方正仿宋_GBK" w:cs="Times New Roman"/>
          <w:color w:val="auto"/>
          <w:sz w:val="30"/>
          <w:szCs w:val="30"/>
          <w14:ligatures w14:val="standardContextual"/>
        </w:rPr>
        <w:t>华阳T1000碳纤维示范项目正式竣工投产，中能建煤矸石综合利用、同热三期等一批转型大项目稳步推进，防爆电器、煤炭输送设备等煤机产品从煤机制造向工程机械制造延伸，新材料产业在产业链高端环节和价值链高附加值环节取得明显突破，新质生产力加快培育。文旅影响力进一步提升，云冈大景区建设提级加速，文物保护修缮、非遗传承扎实推进，累计挖掘整理区级以上非遗项目82项，云冈石窟等景区游客总量创历史新高。</w:t>
      </w:r>
    </w:p>
    <w:p w14:paraId="5C5C1108">
      <w:pPr>
        <w:snapToGrid w:val="0"/>
        <w:spacing w:line="580" w:lineRule="exact"/>
        <w:ind w:firstLine="602"/>
        <w:rPr>
          <w:rFonts w:hint="eastAsia" w:eastAsia="方正仿宋_GBK" w:cs="Times New Roman"/>
          <w:color w:val="auto"/>
          <w:sz w:val="30"/>
          <w:szCs w:val="30"/>
          <w14:ligatures w14:val="standardContextual"/>
        </w:rPr>
      </w:pPr>
      <w:r>
        <w:rPr>
          <w:rFonts w:hint="eastAsia" w:eastAsia="方正仿宋_GBK" w:cs="Times New Roman"/>
          <w:b/>
          <w:color w:val="auto"/>
          <w:sz w:val="30"/>
          <w:szCs w:val="30"/>
          <w14:ligatures w14:val="standardContextual"/>
        </w:rPr>
        <w:t>能源保供与绿色低碳发展协同共进。</w:t>
      </w:r>
      <w:r>
        <w:rPr>
          <w:rFonts w:hint="eastAsia" w:eastAsia="方正仿宋_GBK" w:cs="Times New Roman"/>
          <w:color w:val="auto"/>
          <w:sz w:val="30"/>
          <w:szCs w:val="30"/>
          <w14:ligatures w14:val="standardContextual"/>
        </w:rPr>
        <w:t>坚决扛牢能源保供政治责任，圆满完成“十四五”以来省、市下达电煤保供任务。分类处置落后产能，60万吨以下矿井通过减量重组实现整体退出，煤炭先进产能占比达到90%以上。清洁高效利用取得新成效，全区建成智能化煤矿9座，120万吨以上及灾害严重矿井智能化建设实现全覆盖，共有56家企业被省能源局列入全省第一批煤炭洗选行业标准化管理规范达标企业，超九成煤电企业完成了煤电机组“三改联动”，全区22家重点用能企业能耗在线监测全覆盖，4家重点企业完成超低排放改造，国宁时代华电大同热电储能工程一期项目率先完成全容量并网和商业化运营。</w:t>
      </w:r>
    </w:p>
    <w:p w14:paraId="2D2F8CC8">
      <w:pPr>
        <w:snapToGrid w:val="0"/>
        <w:spacing w:line="580" w:lineRule="exact"/>
        <w:ind w:firstLine="602"/>
        <w:rPr>
          <w:rFonts w:eastAsia="方正仿宋_GBK" w:cs="Times New Roman"/>
          <w:color w:val="auto"/>
          <w:sz w:val="30"/>
          <w:szCs w:val="30"/>
          <w14:ligatures w14:val="standardContextual"/>
        </w:rPr>
      </w:pPr>
      <w:r>
        <w:rPr>
          <w:rFonts w:hint="eastAsia" w:eastAsia="方正仿宋_GBK" w:cs="Times New Roman"/>
          <w:b/>
          <w:bCs/>
          <w:color w:val="auto"/>
          <w:sz w:val="30"/>
          <w:szCs w:val="30"/>
          <w14:ligatures w14:val="standardContextual"/>
        </w:rPr>
        <w:t>科技创新能力显著增强。</w:t>
      </w:r>
      <w:r>
        <w:rPr>
          <w:rFonts w:hint="eastAsia" w:eastAsia="方正仿宋_GBK" w:cs="Times New Roman"/>
          <w:color w:val="auto"/>
          <w:sz w:val="30"/>
          <w:szCs w:val="30"/>
          <w14:ligatures w14:val="standardContextual"/>
        </w:rPr>
        <w:t>华阳高性能碳纤维项目投产</w:t>
      </w:r>
      <w:r>
        <w:rPr>
          <w:rFonts w:hint="eastAsia" w:eastAsia="方正仿宋_GBK" w:cs="Times New Roman"/>
          <w:color w:val="auto"/>
          <w:sz w:val="30"/>
          <w:szCs w:val="30"/>
          <w:lang w:eastAsia="zh-CN"/>
          <w14:ligatures w14:val="standardContextual"/>
        </w:rPr>
        <w:t>，</w:t>
      </w:r>
      <w:r>
        <w:rPr>
          <w:rFonts w:hint="eastAsia" w:eastAsia="方正仿宋_GBK" w:cs="Times New Roman"/>
          <w:color w:val="auto"/>
          <w:sz w:val="30"/>
          <w:szCs w:val="30"/>
          <w14:ligatures w14:val="standardContextual"/>
        </w:rPr>
        <w:t>破解了高端碳纤维的进口依赖</w:t>
      </w:r>
      <w:r>
        <w:rPr>
          <w:rFonts w:hint="eastAsia" w:eastAsia="方正仿宋_GBK" w:cs="Times New Roman"/>
          <w:color w:val="auto"/>
          <w:sz w:val="30"/>
          <w:szCs w:val="30"/>
          <w:lang w:eastAsia="zh-CN"/>
          <w14:ligatures w14:val="standardContextual"/>
        </w:rPr>
        <w:t>，</w:t>
      </w:r>
      <w:r>
        <w:rPr>
          <w:rFonts w:hint="eastAsia" w:eastAsia="方正仿宋_GBK" w:cs="Times New Roman"/>
          <w:color w:val="auto"/>
          <w:sz w:val="30"/>
          <w:szCs w:val="30"/>
          <w14:ligatures w14:val="standardContextual"/>
        </w:rPr>
        <w:t>确保了国家战略材料的自主可控，填补了我省相关领域产业化空白。我国首个千万吨级煤矸石示范工程陶粒中试线项目投运，实现了技术装备国产化率100%、自主知识产权</w:t>
      </w:r>
      <w:r>
        <w:rPr>
          <w:rFonts w:hint="eastAsia" w:eastAsia="方正仿宋_GBK" w:cs="Times New Roman"/>
          <w:color w:val="auto"/>
          <w:sz w:val="30"/>
          <w:szCs w:val="30"/>
          <w:lang w:val="en-US" w:eastAsia="zh-CN"/>
          <w14:ligatures w14:val="standardContextual"/>
        </w:rPr>
        <w:t>占比</w:t>
      </w:r>
      <w:r>
        <w:rPr>
          <w:rFonts w:hint="eastAsia" w:eastAsia="方正仿宋_GBK" w:cs="Times New Roman"/>
          <w:color w:val="auto"/>
          <w:sz w:val="30"/>
          <w:szCs w:val="30"/>
          <w14:ligatures w14:val="standardContextual"/>
        </w:rPr>
        <w:t>100%、项目</w:t>
      </w:r>
      <w:r>
        <w:rPr>
          <w:rFonts w:hint="eastAsia" w:eastAsia="方正仿宋_GBK" w:cs="Times New Roman"/>
          <w:color w:val="auto"/>
          <w:sz w:val="30"/>
          <w:szCs w:val="30"/>
          <w14:ligatures w14:val="standardContextual"/>
        </w:rPr>
        <w:t>固废综合利用率</w:t>
      </w:r>
      <w:r>
        <w:rPr>
          <w:rFonts w:eastAsia="方正仿宋_GBK" w:cs="Times New Roman"/>
          <w:color w:val="auto"/>
          <w:sz w:val="30"/>
          <w:szCs w:val="30"/>
          <w14:ligatures w14:val="standardContextual"/>
        </w:rPr>
        <w:t>100%</w:t>
      </w:r>
      <w:r>
        <w:rPr>
          <w:rFonts w:hint="eastAsia" w:eastAsia="方正仿宋_GBK" w:cs="Times New Roman"/>
          <w:color w:val="auto"/>
          <w:sz w:val="30"/>
          <w:szCs w:val="30"/>
          <w14:ligatures w14:val="standardContextual"/>
        </w:rPr>
        <w:t>。1800kW高压柴油发电应急机组完成首批交付，在启动性能、加载瞬态性能及运行稳态性能方面均达到了当前国内数据中心应急机组行业先进水平。建成省级科技企业孵化器、工程技术研究中心各1家及市级新型研发机构1家，高新技术企业达</w:t>
      </w:r>
      <w:r>
        <w:rPr>
          <w:rFonts w:hint="eastAsia" w:eastAsia="方正仿宋_GBK" w:cs="Times New Roman"/>
          <w:color w:val="auto"/>
          <w:sz w:val="30"/>
          <w:szCs w:val="30"/>
          <w:lang w:val="en-US" w:eastAsia="zh-CN"/>
          <w14:ligatures w14:val="standardContextual"/>
        </w:rPr>
        <w:t>17</w:t>
      </w:r>
      <w:r>
        <w:rPr>
          <w:rFonts w:hint="eastAsia" w:eastAsia="方正仿宋_GBK" w:cs="Times New Roman"/>
          <w:color w:val="auto"/>
          <w:sz w:val="30"/>
          <w:szCs w:val="30"/>
          <w14:ligatures w14:val="standardContextual"/>
        </w:rPr>
        <w:t>家，获市级立项科技计划项目7项，技术攻关与成果转化效果明显。</w:t>
      </w:r>
    </w:p>
    <w:p w14:paraId="6FE30DD5">
      <w:pPr>
        <w:snapToGrid w:val="0"/>
        <w:spacing w:line="580" w:lineRule="exact"/>
        <w:ind w:firstLine="602"/>
        <w:rPr>
          <w:rFonts w:eastAsia="方正仿宋_GBK" w:cs="Times New Roman"/>
          <w:color w:val="auto"/>
          <w:sz w:val="30"/>
          <w:szCs w:val="30"/>
          <w14:ligatures w14:val="standardContextual"/>
        </w:rPr>
      </w:pPr>
      <w:r>
        <w:rPr>
          <w:rFonts w:hint="eastAsia" w:eastAsia="方正仿宋_GBK" w:cs="Times New Roman"/>
          <w:b/>
          <w:bCs/>
          <w:color w:val="auto"/>
          <w:sz w:val="30"/>
          <w:szCs w:val="30"/>
          <w14:ligatures w14:val="standardContextual"/>
        </w:rPr>
        <w:t>全面深化改革进一步推进。</w:t>
      </w:r>
      <w:r>
        <w:rPr>
          <w:rFonts w:hint="eastAsia" w:eastAsia="方正仿宋_GBK" w:cs="Times New Roman"/>
          <w:color w:val="auto"/>
          <w:sz w:val="30"/>
          <w:szCs w:val="30"/>
          <w14:ligatures w14:val="standardContextual"/>
        </w:rPr>
        <w:t>经开区领导班子任期制、全员岗位聘任制和绩效工资制“三制”改革全面完成，“三化”改革持续深入推进。“六证同发”改革，“承诺制+标准地+全代办”改革成效显著，开通充电桩、光伏发电新能源项目企业投资备案、水土保持审批“绿色通道”。国资国企改革5家新组建公司完成挂牌，2022年被评为全省创建中小企业高质量发展示范县区，营商环境连续3年均为优秀等次，深化国防动员体制改革落地生效。</w:t>
      </w:r>
    </w:p>
    <w:p w14:paraId="7F53806F">
      <w:pPr>
        <w:snapToGrid w:val="0"/>
        <w:spacing w:line="580" w:lineRule="exact"/>
        <w:ind w:firstLine="602"/>
        <w:rPr>
          <w:rFonts w:eastAsia="方正仿宋_GBK" w:cs="Times New Roman"/>
          <w:color w:val="auto"/>
          <w:sz w:val="30"/>
          <w:szCs w:val="30"/>
          <w14:ligatures w14:val="standardContextual"/>
        </w:rPr>
      </w:pPr>
      <w:r>
        <w:rPr>
          <w:rFonts w:hint="eastAsia" w:eastAsia="方正仿宋_GBK" w:cs="Times New Roman"/>
          <w:b/>
          <w:bCs/>
          <w:color w:val="auto"/>
          <w:sz w:val="30"/>
          <w:szCs w:val="30"/>
          <w14:ligatures w14:val="standardContextual"/>
        </w:rPr>
        <w:t>生态环境质量持续改善。</w:t>
      </w:r>
      <w:r>
        <w:rPr>
          <w:rFonts w:hint="eastAsia" w:eastAsia="方正仿宋_GBK" w:cs="Times New Roman"/>
          <w:color w:val="auto"/>
          <w:sz w:val="30"/>
          <w:szCs w:val="30"/>
          <w14:ligatures w14:val="standardContextual"/>
        </w:rPr>
        <w:t>生态环境保护力度不断加大，污染防治攻坚战取得显著成效，生态环境质量持续向好，生态环保各项约束性指标任务全面完成。空气质量整体好转，</w:t>
      </w:r>
      <w:bookmarkStart w:id="36" w:name="OLE_LINK12"/>
      <w:r>
        <w:rPr>
          <w:rFonts w:hint="eastAsia" w:eastAsia="方正仿宋_GBK" w:cs="Times New Roman"/>
          <w:color w:val="auto"/>
          <w:sz w:val="30"/>
          <w:szCs w:val="30"/>
          <w14:ligatures w14:val="standardContextual"/>
        </w:rPr>
        <w:t>2025年，空气质量优良率87.5%</w:t>
      </w:r>
      <w:bookmarkEnd w:id="36"/>
      <w:r>
        <w:rPr>
          <w:rFonts w:hint="eastAsia" w:eastAsia="方正仿宋_GBK" w:cs="Times New Roman"/>
          <w:color w:val="auto"/>
          <w:sz w:val="30"/>
          <w:szCs w:val="30"/>
          <w14:ligatures w14:val="standardContextual"/>
        </w:rPr>
        <w:t>，比2020年提升10.5个百分点，PM</w:t>
      </w:r>
      <w:r>
        <w:rPr>
          <w:rFonts w:hint="eastAsia" w:eastAsia="方正仿宋_GBK" w:cs="Times New Roman"/>
          <w:color w:val="auto"/>
          <w:sz w:val="30"/>
          <w:szCs w:val="30"/>
          <w:vertAlign w:val="subscript"/>
          <w14:ligatures w14:val="standardContextual"/>
        </w:rPr>
        <w:t>2.5</w:t>
      </w:r>
      <w:r>
        <w:rPr>
          <w:rFonts w:hint="eastAsia" w:eastAsia="方正仿宋_GBK" w:cs="Times New Roman"/>
          <w:color w:val="auto"/>
          <w:sz w:val="30"/>
          <w:szCs w:val="30"/>
          <w14:ligatures w14:val="standardContextual"/>
        </w:rPr>
        <w:t>浓度前4年累计下降13.3%。3个省考地表水断面中有2个稳定达到地表水Ⅲ类优良水体标准，另一个不稳定达到地表水Ⅲ类优良水体标准，2个国考地下水监测点位水质稳定达标，黑臭水体问题得到根本性解决，获评山西省全面推行河长制湖长制工作先进集体。造林绿化空间调查评估工作扎实开展，纳入造林绿化空间图斑数量1265个，面积2.37万亩，9家矿山企业通过遴选达到国家绿色矿山标准。“十四五”期间共完成水土流失治理面积8.5万亩，水土</w:t>
      </w:r>
      <w:r>
        <w:rPr>
          <w:rFonts w:hint="eastAsia" w:eastAsia="方正仿宋_GBK" w:cs="Times New Roman"/>
          <w:color w:val="auto"/>
          <w:sz w:val="30"/>
          <w:szCs w:val="30"/>
          <w:lang w:val="en-US" w:eastAsia="zh-CN"/>
          <w14:ligatures w14:val="standardContextual"/>
        </w:rPr>
        <w:t>保持率达到</w:t>
      </w:r>
      <w:r>
        <w:rPr>
          <w:rFonts w:hint="eastAsia" w:eastAsia="方正仿宋_GBK" w:cs="Times New Roman"/>
          <w:color w:val="auto"/>
          <w:sz w:val="30"/>
          <w:szCs w:val="30"/>
          <w14:ligatures w14:val="standardContextual"/>
        </w:rPr>
        <w:t>88.72%。</w:t>
      </w:r>
    </w:p>
    <w:p w14:paraId="6C219310">
      <w:pPr>
        <w:snapToGrid w:val="0"/>
        <w:spacing w:line="580" w:lineRule="exact"/>
        <w:ind w:firstLine="602"/>
        <w:rPr>
          <w:rFonts w:eastAsia="方正仿宋_GBK" w:cs="Times New Roman"/>
          <w:color w:val="auto"/>
          <w:sz w:val="30"/>
          <w:szCs w:val="30"/>
          <w14:ligatures w14:val="standardContextual"/>
        </w:rPr>
      </w:pPr>
      <w:r>
        <w:rPr>
          <w:rFonts w:hint="eastAsia" w:eastAsia="方正仿宋_GBK" w:cs="Times New Roman"/>
          <w:b/>
          <w:bCs/>
          <w:color w:val="auto"/>
          <w:sz w:val="30"/>
          <w:szCs w:val="30"/>
          <w14:ligatures w14:val="standardContextual"/>
        </w:rPr>
        <w:t>城乡区域协调发展开创新局面。</w:t>
      </w:r>
      <w:r>
        <w:rPr>
          <w:rFonts w:hint="eastAsia" w:eastAsia="方正仿宋_GBK" w:cs="Times New Roman"/>
          <w:color w:val="auto"/>
          <w:sz w:val="30"/>
          <w:szCs w:val="30"/>
          <w14:ligatures w14:val="standardContextual"/>
        </w:rPr>
        <w:t>城乡融合和区域协调发展迈出坚实步伐，以云冈新区、恒安新区、平旺地区、口泉地区、云冈大景区、西花园地区为重点，整体推进空间优化、功能重构、形象再造、品质提升。乡村振兴取得重大进展，以“六乡提质”为抓手，建设</w:t>
      </w:r>
      <w:r>
        <w:rPr>
          <w:rFonts w:hint="eastAsia" w:eastAsia="方正仿宋_GBK" w:cs="Times New Roman"/>
          <w:color w:val="auto"/>
          <w:sz w:val="30"/>
          <w:szCs w:val="30"/>
          <w14:ligatures w14:val="standardContextual"/>
        </w:rPr>
        <w:t>了</w:t>
      </w:r>
      <w:r>
        <w:rPr>
          <w:rFonts w:eastAsia="方正仿宋_GBK" w:cs="Times New Roman"/>
          <w:color w:val="auto"/>
          <w:sz w:val="30"/>
          <w:szCs w:val="30"/>
          <w14:ligatures w14:val="standardContextual"/>
        </w:rPr>
        <w:t>5</w:t>
      </w:r>
      <w:r>
        <w:rPr>
          <w:rFonts w:hint="eastAsia" w:eastAsia="方正仿宋_GBK" w:cs="Times New Roman"/>
          <w:color w:val="auto"/>
          <w:sz w:val="30"/>
          <w:szCs w:val="30"/>
          <w14:ligatures w14:val="standardContextual"/>
        </w:rPr>
        <w:t>个乡村振兴先行示范村、</w:t>
      </w:r>
      <w:r>
        <w:rPr>
          <w:rFonts w:eastAsia="方正仿宋_GBK" w:cs="Times New Roman"/>
          <w:color w:val="auto"/>
          <w:sz w:val="30"/>
          <w:szCs w:val="30"/>
          <w14:ligatures w14:val="standardContextual"/>
        </w:rPr>
        <w:t>10</w:t>
      </w:r>
      <w:r>
        <w:rPr>
          <w:rFonts w:hint="eastAsia" w:eastAsia="方正仿宋_GBK" w:cs="Times New Roman"/>
          <w:color w:val="auto"/>
          <w:sz w:val="30"/>
          <w:szCs w:val="30"/>
          <w14:ligatures w14:val="standardContextual"/>
        </w:rPr>
        <w:t>个整体推进村、</w:t>
      </w:r>
      <w:r>
        <w:rPr>
          <w:rFonts w:hint="eastAsia" w:eastAsia="方正仿宋_GBK" w:cs="Times New Roman"/>
          <w:color w:val="auto"/>
          <w:sz w:val="30"/>
          <w:szCs w:val="30"/>
          <w14:ligatures w14:val="standardContextual"/>
        </w:rPr>
        <w:t>17个重点帮扶村，94个村深入开展“除陋习、树新风”专项整治行动，农村户用卫生厕所普及率达到83%，在全省乡村振兴实绩考核中连续4年被评为优秀等次。</w:t>
      </w:r>
    </w:p>
    <w:p w14:paraId="1FC32CA6">
      <w:pPr>
        <w:snapToGrid w:val="0"/>
        <w:spacing w:line="580" w:lineRule="exact"/>
        <w:ind w:firstLine="602"/>
        <w:rPr>
          <w:rFonts w:eastAsia="方正仿宋_GBK" w:cs="Times New Roman"/>
          <w:color w:val="auto"/>
          <w:sz w:val="30"/>
          <w:szCs w:val="30"/>
          <w14:ligatures w14:val="standardContextual"/>
        </w:rPr>
      </w:pPr>
      <w:r>
        <w:rPr>
          <w:rFonts w:hint="eastAsia" w:eastAsia="方正仿宋_GBK" w:cs="Times New Roman"/>
          <w:b/>
          <w:bCs/>
          <w:color w:val="auto"/>
          <w:sz w:val="30"/>
          <w:szCs w:val="30"/>
          <w14:ligatures w14:val="standardContextual"/>
        </w:rPr>
        <w:t>基础设施支撑能力全面加强。</w:t>
      </w:r>
      <w:r>
        <w:rPr>
          <w:rFonts w:hint="eastAsia" w:eastAsia="方正仿宋_GBK" w:cs="Times New Roman"/>
          <w:color w:val="auto"/>
          <w:sz w:val="30"/>
          <w:szCs w:val="30"/>
          <w14:ligatures w14:val="standardContextual"/>
        </w:rPr>
        <w:t>基础设施布局进一步完善，支撑高质量发展的能力明显增强。长城一号旅游公路</w:t>
      </w:r>
      <w:r>
        <w:rPr>
          <w:rFonts w:hint="eastAsia" w:eastAsia="方正仿宋_GBK" w:cs="Times New Roman"/>
          <w:color w:val="auto"/>
          <w:sz w:val="30"/>
          <w:szCs w:val="30"/>
          <w:lang w:val="en-US" w:eastAsia="zh-CN"/>
          <w14:ligatures w14:val="standardContextual"/>
        </w:rPr>
        <w:t>实施完成，</w:t>
      </w:r>
      <w:r>
        <w:rPr>
          <w:rFonts w:hint="eastAsia" w:eastAsia="方正仿宋_GBK" w:cs="Times New Roman"/>
          <w:color w:val="auto"/>
          <w:sz w:val="30"/>
          <w:szCs w:val="30"/>
          <w14:ligatures w14:val="standardContextual"/>
        </w:rPr>
        <w:t>国道109线、208线过境公路改线等新续建项目有序推进，集大原高铁开通运营，全区公路通车里程78</w:t>
      </w:r>
      <w:r>
        <w:rPr>
          <w:rFonts w:hint="eastAsia" w:eastAsia="方正仿宋_GBK" w:cs="Times New Roman"/>
          <w:color w:val="auto"/>
          <w:sz w:val="30"/>
          <w:szCs w:val="30"/>
          <w:lang w:val="en-US" w:eastAsia="zh-CN"/>
          <w14:ligatures w14:val="standardContextual"/>
        </w:rPr>
        <w:t>7</w:t>
      </w:r>
      <w:r>
        <w:rPr>
          <w:rFonts w:hint="eastAsia" w:eastAsia="方正仿宋_GBK" w:cs="Times New Roman"/>
          <w:color w:val="auto"/>
          <w:sz w:val="30"/>
          <w:szCs w:val="30"/>
          <w14:ligatures w14:val="standardContextual"/>
        </w:rPr>
        <w:t>公里，路网密度达10</w:t>
      </w:r>
      <w:r>
        <w:rPr>
          <w:rFonts w:hint="eastAsia" w:eastAsia="方正仿宋_GBK" w:cs="Times New Roman"/>
          <w:color w:val="auto"/>
          <w:sz w:val="30"/>
          <w:szCs w:val="30"/>
          <w:lang w:val="en-US" w:eastAsia="zh-CN"/>
          <w14:ligatures w14:val="standardContextual"/>
        </w:rPr>
        <w:t>6</w:t>
      </w:r>
      <w:r>
        <w:rPr>
          <w:rFonts w:hint="eastAsia" w:eastAsia="方正仿宋_GBK" w:cs="Times New Roman"/>
          <w:color w:val="auto"/>
          <w:sz w:val="30"/>
          <w:szCs w:val="30"/>
          <w14:ligatures w14:val="standardContextual"/>
        </w:rPr>
        <w:t>公里/百平方公里，农村公路基础路网更加优化，乡镇100%通三级及以上公路、建制村100%通硬化路。口泉乡、西韩岭乡地下水水源置换工程实施完成，压采地下水367万立方米，建成集中式光伏电站达12座，大同—怀来—天津南1000千伏特高压交流工程开工，有效促进与周边电网互联互通。</w:t>
      </w:r>
    </w:p>
    <w:p w14:paraId="36CC5407">
      <w:pPr>
        <w:snapToGrid w:val="0"/>
        <w:spacing w:line="580" w:lineRule="exact"/>
        <w:ind w:firstLine="602"/>
        <w:rPr>
          <w:rFonts w:eastAsia="方正仿宋_GBK" w:cs="Times New Roman"/>
          <w:color w:val="auto"/>
          <w:sz w:val="30"/>
          <w:szCs w:val="30"/>
          <w14:ligatures w14:val="standardContextual"/>
        </w:rPr>
      </w:pPr>
      <w:r>
        <w:rPr>
          <w:rFonts w:hint="eastAsia" w:eastAsia="方正仿宋_GBK" w:cs="Times New Roman"/>
          <w:b/>
          <w:bCs/>
          <w:color w:val="auto"/>
          <w:sz w:val="30"/>
          <w:szCs w:val="30"/>
          <w14:ligatures w14:val="standardContextual"/>
        </w:rPr>
        <w:t>民生福祉与社会事业不断增进。</w:t>
      </w:r>
      <w:r>
        <w:rPr>
          <w:rFonts w:hint="eastAsia" w:eastAsia="方正仿宋_GBK" w:cs="Times New Roman"/>
          <w:color w:val="auto"/>
          <w:sz w:val="30"/>
          <w:szCs w:val="30"/>
          <w14:ligatures w14:val="standardContextual"/>
        </w:rPr>
        <w:t>坚持以民生为本，全区民生支出占比连续5年超80%，推动“基本民生”向“品质民生”转变。就业形势稳中向好，</w:t>
      </w:r>
      <w:r>
        <w:rPr>
          <w:rFonts w:hint="eastAsia" w:eastAsia="方正仿宋_GBK" w:cs="Times New Roman"/>
          <w:color w:val="auto"/>
          <w:sz w:val="30"/>
          <w:szCs w:val="30"/>
          <w:lang w:eastAsia="zh-CN"/>
          <w14:ligatures w14:val="standardContextual"/>
        </w:rPr>
        <w:t>“</w:t>
      </w:r>
      <w:r>
        <w:rPr>
          <w:rFonts w:hint="eastAsia" w:eastAsia="方正仿宋_GBK" w:cs="Times New Roman"/>
          <w:color w:val="auto"/>
          <w:sz w:val="30"/>
          <w:szCs w:val="30"/>
          <w:lang w:val="en-US" w:eastAsia="zh-CN"/>
          <w14:ligatures w14:val="standardContextual"/>
        </w:rPr>
        <w:t>十四五”期间，</w:t>
      </w:r>
      <w:r>
        <w:rPr>
          <w:rFonts w:hint="eastAsia" w:eastAsia="方正仿宋_GBK" w:cs="Times New Roman"/>
          <w:color w:val="auto"/>
          <w:sz w:val="30"/>
          <w:szCs w:val="30"/>
          <w14:ligatures w14:val="standardContextual"/>
        </w:rPr>
        <w:t>新增城镇就业</w:t>
      </w:r>
      <w:r>
        <w:rPr>
          <w:rFonts w:hint="eastAsia" w:eastAsia="方正仿宋_GBK" w:cs="Times New Roman"/>
          <w:color w:val="auto"/>
          <w:sz w:val="30"/>
          <w:szCs w:val="30"/>
          <w:lang w:val="en-US" w:eastAsia="zh-CN"/>
          <w14:ligatures w14:val="standardContextual"/>
        </w:rPr>
        <w:t>累计43626</w:t>
      </w:r>
      <w:r>
        <w:rPr>
          <w:rFonts w:hint="eastAsia" w:eastAsia="方正仿宋_GBK" w:cs="Times New Roman"/>
          <w:color w:val="auto"/>
          <w:sz w:val="30"/>
          <w:szCs w:val="30"/>
          <w14:ligatures w14:val="standardContextual"/>
        </w:rPr>
        <w:t>人，“云冈亲人”获省级劳务品牌称号。教育体系日臻完善，多所新改扩建学校完工，山西大学大同校区正式启用，搭建起从义务</w:t>
      </w:r>
      <w:r>
        <w:rPr>
          <w:rFonts w:hint="eastAsia" w:eastAsia="方正仿宋_GBK" w:cs="Times New Roman"/>
          <w:color w:val="auto"/>
          <w:sz w:val="30"/>
          <w:szCs w:val="30"/>
          <w:lang w:val="en-US" w:eastAsia="zh-CN"/>
          <w14:ligatures w14:val="standardContextual"/>
        </w:rPr>
        <w:t>教育</w:t>
      </w:r>
      <w:r>
        <w:rPr>
          <w:rFonts w:hint="eastAsia" w:eastAsia="方正仿宋_GBK" w:cs="Times New Roman"/>
          <w:color w:val="auto"/>
          <w:sz w:val="30"/>
          <w:szCs w:val="30"/>
          <w14:ligatures w14:val="standardContextual"/>
        </w:rPr>
        <w:t>到高等教育的全学段教育网络。医疗服务提质增效，全区共有26家乡镇卫生院、社区卫生服务中心达到国家基本标准及以上，其中6家达到国家推荐标准。社保养老兜底有力，重点人群参保率达100%，春安新区养老院投运，构建“机构+社区+居家”养老体系。文体事业繁荣发展，基层文化站全覆盖，启动职工文化中心项目，群众获得感幸福感成色更足。</w:t>
      </w:r>
    </w:p>
    <w:p w14:paraId="2D42125F">
      <w:pPr>
        <w:snapToGrid w:val="0"/>
        <w:spacing w:line="580" w:lineRule="exact"/>
        <w:ind w:firstLine="602"/>
        <w:rPr>
          <w:rFonts w:eastAsia="方正仿宋_GBK" w:cs="Times New Roman"/>
          <w:color w:val="auto"/>
          <w:sz w:val="30"/>
          <w:szCs w:val="30"/>
        </w:rPr>
      </w:pPr>
      <w:r>
        <w:rPr>
          <w:rFonts w:hint="eastAsia" w:eastAsia="方正仿宋_GBK" w:cs="Times New Roman"/>
          <w:b/>
          <w:bCs/>
          <w:color w:val="auto"/>
          <w:sz w:val="30"/>
          <w:szCs w:val="30"/>
        </w:rPr>
        <w:t>安全稳定形势持续向好。</w:t>
      </w:r>
      <w:r>
        <w:rPr>
          <w:rFonts w:hint="eastAsia" w:eastAsia="方正仿宋_GBK" w:cs="Times New Roman"/>
          <w:color w:val="auto"/>
          <w:sz w:val="30"/>
          <w:szCs w:val="30"/>
          <w14:ligatures w14:val="standardContextual"/>
        </w:rPr>
        <w:t>政治生态持续向好。全面从严治党纵深推进，清廉云冈建设成效显著，基层党组织战斗堡垒作用不断夯实，干部队伍干事创业精气神有效激发，2021年区委理论学习中心组被评为省级党委（党组）中心组学习示范点。治理体系不断完善，建成智慧云冈指挥中心，创新“数字化+党建+网格”治理模式，作为全省唯一案例入选全国县域改革案例20佳。安全底线坚实有力，法治云冈、平安云冈建设水平全面提升，2021年获评省级平安县区。国务院安委办矿山督导及安全生产政治监督反馈问题全部整改清零，信访维稳形势根本好转，2025年信访总量较2021年下降27.9%，社会大局保持长期和谐稳定。</w:t>
      </w:r>
    </w:p>
    <w:p w14:paraId="105FAD3E">
      <w:pPr>
        <w:snapToGrid w:val="0"/>
        <w:spacing w:line="580" w:lineRule="exact"/>
        <w:ind w:firstLine="600"/>
        <w:rPr>
          <w:rFonts w:eastAsia="楷体" w:cs="Times New Roman"/>
          <w:color w:val="auto"/>
          <w:sz w:val="30"/>
          <w:szCs w:val="30"/>
        </w:rPr>
      </w:pPr>
      <w:r>
        <w:rPr>
          <w:rFonts w:hint="eastAsia" w:eastAsia="方正仿宋_GBK" w:cs="Times New Roman"/>
          <w:color w:val="auto"/>
          <w:sz w:val="30"/>
          <w:szCs w:val="30"/>
          <w14:ligatures w14:val="standardContextual"/>
        </w:rPr>
        <w:t>这些成绩的取得，</w:t>
      </w:r>
      <w:r>
        <w:rPr>
          <w:rFonts w:hint="eastAsia" w:eastAsia="方正仿宋_GBK" w:cs="Times New Roman"/>
          <w:color w:val="auto"/>
          <w:sz w:val="30"/>
          <w:szCs w:val="30"/>
          <w:lang w:val="en-US" w:eastAsia="zh-CN"/>
          <w14:ligatures w14:val="standardContextual"/>
        </w:rPr>
        <w:t>根本在于以习近平同志为核心的党中央领航掌舵，</w:t>
      </w:r>
      <w:r>
        <w:rPr>
          <w:rFonts w:hint="eastAsia" w:eastAsia="方正仿宋_GBK" w:cs="Times New Roman"/>
          <w:color w:val="auto"/>
          <w:sz w:val="30"/>
          <w:szCs w:val="30"/>
          <w14:ligatures w14:val="standardContextual"/>
        </w:rPr>
        <w:t>在于习近平新时代中国特色社会主义思想科学指引，是省委省政府坚强领导、科学决策的结果，是市委市政府统筹部署、全力支持的结果，也是云冈区委、区政府团结带领全区广大干部群众，立足区情实际，锐意进取、真抓实干的结果，为开启社会主义现代化建设新征程奠定了坚实基础。</w:t>
      </w:r>
    </w:p>
    <w:p w14:paraId="6BC30D00">
      <w:pPr>
        <w:spacing w:line="580" w:lineRule="exact"/>
        <w:ind w:firstLine="0" w:firstLineChars="0"/>
        <w:jc w:val="center"/>
        <w:outlineLvl w:val="1"/>
        <w:rPr>
          <w:rFonts w:eastAsia="楷体" w:cs="Times New Roman"/>
          <w:color w:val="auto"/>
          <w:sz w:val="30"/>
          <w:szCs w:val="30"/>
        </w:rPr>
      </w:pPr>
      <w:bookmarkStart w:id="37" w:name="_Toc96568821"/>
      <w:bookmarkStart w:id="38" w:name="_Toc2011749262"/>
      <w:r>
        <w:rPr>
          <w:rFonts w:hint="eastAsia" w:eastAsia="楷体" w:cs="Times New Roman"/>
          <w:color w:val="auto"/>
          <w:sz w:val="30"/>
          <w:szCs w:val="30"/>
        </w:rPr>
        <w:t>第二节  “十五五”发展环境</w:t>
      </w:r>
      <w:bookmarkEnd w:id="37"/>
      <w:bookmarkEnd w:id="38"/>
    </w:p>
    <w:p w14:paraId="2E7193E5">
      <w:pPr>
        <w:snapToGrid w:val="0"/>
        <w:spacing w:line="580" w:lineRule="exact"/>
        <w:ind w:firstLine="600"/>
        <w:rPr>
          <w:rFonts w:eastAsia="方正仿宋_GBK" w:cs="Times New Roman"/>
          <w:color w:val="auto"/>
          <w:sz w:val="30"/>
          <w:szCs w:val="30"/>
          <w14:ligatures w14:val="standardContextual"/>
        </w:rPr>
      </w:pPr>
      <w:r>
        <w:rPr>
          <w:rFonts w:hint="eastAsia" w:eastAsia="方正仿宋_GBK" w:cs="Times New Roman"/>
          <w:color w:val="auto"/>
          <w:sz w:val="30"/>
          <w:szCs w:val="30"/>
          <w14:ligatures w14:val="standardContextual"/>
        </w:rPr>
        <w:t>“十五五”时期，云冈区发展面临的内外环境发生深刻复杂变化，这一时期既是为基本实现社会主义现代化夯实基础、全面发力的关键阶段，也是云冈加速现代化进程、深化转型发展的黄金时期，更是围绕市委“奋斗两个五年、跨入第一方阵”总目标砥砺奋进的重要时期</w:t>
      </w:r>
      <w:r>
        <w:rPr>
          <w:rFonts w:hint="eastAsia" w:eastAsia="方正仿宋_GBK" w:cs="Times New Roman"/>
          <w:color w:val="auto"/>
          <w:sz w:val="30"/>
          <w:szCs w:val="30"/>
          <w:lang w:eastAsia="zh-CN"/>
          <w14:ligatures w14:val="standardContextual"/>
        </w:rPr>
        <w:t>，</w:t>
      </w:r>
      <w:r>
        <w:rPr>
          <w:rFonts w:hint="eastAsia" w:eastAsia="方正仿宋_GBK" w:cs="Times New Roman"/>
          <w:color w:val="auto"/>
          <w:sz w:val="30"/>
          <w:szCs w:val="30"/>
          <w14:ligatures w14:val="standardContextual"/>
        </w:rPr>
        <w:t>战略机遇和风险挑战并存，不确定难预料因素增多。必须准确把握阶段性特征，保持战略定力，增强必胜信心，在乘势而上中实现更大突破，扎实推进中国式现代化云冈实践。</w:t>
      </w:r>
    </w:p>
    <w:p w14:paraId="3799D8EB">
      <w:pPr>
        <w:snapToGrid w:val="0"/>
        <w:spacing w:line="580" w:lineRule="exact"/>
        <w:ind w:firstLine="602"/>
        <w:rPr>
          <w:rFonts w:eastAsia="方正仿宋_GBK" w:cs="Times New Roman"/>
          <w:color w:val="auto"/>
          <w:sz w:val="30"/>
          <w:szCs w:val="30"/>
          <w14:ligatures w14:val="standardContextual"/>
        </w:rPr>
      </w:pPr>
      <w:r>
        <w:rPr>
          <w:rFonts w:hint="eastAsia" w:eastAsia="方正仿宋_GBK" w:cs="方正仿宋_GBK"/>
          <w:b w:val="0"/>
          <w:bCs w:val="0"/>
          <w:color w:val="auto"/>
          <w:sz w:val="30"/>
          <w:szCs w:val="30"/>
        </w:rPr>
        <w:t>从发展机遇看，</w:t>
      </w:r>
      <w:r>
        <w:rPr>
          <w:rFonts w:hint="eastAsia" w:eastAsia="方正仿宋_GBK" w:cs="Times New Roman"/>
          <w:color w:val="auto"/>
          <w:sz w:val="30"/>
          <w:szCs w:val="30"/>
          <w14:ligatures w14:val="standardContextual"/>
        </w:rPr>
        <w:t>习近平总书记始终心系山西发展，亲自为山西擘画蓝图、指航定向，为全区发展提供了根本遵循和最大底气。国家持续深化改革开放，加快构建新发展格局，大力推进科技创新和绿色低碳转型，为云冈争取政策项目支持、培育新质生产力提供了有利宏观环境。山西省纵深推进国家资源型经济转型综合配套改革试验区建设，全力做好能源转型、产业升级、适度多元发展“三篇大文章”，为云冈区深化转型注入强劲动力。大同市锚定“奋斗两个五年、跨入第一方阵”总目标，肩负“融入京津冀、打造桥头堡”重大使命，着力构建云冈等“四区”产地融合、联动发展机制，为云冈在服务全市大局中展现更大作为提供了战略平台。云冈区作为大同市的工业脊梁、能源核心和文旅门户，煤电矿产资源丰富、工业基础雄厚、交通网络便利、历史文化底蕴深厚，比较优势突出。能源革命持续推进，“风光火储”多能互补体系加速构建，为云冈建设全省重要的综合能源新材料基地提供有力支撑。新一轮科技革命和产业变革深入发展，数字经济、人工智能、低空经济等新赛道不断涌现，为云冈培育新材料、高端装备、资源综合利用等新兴产业开辟了广阔空间。国家实施消费提振与旅游强国战略，云冈石窟作为世界文化遗产的品牌价值日益凸显，为文旅融合发展和消费提质扩容创造了重大契机。随着大同建设国家区域重点城市、打造对接京津冀</w:t>
      </w:r>
      <w:r>
        <w:rPr>
          <w:rFonts w:hint="eastAsia" w:eastAsia="方正仿宋_GBK" w:cs="Times New Roman"/>
          <w:color w:val="auto"/>
          <w:sz w:val="30"/>
          <w:szCs w:val="30"/>
          <w:lang w:val="en-US" w:eastAsia="zh-CN"/>
          <w14:ligatures w14:val="standardContextual"/>
        </w:rPr>
        <w:t>城市群</w:t>
      </w:r>
      <w:r>
        <w:rPr>
          <w:rFonts w:hint="eastAsia" w:eastAsia="方正仿宋_GBK" w:cs="Times New Roman"/>
          <w:color w:val="auto"/>
          <w:sz w:val="30"/>
          <w:szCs w:val="30"/>
          <w14:ligatures w14:val="standardContextual"/>
        </w:rPr>
        <w:t>桥头堡等重大战略的深入实施，叠加黄河流域生态保护和高质量发展、中部崛起等国家战略，为云冈承接产业转移、拓展开放合作、提升区域竞争力提供了难得机遇。</w:t>
      </w:r>
    </w:p>
    <w:p w14:paraId="3B661787">
      <w:pPr>
        <w:snapToGrid w:val="0"/>
        <w:spacing w:line="580" w:lineRule="exact"/>
        <w:ind w:firstLine="600"/>
        <w:rPr>
          <w:rFonts w:eastAsia="方正仿宋_GBK" w:cs="方正仿宋_GBK"/>
          <w:color w:val="auto"/>
          <w:sz w:val="30"/>
          <w:szCs w:val="30"/>
        </w:rPr>
      </w:pPr>
      <w:r>
        <w:rPr>
          <w:rFonts w:hint="eastAsia" w:eastAsia="方正仿宋_GBK" w:cs="方正仿宋_GBK"/>
          <w:b w:val="0"/>
          <w:bCs w:val="0"/>
          <w:color w:val="auto"/>
          <w:sz w:val="30"/>
          <w:szCs w:val="30"/>
        </w:rPr>
        <w:t>在抢抓机遇的同时，必须清醒认识到云冈区转型发展仍面临诸多挑战</w:t>
      </w:r>
      <w:r>
        <w:rPr>
          <w:rFonts w:hint="eastAsia" w:eastAsia="方正仿宋_GBK" w:cs="方正仿宋_GBK"/>
          <w:color w:val="auto"/>
          <w:sz w:val="30"/>
          <w:szCs w:val="30"/>
        </w:rPr>
        <w:t>。</w:t>
      </w:r>
      <w:r>
        <w:rPr>
          <w:rFonts w:hint="eastAsia" w:eastAsia="方正仿宋_GBK" w:cs="Times New Roman"/>
          <w:color w:val="auto"/>
          <w:sz w:val="30"/>
          <w:szCs w:val="30"/>
          <w14:ligatures w14:val="standardContextual"/>
        </w:rPr>
        <w:t>外部环境更趋复杂严峻，经济下行压力仍然较大，区域竞争日趋激烈。云冈自身发展中长期积累的结构性、体制性矛盾尚未根本解决，“一煤独大”“一企独大”的产业格局尚未根本扭转，煤炭等传统产业支撑作用减弱，文旅资源优势尚未充分转化为产业发展优势，新兴产业规模偏小、链条较短，新动能培育仍需加快。重点领域改革仍需深化，要素市场化配置机制不够健全，营商环境有待持续优化。城乡发展不平衡不充分问题依然存在，城乡居民收入与全省平均水平仍有差距，教育、医疗、养老等民生领域还有短板。历史遗留矿山生态治理任务艰巨，生态环境持续改善基础尚不牢固，绿色转型压力较大。安全生产、公共安全、社会治理等领域仍存风险隐患，人口结构变化给经济社会发展带来新挑战，创新驱动能力、基础设施支撑、对外开放能级等方面仍需进一步提升。</w:t>
      </w:r>
    </w:p>
    <w:p w14:paraId="3892B769">
      <w:pPr>
        <w:snapToGrid w:val="0"/>
        <w:spacing w:line="580" w:lineRule="exact"/>
        <w:ind w:firstLine="602"/>
        <w:rPr>
          <w:rFonts w:eastAsia="方正仿宋_GBK" w:cs="Times New Roman"/>
          <w:color w:val="auto"/>
          <w:sz w:val="30"/>
          <w:szCs w:val="30"/>
          <w14:ligatures w14:val="standardContextual"/>
        </w:rPr>
      </w:pPr>
      <w:r>
        <w:rPr>
          <w:rFonts w:hint="eastAsia" w:eastAsia="方正仿宋_GBK" w:cs="方正仿宋_GBK"/>
          <w:b/>
          <w:bCs/>
          <w:color w:val="auto"/>
          <w:sz w:val="30"/>
          <w:szCs w:val="30"/>
        </w:rPr>
        <w:t>综合研判，</w:t>
      </w:r>
      <w:r>
        <w:rPr>
          <w:rFonts w:hint="eastAsia" w:eastAsia="方正仿宋_GBK" w:cs="Times New Roman"/>
          <w:color w:val="auto"/>
          <w:sz w:val="30"/>
          <w:szCs w:val="30"/>
          <w14:ligatures w14:val="standardContextual"/>
        </w:rPr>
        <w:t>“十五五”时期是云冈区为基本实现社会主义现代化夯实基础、全面发力的关键阶段，是加速现代化进程、深化转型发展的黄金时期，更是围绕市委总目标、坚决扛起高质量发展和全方位转型“排头兵”重任的攻坚奋进期。尽管风险挑战不容忽视，但云冈区战略机遇叠加、发展基础扎实、比较优势突出，机遇总体大于挑战。全区上下必须进一步增强机遇意识和风险意识，深刻领悟“两个确立”的决定性意义，坚决做到“两个维护”，增强历史主动，发扬斗争精神，准确识变、科学应变、主动求变，全力破解发展难题、厚植发展优势，将外部压力转化为转型动力，将战略机遇转化为发展胜势，努力在推动资源型经济转型发展上迈出新步伐，奋力谱写中国式现代化云冈新篇章。</w:t>
      </w:r>
    </w:p>
    <w:p w14:paraId="6D50E5C6">
      <w:pPr>
        <w:spacing w:line="580" w:lineRule="exact"/>
        <w:ind w:firstLine="0" w:firstLineChars="0"/>
        <w:jc w:val="center"/>
        <w:outlineLvl w:val="1"/>
        <w:rPr>
          <w:rFonts w:eastAsia="楷体" w:cs="Times New Roman"/>
          <w:color w:val="auto"/>
          <w:sz w:val="30"/>
          <w:szCs w:val="30"/>
        </w:rPr>
      </w:pPr>
      <w:bookmarkStart w:id="39" w:name="_Toc839918320"/>
      <w:bookmarkStart w:id="40" w:name="_Toc469605382"/>
      <w:bookmarkStart w:id="41" w:name="_Toc1320667770"/>
      <w:bookmarkStart w:id="42" w:name="_Toc1682021062"/>
      <w:bookmarkStart w:id="43" w:name="_Toc1487308066"/>
      <w:r>
        <w:rPr>
          <w:rFonts w:hint="eastAsia" w:eastAsia="楷体" w:cs="Times New Roman"/>
          <w:color w:val="auto"/>
          <w:sz w:val="30"/>
          <w:szCs w:val="30"/>
        </w:rPr>
        <w:t>第三节  “十五五”总体要求</w:t>
      </w:r>
      <w:bookmarkEnd w:id="39"/>
      <w:bookmarkEnd w:id="40"/>
      <w:bookmarkEnd w:id="41"/>
      <w:bookmarkEnd w:id="42"/>
      <w:bookmarkEnd w:id="43"/>
    </w:p>
    <w:p w14:paraId="13343F7F">
      <w:pPr>
        <w:snapToGrid w:val="0"/>
        <w:spacing w:line="580" w:lineRule="exact"/>
        <w:ind w:firstLine="602"/>
        <w:rPr>
          <w:rFonts w:hint="eastAsia" w:ascii="Times New Roman" w:eastAsia="方正仿宋_GBK" w:cs="Times New Roman"/>
          <w:color w:val="auto"/>
          <w:sz w:val="30"/>
          <w:szCs w:val="30"/>
          <w14:ligatures w14:val="standardContextual"/>
        </w:rPr>
      </w:pPr>
      <w:r>
        <w:rPr>
          <w:rFonts w:hint="eastAsia" w:ascii="Times New Roman" w:eastAsia="方正仿宋_GBK" w:cs="Times New Roman"/>
          <w:color w:val="auto"/>
          <w:sz w:val="30"/>
          <w:szCs w:val="30"/>
          <w14:ligatures w14:val="standardContextual"/>
        </w:rPr>
        <w:t>坚持马克思列宁主义、毛泽东思想、邓小平理论、“三个代表”重要思想、科学发展观，全面贯彻习近平新时代中国特色社会主义思想，深入贯彻党的二十大和二十届历次全会精神，认真贯彻习近平总书记对山西工作的重要讲话重要指示精神，统筹推进“五位一体”总体布局，协调推进“四个全面”战略布局，完整准确全面贯彻新发展理念，紧紧围绕全市“奋斗两个五年、跨入第一方阵”总目标</w:t>
      </w:r>
      <w:r>
        <w:rPr>
          <w:rFonts w:hint="eastAsia" w:eastAsia="方正仿宋_GBK" w:cs="Times New Roman"/>
          <w:color w:val="auto"/>
          <w:sz w:val="30"/>
          <w:szCs w:val="30"/>
          <w:lang w:val="en-US" w:eastAsia="zh-CN"/>
          <w14:ligatures w14:val="standardContextual"/>
        </w:rPr>
        <w:t>以及</w:t>
      </w:r>
      <w:r>
        <w:rPr>
          <w:rFonts w:hint="eastAsia" w:ascii="Times New Roman" w:eastAsia="方正仿宋_GBK" w:cs="Times New Roman"/>
          <w:color w:val="auto"/>
          <w:sz w:val="30"/>
          <w:szCs w:val="30"/>
          <w14:ligatures w14:val="standardContextual"/>
        </w:rPr>
        <w:t>“融入京津冀 打造桥头堡”、建设国家区域重点城市和建设能源之城、算力之城、文化之城重大战略，扎实推动“转型四步走”，持续深耕“四大赛道”，坚决扛牢高质量发展和全方位转型“排头兵”的重大使命任务，主动服务和融入新发展格局，坚持稳中求进、提质增效工作总基调，坚持以经济建设为中心，以推动高质量发展为主题，以改革创新为根本动力，以满足人民日益增长的美好生活需要为根本目的，以全面从严治党为根本保障，坚定有序推进转型发展，全力打造“能源转型、文旅融合、城乡和美”</w:t>
      </w:r>
      <w:r>
        <w:rPr>
          <w:rFonts w:hint="eastAsia" w:ascii="Times New Roman" w:eastAsia="方正仿宋_GBK" w:cs="Times New Roman"/>
          <w:color w:val="auto"/>
          <w:sz w:val="30"/>
          <w:szCs w:val="30"/>
          <w:highlight w:val="none"/>
          <w:lang w:val="en-US" w:eastAsia="zh-CN"/>
          <w14:ligatures w14:val="standardContextual"/>
        </w:rPr>
        <w:t>城区</w:t>
      </w:r>
      <w:r>
        <w:rPr>
          <w:rFonts w:hint="eastAsia" w:ascii="Times New Roman" w:eastAsia="方正仿宋_GBK" w:cs="Times New Roman"/>
          <w:color w:val="auto"/>
          <w:sz w:val="30"/>
          <w:szCs w:val="30"/>
          <w14:ligatures w14:val="standardContextual"/>
        </w:rPr>
        <w:t>，努力</w:t>
      </w:r>
      <w:r>
        <w:rPr>
          <w:rFonts w:hint="eastAsia" w:ascii="Times New Roman" w:eastAsia="方正仿宋_GBK" w:cs="Times New Roman"/>
          <w:color w:val="auto"/>
          <w:sz w:val="30"/>
          <w:szCs w:val="30"/>
          <w:lang w:val="en-US" w:eastAsia="zh-CN"/>
          <w14:ligatures w14:val="standardContextual"/>
        </w:rPr>
        <w:t>推动</w:t>
      </w:r>
      <w:r>
        <w:rPr>
          <w:rFonts w:hint="eastAsia" w:ascii="Times New Roman" w:eastAsia="方正仿宋_GBK" w:cs="Times New Roman"/>
          <w:color w:val="auto"/>
          <w:sz w:val="30"/>
          <w:szCs w:val="30"/>
          <w14:ligatures w14:val="standardContextual"/>
        </w:rPr>
        <w:t>“三地三区”</w:t>
      </w:r>
      <w:r>
        <w:rPr>
          <w:rFonts w:hint="eastAsia" w:ascii="Times New Roman" w:eastAsia="方正仿宋_GBK" w:cs="Times New Roman"/>
          <w:color w:val="auto"/>
          <w:sz w:val="30"/>
          <w:szCs w:val="30"/>
          <w:lang w:val="en-US" w:eastAsia="zh-CN"/>
          <w14:ligatures w14:val="standardContextual"/>
        </w:rPr>
        <w:t>建设</w:t>
      </w:r>
      <w:r>
        <w:rPr>
          <w:rFonts w:hint="eastAsia" w:ascii="Times New Roman" w:eastAsia="方正仿宋_GBK" w:cs="Times New Roman"/>
          <w:color w:val="auto"/>
          <w:sz w:val="30"/>
          <w:szCs w:val="30"/>
          <w14:ligatures w14:val="standardContextual"/>
        </w:rPr>
        <w:t>，推动经济实现质的有效提升和量的合理增长，推动人的全面发展、全体人民共同富裕迈出坚实步伐，确保基本实现社会主义现代化取得决定性进展。</w:t>
      </w:r>
    </w:p>
    <w:p w14:paraId="539314BC">
      <w:pPr>
        <w:spacing w:line="580" w:lineRule="exact"/>
        <w:ind w:firstLine="0" w:firstLineChars="0"/>
        <w:jc w:val="center"/>
        <w:outlineLvl w:val="1"/>
        <w:rPr>
          <w:rFonts w:eastAsia="楷体" w:cs="Times New Roman"/>
          <w:color w:val="auto"/>
          <w:sz w:val="30"/>
          <w:szCs w:val="30"/>
        </w:rPr>
      </w:pPr>
      <w:bookmarkStart w:id="44" w:name="_Toc1097192509"/>
      <w:bookmarkStart w:id="45" w:name="_Toc253259926"/>
      <w:bookmarkStart w:id="46" w:name="_Toc477014182"/>
      <w:bookmarkStart w:id="47" w:name="_Toc655252549"/>
      <w:bookmarkStart w:id="48" w:name="_Toc72234998"/>
      <w:bookmarkStart w:id="49" w:name="OLE_LINK27"/>
      <w:r>
        <w:rPr>
          <w:rFonts w:hint="eastAsia" w:eastAsia="楷体" w:cs="Times New Roman"/>
          <w:color w:val="auto"/>
          <w:sz w:val="30"/>
          <w:szCs w:val="30"/>
        </w:rPr>
        <w:t>第四节  “十五五”必须遵循的原则</w:t>
      </w:r>
      <w:bookmarkEnd w:id="44"/>
      <w:bookmarkEnd w:id="45"/>
      <w:bookmarkEnd w:id="46"/>
      <w:bookmarkEnd w:id="47"/>
      <w:bookmarkEnd w:id="48"/>
    </w:p>
    <w:p w14:paraId="7A481920">
      <w:pPr>
        <w:snapToGrid w:val="0"/>
        <w:spacing w:line="580" w:lineRule="exact"/>
        <w:ind w:firstLine="602"/>
        <w:rPr>
          <w:rFonts w:hint="eastAsia" w:eastAsia="方正仿宋_GBK" w:cs="方正仿宋_GBK"/>
          <w:b w:val="0"/>
          <w:bCs w:val="0"/>
          <w:color w:val="auto"/>
          <w:sz w:val="30"/>
          <w:szCs w:val="30"/>
        </w:rPr>
      </w:pPr>
      <w:r>
        <w:rPr>
          <w:rFonts w:hint="eastAsia" w:eastAsia="方正仿宋_GBK" w:cs="方正仿宋_GBK"/>
          <w:b/>
          <w:bCs/>
          <w:color w:val="auto"/>
          <w:sz w:val="30"/>
          <w:szCs w:val="30"/>
        </w:rPr>
        <w:t>坚持党的全面领导</w:t>
      </w:r>
      <w:r>
        <w:rPr>
          <w:rFonts w:hint="eastAsia" w:eastAsia="方正仿宋_GBK" w:cs="方正仿宋_GBK"/>
          <w:b w:val="0"/>
          <w:bCs w:val="0"/>
          <w:color w:val="auto"/>
          <w:sz w:val="30"/>
          <w:szCs w:val="30"/>
        </w:rPr>
        <w:t>。坚决维护党中央权威和集中统一领导，把党的领导贯穿经济社会发展各方面全过程，确保各项工作始终沿着正确方向前进。</w:t>
      </w:r>
    </w:p>
    <w:p w14:paraId="45333762">
      <w:pPr>
        <w:snapToGrid w:val="0"/>
        <w:spacing w:line="580" w:lineRule="exact"/>
        <w:ind w:firstLine="602"/>
        <w:rPr>
          <w:rFonts w:hint="eastAsia" w:eastAsia="方正仿宋_GBK" w:cs="方正仿宋_GBK"/>
          <w:b w:val="0"/>
          <w:bCs w:val="0"/>
          <w:color w:val="auto"/>
          <w:sz w:val="30"/>
          <w:szCs w:val="30"/>
        </w:rPr>
      </w:pPr>
      <w:r>
        <w:rPr>
          <w:rFonts w:hint="eastAsia" w:eastAsia="方正仿宋_GBK" w:cs="方正仿宋_GBK"/>
          <w:b/>
          <w:bCs/>
          <w:color w:val="auto"/>
          <w:sz w:val="30"/>
          <w:szCs w:val="30"/>
        </w:rPr>
        <w:t>坚持人民至上</w:t>
      </w:r>
      <w:r>
        <w:rPr>
          <w:rFonts w:hint="eastAsia" w:eastAsia="方正仿宋_GBK" w:cs="方正仿宋_GBK"/>
          <w:b w:val="0"/>
          <w:bCs w:val="0"/>
          <w:color w:val="auto"/>
          <w:sz w:val="30"/>
          <w:szCs w:val="30"/>
        </w:rPr>
        <w:t>。践行以人民为中心的发展思想，坚持共同富裕方向，坚持在发展中保障和改善民生，让现代化建设成果更多更公平惠及全体人民。</w:t>
      </w:r>
    </w:p>
    <w:p w14:paraId="334ADFFF">
      <w:pPr>
        <w:snapToGrid w:val="0"/>
        <w:spacing w:line="580" w:lineRule="exact"/>
        <w:ind w:firstLine="602"/>
        <w:rPr>
          <w:rFonts w:hint="eastAsia" w:eastAsia="方正仿宋_GBK" w:cs="方正仿宋_GBK"/>
          <w:b w:val="0"/>
          <w:bCs w:val="0"/>
          <w:color w:val="auto"/>
          <w:sz w:val="30"/>
          <w:szCs w:val="30"/>
        </w:rPr>
      </w:pPr>
      <w:r>
        <w:rPr>
          <w:rFonts w:hint="eastAsia" w:eastAsia="方正仿宋_GBK" w:cs="方正仿宋_GBK"/>
          <w:b/>
          <w:bCs/>
          <w:color w:val="auto"/>
          <w:sz w:val="30"/>
          <w:szCs w:val="30"/>
        </w:rPr>
        <w:t>坚持高质量发展</w:t>
      </w:r>
      <w:r>
        <w:rPr>
          <w:rFonts w:hint="eastAsia" w:eastAsia="方正仿宋_GBK" w:cs="方正仿宋_GBK"/>
          <w:b w:val="0"/>
          <w:bCs w:val="0"/>
          <w:color w:val="auto"/>
          <w:sz w:val="30"/>
          <w:szCs w:val="30"/>
        </w:rPr>
        <w:t>。围绕高质量发展主题，加力构建现代化产业体系，加快培育新动能，促进经济结构优化升级，推动经济持续健康发展和社会全面进步。</w:t>
      </w:r>
    </w:p>
    <w:p w14:paraId="1E94BD1D">
      <w:pPr>
        <w:snapToGrid w:val="0"/>
        <w:spacing w:line="580" w:lineRule="exact"/>
        <w:ind w:firstLine="602"/>
        <w:rPr>
          <w:rFonts w:hint="eastAsia" w:eastAsia="方正仿宋_GBK" w:cs="方正仿宋_GBK"/>
          <w:b w:val="0"/>
          <w:bCs w:val="0"/>
          <w:color w:val="auto"/>
          <w:sz w:val="30"/>
          <w:szCs w:val="30"/>
        </w:rPr>
      </w:pPr>
      <w:r>
        <w:rPr>
          <w:rFonts w:hint="eastAsia" w:eastAsia="方正仿宋_GBK" w:cs="方正仿宋_GBK"/>
          <w:b/>
          <w:bCs/>
          <w:color w:val="auto"/>
          <w:sz w:val="30"/>
          <w:szCs w:val="30"/>
        </w:rPr>
        <w:t>坚持全面深化改革</w:t>
      </w:r>
      <w:r>
        <w:rPr>
          <w:rFonts w:hint="eastAsia" w:eastAsia="方正仿宋_GBK" w:cs="方正仿宋_GBK"/>
          <w:b w:val="0"/>
          <w:bCs w:val="0"/>
          <w:color w:val="auto"/>
          <w:sz w:val="30"/>
          <w:szCs w:val="30"/>
        </w:rPr>
        <w:t>。针对制约高质量发展的体制机制障碍，统筹推进深层次改革、高水平开放、协同式创新，切实增强发展动能和社会活力。</w:t>
      </w:r>
    </w:p>
    <w:p w14:paraId="2EA6C3B5">
      <w:pPr>
        <w:snapToGrid w:val="0"/>
        <w:spacing w:line="580" w:lineRule="exact"/>
        <w:ind w:firstLine="602"/>
        <w:rPr>
          <w:rFonts w:hint="eastAsia" w:eastAsia="方正仿宋_GBK" w:cs="方正仿宋_GBK"/>
          <w:b w:val="0"/>
          <w:bCs w:val="0"/>
          <w:color w:val="auto"/>
          <w:sz w:val="30"/>
          <w:szCs w:val="30"/>
        </w:rPr>
      </w:pPr>
      <w:r>
        <w:rPr>
          <w:rFonts w:hint="eastAsia" w:eastAsia="方正仿宋_GBK" w:cs="方正仿宋_GBK"/>
          <w:b/>
          <w:bCs/>
          <w:color w:val="auto"/>
          <w:sz w:val="30"/>
          <w:szCs w:val="30"/>
        </w:rPr>
        <w:t>坚持有效市场和有为政府相结合</w:t>
      </w:r>
      <w:r>
        <w:rPr>
          <w:rFonts w:hint="eastAsia" w:eastAsia="方正仿宋_GBK" w:cs="方正仿宋_GBK"/>
          <w:b w:val="0"/>
          <w:bCs w:val="0"/>
          <w:color w:val="auto"/>
          <w:sz w:val="30"/>
          <w:szCs w:val="30"/>
        </w:rPr>
        <w:t>。充分发挥市场在资源配置中的决定性作用，更好发挥政府作用，持续优化营商环境，不断激发市场活力、制度活力和社会创造力。</w:t>
      </w:r>
    </w:p>
    <w:p w14:paraId="70BB6C09">
      <w:pPr>
        <w:snapToGrid w:val="0"/>
        <w:spacing w:line="580" w:lineRule="exact"/>
        <w:ind w:firstLine="602"/>
        <w:rPr>
          <w:rFonts w:eastAsia="方正仿宋_GBK" w:cs="方正仿宋_GBK"/>
          <w:b w:val="0"/>
          <w:bCs w:val="0"/>
          <w:color w:val="auto"/>
          <w:sz w:val="30"/>
          <w:szCs w:val="30"/>
        </w:rPr>
      </w:pPr>
      <w:r>
        <w:rPr>
          <w:rFonts w:hint="eastAsia" w:eastAsia="方正仿宋_GBK" w:cs="方正仿宋_GBK"/>
          <w:b/>
          <w:bCs/>
          <w:color w:val="auto"/>
          <w:sz w:val="30"/>
          <w:szCs w:val="30"/>
        </w:rPr>
        <w:t>坚持统筹发展和安全</w:t>
      </w:r>
      <w:r>
        <w:rPr>
          <w:rFonts w:hint="eastAsia" w:eastAsia="方正仿宋_GBK" w:cs="方正仿宋_GBK"/>
          <w:b w:val="0"/>
          <w:bCs w:val="0"/>
          <w:color w:val="auto"/>
          <w:sz w:val="30"/>
          <w:szCs w:val="30"/>
        </w:rPr>
        <w:t>。强化底线思维，有效防范化解各类风险，提高本质安全水平，努力实现高质量发展和高水平安全良性互动，以新安全格局保障新发展格局。</w:t>
      </w:r>
    </w:p>
    <w:bookmarkEnd w:id="49"/>
    <w:p w14:paraId="451A4306">
      <w:pPr>
        <w:spacing w:line="580" w:lineRule="exact"/>
        <w:ind w:firstLine="0" w:firstLineChars="0"/>
        <w:jc w:val="center"/>
        <w:outlineLvl w:val="1"/>
        <w:rPr>
          <w:rFonts w:eastAsia="楷体" w:cs="Times New Roman"/>
          <w:color w:val="auto"/>
          <w:sz w:val="30"/>
          <w:szCs w:val="30"/>
        </w:rPr>
      </w:pPr>
      <w:bookmarkStart w:id="50" w:name="_Toc533449227"/>
      <w:bookmarkStart w:id="51" w:name="_Toc226987928"/>
      <w:bookmarkStart w:id="52" w:name="_Toc725350831"/>
      <w:bookmarkStart w:id="53" w:name="_Toc72421974"/>
      <w:bookmarkStart w:id="54" w:name="_Toc620902623"/>
      <w:bookmarkStart w:id="55" w:name="_Hlk214031903"/>
      <w:r>
        <w:rPr>
          <w:rFonts w:hint="eastAsia" w:eastAsia="楷体" w:cs="Times New Roman"/>
          <w:color w:val="auto"/>
          <w:sz w:val="30"/>
          <w:szCs w:val="30"/>
        </w:rPr>
        <w:t>第五节  “十五五”战略定位</w:t>
      </w:r>
      <w:bookmarkEnd w:id="50"/>
      <w:bookmarkEnd w:id="51"/>
      <w:bookmarkEnd w:id="52"/>
      <w:bookmarkEnd w:id="53"/>
      <w:bookmarkEnd w:id="54"/>
    </w:p>
    <w:p w14:paraId="0BE173B3">
      <w:pPr>
        <w:snapToGrid w:val="0"/>
        <w:spacing w:line="580" w:lineRule="exact"/>
        <w:ind w:firstLine="600"/>
        <w:rPr>
          <w:rFonts w:hint="eastAsia" w:eastAsia="方正仿宋_GBK" w:cs="Times New Roman"/>
          <w:color w:val="auto"/>
          <w:sz w:val="30"/>
          <w:szCs w:val="30"/>
          <w14:ligatures w14:val="standardContextual"/>
        </w:rPr>
      </w:pPr>
      <w:bookmarkStart w:id="56" w:name="_Hlk216065763"/>
      <w:bookmarkStart w:id="57" w:name="_Hlk216067457"/>
      <w:bookmarkStart w:id="58" w:name="_Toc1720372816"/>
      <w:r>
        <w:rPr>
          <w:rFonts w:hint="eastAsia" w:eastAsia="方正仿宋_GBK" w:cs="Times New Roman"/>
          <w:color w:val="auto"/>
          <w:sz w:val="30"/>
          <w:szCs w:val="30"/>
          <w14:ligatures w14:val="standardContextual"/>
        </w:rPr>
        <w:t>坚持在全国</w:t>
      </w:r>
      <w:r>
        <w:rPr>
          <w:rFonts w:hint="eastAsia" w:eastAsia="方正仿宋_GBK" w:cs="Times New Roman"/>
          <w:color w:val="auto"/>
          <w:sz w:val="30"/>
          <w:szCs w:val="30"/>
          <w:lang w:eastAsia="zh-CN"/>
          <w14:ligatures w14:val="standardContextual"/>
        </w:rPr>
        <w:t>、</w:t>
      </w:r>
      <w:r>
        <w:rPr>
          <w:rFonts w:hint="eastAsia" w:eastAsia="方正仿宋_GBK" w:cs="Times New Roman"/>
          <w:color w:val="auto"/>
          <w:sz w:val="30"/>
          <w:szCs w:val="30"/>
          <w14:ligatures w14:val="standardContextual"/>
        </w:rPr>
        <w:t>全省</w:t>
      </w:r>
      <w:r>
        <w:rPr>
          <w:rFonts w:hint="eastAsia" w:eastAsia="方正仿宋_GBK" w:cs="Times New Roman"/>
          <w:color w:val="auto"/>
          <w:sz w:val="30"/>
          <w:szCs w:val="30"/>
          <w:lang w:eastAsia="zh-CN"/>
          <w14:ligatures w14:val="standardContextual"/>
        </w:rPr>
        <w:t>、</w:t>
      </w:r>
      <w:r>
        <w:rPr>
          <w:rFonts w:hint="eastAsia" w:eastAsia="方正仿宋_GBK" w:cs="Times New Roman"/>
          <w:color w:val="auto"/>
          <w:sz w:val="30"/>
          <w:szCs w:val="30"/>
          <w14:ligatures w14:val="standardContextual"/>
        </w:rPr>
        <w:t>全市发展大局中找准定位，聚焦市委提出的“两个全面”“六大建设”发展方向，坚决扛牢高质量发展和全方位转型“排头兵”重大使命任务，</w:t>
      </w:r>
      <w:r>
        <w:rPr>
          <w:rFonts w:hint="eastAsia" w:eastAsia="方正仿宋_GBK" w:cs="Times New Roman"/>
          <w:color w:val="auto"/>
          <w:sz w:val="30"/>
          <w:szCs w:val="30"/>
          <w:lang w:val="en-US" w:eastAsia="zh-CN"/>
          <w14:ligatures w14:val="standardContextual"/>
        </w:rPr>
        <w:t>明确我区</w:t>
      </w:r>
      <w:r>
        <w:rPr>
          <w:rFonts w:hint="eastAsia" w:eastAsia="方正仿宋_GBK" w:cs="Times New Roman"/>
          <w:b/>
          <w:bCs/>
          <w:color w:val="auto"/>
          <w:sz w:val="30"/>
          <w:szCs w:val="30"/>
          <w14:ligatures w14:val="standardContextual"/>
        </w:rPr>
        <w:t>“三地三区”</w:t>
      </w:r>
      <w:r>
        <w:rPr>
          <w:rFonts w:hint="eastAsia" w:eastAsia="方正仿宋_GBK" w:cs="Times New Roman"/>
          <w:color w:val="auto"/>
          <w:sz w:val="30"/>
          <w:szCs w:val="30"/>
          <w14:ligatures w14:val="standardContextual"/>
        </w:rPr>
        <w:t>六大战略定位，形成支撑未来发展的核心战略支点。</w:t>
      </w:r>
    </w:p>
    <w:p w14:paraId="254C9169">
      <w:pPr>
        <w:snapToGrid w:val="0"/>
        <w:spacing w:line="580" w:lineRule="exact"/>
        <w:ind w:firstLine="602"/>
        <w:rPr>
          <w:rFonts w:hint="eastAsia" w:eastAsia="方正仿宋_GBK" w:cs="方正仿宋_GBK"/>
          <w:b/>
          <w:bCs/>
          <w:color w:val="auto"/>
          <w:sz w:val="30"/>
          <w:szCs w:val="30"/>
        </w:rPr>
      </w:pPr>
      <w:bookmarkStart w:id="59" w:name="OLE_LINK3"/>
      <w:r>
        <w:rPr>
          <w:rFonts w:hint="eastAsia" w:eastAsia="方正仿宋_GBK" w:cs="方正仿宋_GBK"/>
          <w:b/>
          <w:bCs/>
          <w:color w:val="auto"/>
          <w:sz w:val="30"/>
          <w:szCs w:val="30"/>
        </w:rPr>
        <w:t>——建设全省重要的综合能源新材料基地。</w:t>
      </w:r>
      <w:r>
        <w:rPr>
          <w:rFonts w:hint="eastAsia" w:eastAsia="方正仿宋_GBK" w:cs="方正仿宋_GBK"/>
          <w:b w:val="0"/>
          <w:bCs w:val="0"/>
          <w:color w:val="auto"/>
          <w:sz w:val="30"/>
          <w:szCs w:val="30"/>
        </w:rPr>
        <w:t>坚决扛起能源保供政治责任，统筹推进煤炭稳产稳供、煤电兜底调峰、新能源和清洁能源规模化高质量开发利用、未来能源前瞻布局，大力推进煤炭产业智能化、绿色化转型，强化煤炭清洁高效利用，积极发展光伏、风电等可再生能源，有序布局新型储能等未来产业，构建“风光火储”多能互补、清洁低碳、安全高效的新型能源体系，集聚碳纤维上下游企业，培育具有竞争力的新材料产业集群。</w:t>
      </w:r>
    </w:p>
    <w:p w14:paraId="6896E6AE">
      <w:pPr>
        <w:snapToGrid w:val="0"/>
        <w:spacing w:line="580" w:lineRule="exact"/>
        <w:ind w:firstLine="602"/>
        <w:rPr>
          <w:rFonts w:hint="eastAsia" w:eastAsia="方正仿宋_GBK" w:cs="方正仿宋_GBK"/>
          <w:b/>
          <w:bCs/>
          <w:color w:val="auto"/>
          <w:sz w:val="30"/>
          <w:szCs w:val="30"/>
        </w:rPr>
      </w:pPr>
      <w:r>
        <w:rPr>
          <w:rFonts w:hint="eastAsia" w:eastAsia="方正仿宋_GBK" w:cs="方正仿宋_GBK"/>
          <w:b/>
          <w:bCs/>
          <w:color w:val="auto"/>
          <w:sz w:val="30"/>
          <w:szCs w:val="30"/>
        </w:rPr>
        <w:t>——建设晋北先进制造产业基地。</w:t>
      </w:r>
      <w:r>
        <w:rPr>
          <w:rFonts w:hint="eastAsia" w:eastAsia="方正仿宋_GBK" w:cs="方正仿宋_GBK"/>
          <w:b w:val="0"/>
          <w:bCs w:val="0"/>
          <w:color w:val="auto"/>
          <w:sz w:val="30"/>
          <w:szCs w:val="30"/>
        </w:rPr>
        <w:t>大力发展智能制造，促进制造过程智能化、产品服务数字化，做强煤机制造、高端装备制造产业，积极布局电动重卡零部件、光热组件、节能系统门窗等先进制造业新增长点，配套建设重卡换电站、充电桩等基础设施，构建特色鲜明、优势突出的现代化产业体系，为资源型地区产业转型升级提供</w:t>
      </w:r>
      <w:r>
        <w:rPr>
          <w:rFonts w:hint="eastAsia" w:eastAsia="方正仿宋_GBK" w:cs="方正仿宋_GBK"/>
          <w:b w:val="0"/>
          <w:bCs w:val="0"/>
          <w:color w:val="auto"/>
          <w:sz w:val="30"/>
          <w:szCs w:val="30"/>
          <w:lang w:val="en-US" w:eastAsia="zh-CN"/>
        </w:rPr>
        <w:t>样板</w:t>
      </w:r>
      <w:r>
        <w:rPr>
          <w:rFonts w:hint="eastAsia" w:eastAsia="方正仿宋_GBK" w:cs="方正仿宋_GBK"/>
          <w:b w:val="0"/>
          <w:bCs w:val="0"/>
          <w:color w:val="auto"/>
          <w:sz w:val="30"/>
          <w:szCs w:val="30"/>
        </w:rPr>
        <w:t>。</w:t>
      </w:r>
    </w:p>
    <w:p w14:paraId="1BC1CA54">
      <w:pPr>
        <w:snapToGrid w:val="0"/>
        <w:spacing w:line="580" w:lineRule="exact"/>
        <w:ind w:firstLine="602"/>
        <w:rPr>
          <w:rFonts w:hint="eastAsia" w:eastAsia="方正仿宋_GBK" w:cs="方正仿宋_GBK"/>
          <w:b/>
          <w:bCs/>
          <w:color w:val="auto"/>
          <w:sz w:val="30"/>
          <w:szCs w:val="30"/>
        </w:rPr>
      </w:pPr>
      <w:r>
        <w:rPr>
          <w:rFonts w:hint="eastAsia" w:eastAsia="方正仿宋_GBK" w:cs="方正仿宋_GBK"/>
          <w:b/>
          <w:bCs/>
          <w:color w:val="auto"/>
          <w:sz w:val="30"/>
          <w:szCs w:val="30"/>
        </w:rPr>
        <w:t>——建设特优农产品供给和有机旱作基地。</w:t>
      </w:r>
      <w:r>
        <w:rPr>
          <w:rFonts w:hint="eastAsia" w:eastAsia="方正仿宋_GBK" w:cs="方正仿宋_GBK"/>
          <w:b w:val="0"/>
          <w:bCs w:val="0"/>
          <w:color w:val="auto"/>
          <w:sz w:val="30"/>
          <w:szCs w:val="30"/>
        </w:rPr>
        <w:t>深入实施特优农业提质增效行动，发展高附加值作物种植，完善草莓产业全链条，引进发展以油菜花为主的有机旱作特色景观农业，推动渔业养殖绿色健康发展，打造更多优质绿色有机农产品，做大做强精深加工产业，统筹发展科技农业、绿色农业、质量农业、品牌农业，着力构建现代农业产业体系、生产体系、经营体系。</w:t>
      </w:r>
    </w:p>
    <w:p w14:paraId="0ED6539A">
      <w:pPr>
        <w:snapToGrid w:val="0"/>
        <w:spacing w:line="580" w:lineRule="exact"/>
        <w:ind w:firstLine="602"/>
        <w:rPr>
          <w:rFonts w:hint="eastAsia" w:eastAsia="方正仿宋_GBK" w:cs="方正仿宋_GBK"/>
          <w:b/>
          <w:bCs/>
          <w:color w:val="auto"/>
          <w:sz w:val="30"/>
          <w:szCs w:val="30"/>
        </w:rPr>
      </w:pPr>
      <w:r>
        <w:rPr>
          <w:rFonts w:hint="eastAsia" w:eastAsia="方正仿宋_GBK" w:cs="方正仿宋_GBK"/>
          <w:b/>
          <w:bCs/>
          <w:color w:val="auto"/>
          <w:sz w:val="30"/>
          <w:szCs w:val="30"/>
        </w:rPr>
        <w:t>——打造知名的“云冈大景区”。</w:t>
      </w:r>
      <w:r>
        <w:rPr>
          <w:rFonts w:hint="eastAsia" w:eastAsia="方正仿宋_GBK" w:cs="方正仿宋_GBK"/>
          <w:b w:val="0"/>
          <w:bCs w:val="0"/>
          <w:color w:val="auto"/>
          <w:sz w:val="30"/>
          <w:szCs w:val="30"/>
        </w:rPr>
        <w:t>以世界文化遗产云冈石窟为龙头，深化“云冈学”研究，推进文化遗产的数字化保护、沉浸式展示与创新性发展，深入实施文旅产业融合发展行动，着力完善现代旅游业体系，深入推动“文旅+”，加快形成“全域、全季、全龄、全业态、全链条”文旅业态，丰富高品质旅游产品供给，推动优质文化特色转化，优化“吃住行游购娱”全链条配套设施，把文化产业培育成支柱产业、富民产业、幸福产业。</w:t>
      </w:r>
    </w:p>
    <w:p w14:paraId="58EA7165">
      <w:pPr>
        <w:snapToGrid w:val="0"/>
        <w:spacing w:line="580" w:lineRule="exact"/>
        <w:ind w:firstLine="602"/>
        <w:rPr>
          <w:rFonts w:hint="eastAsia" w:eastAsia="方正仿宋_GBK" w:cs="方正仿宋_GBK"/>
          <w:b/>
          <w:bCs/>
          <w:color w:val="auto"/>
          <w:sz w:val="30"/>
          <w:szCs w:val="30"/>
        </w:rPr>
      </w:pPr>
      <w:r>
        <w:rPr>
          <w:rFonts w:hint="eastAsia" w:eastAsia="方正仿宋_GBK" w:cs="方正仿宋_GBK"/>
          <w:b/>
          <w:bCs/>
          <w:color w:val="auto"/>
          <w:sz w:val="30"/>
          <w:szCs w:val="30"/>
        </w:rPr>
        <w:t>——打造绿色低碳生态涵养和全国大宗固废综合利用样板区。</w:t>
      </w:r>
      <w:r>
        <w:rPr>
          <w:rFonts w:hint="eastAsia" w:eastAsia="方正仿宋_GBK" w:cs="方正仿宋_GBK"/>
          <w:b w:val="0"/>
          <w:bCs w:val="0"/>
          <w:color w:val="auto"/>
          <w:sz w:val="30"/>
          <w:szCs w:val="30"/>
        </w:rPr>
        <w:t>加强山水林田湖草沙一体化保护和系统治理，一体推进治山、治水、治气、治城，巩固污染防治成果，严格落实“四水四定”。依托国家大宗固废综合利用基地政策优势，聚焦煤矸石、粉煤灰、脱硫石膏等主要工业固废，拓展资源化、高值化利用路径，推动固废在建材生产、道路交通、矿井充填等领域的规模化应用，引进和培育一批龙头骨干企业，努力为全国全省同类地区固废治理与循环经济发展提供可复制、可推广的“云冈经验”。</w:t>
      </w:r>
    </w:p>
    <w:p w14:paraId="76A1C900">
      <w:pPr>
        <w:snapToGrid w:val="0"/>
        <w:spacing w:line="580" w:lineRule="exact"/>
        <w:ind w:firstLine="602"/>
        <w:rPr>
          <w:rFonts w:eastAsia="方正仿宋_GBK" w:cs="Times New Roman"/>
          <w:color w:val="auto"/>
          <w:sz w:val="30"/>
          <w:szCs w:val="30"/>
          <w14:ligatures w14:val="standardContextual"/>
        </w:rPr>
      </w:pPr>
      <w:r>
        <w:rPr>
          <w:rFonts w:hint="eastAsia" w:eastAsia="方正仿宋_GBK" w:cs="方正仿宋_GBK"/>
          <w:b/>
          <w:bCs/>
          <w:color w:val="auto"/>
          <w:sz w:val="30"/>
          <w:szCs w:val="30"/>
        </w:rPr>
        <w:t>——打造创新宜居美丽韧性文明智慧的城市更新先行区。</w:t>
      </w:r>
      <w:r>
        <w:rPr>
          <w:rFonts w:hint="eastAsia" w:eastAsia="方正仿宋_GBK" w:cs="方正仿宋_GBK"/>
          <w:b w:val="0"/>
          <w:bCs w:val="0"/>
          <w:color w:val="auto"/>
          <w:sz w:val="30"/>
          <w:szCs w:val="30"/>
        </w:rPr>
        <w:t>坚持人民城市人民建、人民城市为人民，实施城市更新行动，拓展城市绿地和开放空间，优化教育、医疗、养老、住房等公共服务供给，推进智慧城市和韧性城市建设，努力建成功能完善、生态优美、治理高效、充满活力的现代化人民城市。</w:t>
      </w:r>
      <w:bookmarkEnd w:id="56"/>
      <w:bookmarkEnd w:id="57"/>
      <w:bookmarkEnd w:id="59"/>
    </w:p>
    <w:bookmarkEnd w:id="55"/>
    <w:p w14:paraId="03A76B61">
      <w:pPr>
        <w:spacing w:line="580" w:lineRule="exact"/>
        <w:ind w:firstLine="0" w:firstLineChars="0"/>
        <w:jc w:val="center"/>
        <w:outlineLvl w:val="1"/>
        <w:rPr>
          <w:rFonts w:eastAsia="楷体" w:cs="Times New Roman"/>
          <w:color w:val="auto"/>
          <w:sz w:val="30"/>
          <w:szCs w:val="30"/>
        </w:rPr>
      </w:pPr>
      <w:bookmarkStart w:id="60" w:name="_Toc1055148824"/>
      <w:bookmarkStart w:id="61" w:name="_Toc887343988"/>
      <w:bookmarkStart w:id="62" w:name="_Toc2013368098"/>
      <w:bookmarkStart w:id="63" w:name="_Toc2084415611"/>
      <w:r>
        <w:rPr>
          <w:rFonts w:hint="eastAsia" w:eastAsia="楷体" w:cs="Times New Roman"/>
          <w:color w:val="auto"/>
          <w:sz w:val="30"/>
          <w:szCs w:val="30"/>
        </w:rPr>
        <w:t>第六节  “十五五”发展目标</w:t>
      </w:r>
      <w:bookmarkEnd w:id="58"/>
      <w:bookmarkEnd w:id="60"/>
      <w:bookmarkEnd w:id="61"/>
      <w:bookmarkEnd w:id="62"/>
      <w:bookmarkEnd w:id="63"/>
    </w:p>
    <w:p w14:paraId="5FC439C8">
      <w:pPr>
        <w:snapToGrid w:val="0"/>
        <w:spacing w:line="580" w:lineRule="exact"/>
        <w:ind w:firstLine="600"/>
        <w:rPr>
          <w:rFonts w:eastAsia="方正仿宋_GBK" w:cs="Times New Roman"/>
          <w:color w:val="auto"/>
          <w:sz w:val="30"/>
          <w:szCs w:val="30"/>
          <w14:ligatures w14:val="standardContextual"/>
        </w:rPr>
      </w:pPr>
      <w:r>
        <w:rPr>
          <w:rFonts w:hint="eastAsia" w:eastAsia="方正仿宋_GBK" w:cs="Times New Roman"/>
          <w:color w:val="auto"/>
          <w:sz w:val="30"/>
          <w:szCs w:val="30"/>
          <w14:ligatures w14:val="standardContextual"/>
        </w:rPr>
        <w:t>经过五年奋斗，推动云冈经济社会发展各项事业实现重大突破，现代化新云冈建设取得决定性进展：</w:t>
      </w:r>
    </w:p>
    <w:p w14:paraId="4AA47D33">
      <w:pPr>
        <w:snapToGrid w:val="0"/>
        <w:spacing w:line="580" w:lineRule="exact"/>
        <w:ind w:firstLine="602"/>
        <w:rPr>
          <w:rFonts w:hint="eastAsia" w:eastAsia="方正仿宋_GBK" w:cs="方正仿宋_GBK"/>
          <w:b w:val="0"/>
          <w:bCs w:val="0"/>
          <w:color w:val="auto"/>
          <w:sz w:val="30"/>
          <w:szCs w:val="30"/>
        </w:rPr>
      </w:pPr>
      <w:r>
        <w:rPr>
          <w:rFonts w:hint="eastAsia" w:eastAsia="方正仿宋_GBK" w:cs="方正仿宋_GBK"/>
          <w:b/>
          <w:bCs/>
          <w:color w:val="auto"/>
          <w:sz w:val="30"/>
          <w:szCs w:val="30"/>
        </w:rPr>
        <w:t>——高质量发展取得显著成效。</w:t>
      </w:r>
      <w:r>
        <w:rPr>
          <w:rFonts w:hint="eastAsia" w:eastAsia="方正仿宋_GBK" w:cs="方正仿宋_GBK"/>
          <w:b w:val="0"/>
          <w:bCs w:val="0"/>
          <w:color w:val="auto"/>
          <w:sz w:val="30"/>
          <w:szCs w:val="30"/>
        </w:rPr>
        <w:t>经济增长保持在合理区间，全要素生产率稳步提升，居民消费率明显提升，内需拉动经济增长动力作用持续增强，经济增长潜力得到充分释放，新型工业化、信息化、城镇化、农业现代化取得重大进展，发展新质生产力、服务和融入新发展格局、推动建设现代化经济体系取得显著成效。</w:t>
      </w:r>
    </w:p>
    <w:p w14:paraId="6DA69912">
      <w:pPr>
        <w:snapToGrid w:val="0"/>
        <w:spacing w:line="580" w:lineRule="exact"/>
        <w:ind w:firstLine="602"/>
        <w:rPr>
          <w:rFonts w:hint="eastAsia" w:eastAsia="方正仿宋_GBK" w:cs="方正仿宋_GBK"/>
          <w:b/>
          <w:bCs/>
          <w:color w:val="auto"/>
          <w:sz w:val="30"/>
          <w:szCs w:val="30"/>
        </w:rPr>
      </w:pPr>
      <w:r>
        <w:rPr>
          <w:rFonts w:hint="eastAsia" w:eastAsia="方正仿宋_GBK" w:cs="方正仿宋_GBK"/>
          <w:b/>
          <w:bCs/>
          <w:color w:val="auto"/>
          <w:sz w:val="30"/>
          <w:szCs w:val="30"/>
        </w:rPr>
        <w:t>——资源型经济转型取得明显进展。</w:t>
      </w:r>
      <w:r>
        <w:rPr>
          <w:rFonts w:hint="eastAsia" w:eastAsia="方正仿宋_GBK" w:cs="方正仿宋_GBK"/>
          <w:b w:val="0"/>
          <w:bCs w:val="0"/>
          <w:color w:val="auto"/>
          <w:sz w:val="30"/>
          <w:szCs w:val="30"/>
        </w:rPr>
        <w:t>能源革命改革取得突破性进展，新型能源体系初步建成，制造业竞争力明显提升，新兴产业加快壮大，特优农业和文旅产业成为新的支柱产业，能源强区和文旅强区建设取得重要成效，体现云冈特点、具有比较优势的现代化产业体系加速形成，基本实现转型。</w:t>
      </w:r>
    </w:p>
    <w:p w14:paraId="03B0B002">
      <w:pPr>
        <w:snapToGrid w:val="0"/>
        <w:spacing w:line="580" w:lineRule="exact"/>
        <w:ind w:firstLine="602"/>
        <w:rPr>
          <w:rFonts w:hint="eastAsia" w:eastAsia="方正仿宋_GBK" w:cs="方正仿宋_GBK"/>
          <w:b/>
          <w:bCs/>
          <w:color w:val="auto"/>
          <w:sz w:val="30"/>
          <w:szCs w:val="30"/>
        </w:rPr>
      </w:pPr>
      <w:r>
        <w:rPr>
          <w:rFonts w:hint="eastAsia" w:eastAsia="方正仿宋_GBK" w:cs="方正仿宋_GBK"/>
          <w:b/>
          <w:bCs/>
          <w:color w:val="auto"/>
          <w:sz w:val="30"/>
          <w:szCs w:val="30"/>
        </w:rPr>
        <w:t>——创新驱动活力持续释放。</w:t>
      </w:r>
      <w:r>
        <w:rPr>
          <w:rFonts w:hint="eastAsia" w:eastAsia="方正仿宋_GBK" w:cs="方正仿宋_GBK"/>
          <w:b w:val="0"/>
          <w:bCs w:val="0"/>
          <w:color w:val="auto"/>
          <w:sz w:val="30"/>
          <w:szCs w:val="30"/>
        </w:rPr>
        <w:t>研究与试验发展投入强度持续提升，科技创新与产业创新融合程度不断加强，创新驱动发展环境有效改善，创新驱动发展能力明显增强，支撑产业转型、能源革命、绿色低碳发展的创新体系整体效能显著提升。</w:t>
      </w:r>
    </w:p>
    <w:p w14:paraId="1575B41F">
      <w:pPr>
        <w:snapToGrid w:val="0"/>
        <w:spacing w:line="580" w:lineRule="exact"/>
        <w:ind w:firstLine="602"/>
        <w:rPr>
          <w:rFonts w:hint="eastAsia" w:eastAsia="方正仿宋_GBK" w:cs="方正仿宋_GBK"/>
          <w:b w:val="0"/>
          <w:bCs w:val="0"/>
          <w:color w:val="auto"/>
          <w:sz w:val="30"/>
          <w:szCs w:val="30"/>
        </w:rPr>
      </w:pPr>
      <w:r>
        <w:rPr>
          <w:rFonts w:hint="eastAsia" w:eastAsia="方正仿宋_GBK" w:cs="方正仿宋_GBK"/>
          <w:b/>
          <w:bCs/>
          <w:color w:val="auto"/>
          <w:sz w:val="30"/>
          <w:szCs w:val="30"/>
        </w:rPr>
        <w:t>——全面深化改革取得新突破。</w:t>
      </w:r>
      <w:r>
        <w:rPr>
          <w:rFonts w:hint="eastAsia" w:eastAsia="方正仿宋_GBK" w:cs="方正仿宋_GBK"/>
          <w:b w:val="0"/>
          <w:bCs w:val="0"/>
          <w:color w:val="auto"/>
          <w:sz w:val="30"/>
          <w:szCs w:val="30"/>
        </w:rPr>
        <w:t>经济体制改革牵引作用进一步发挥，重点领域和关键环节改革取得明显进展。要素市场化配置机制不断健全，积极服务和主动融入全国统一大市场。智慧便捷的高效政务服务体系基本形成，营商环境持续优化。</w:t>
      </w:r>
    </w:p>
    <w:p w14:paraId="6B12E76E">
      <w:pPr>
        <w:snapToGrid w:val="0"/>
        <w:spacing w:line="580" w:lineRule="exact"/>
        <w:ind w:firstLine="602"/>
        <w:rPr>
          <w:rFonts w:hint="eastAsia" w:eastAsia="方正仿宋_GBK" w:cs="方正仿宋_GBK"/>
          <w:b/>
          <w:bCs/>
          <w:color w:val="auto"/>
          <w:sz w:val="30"/>
          <w:szCs w:val="30"/>
        </w:rPr>
      </w:pPr>
      <w:r>
        <w:rPr>
          <w:rFonts w:hint="eastAsia" w:eastAsia="方正仿宋_GBK" w:cs="方正仿宋_GBK"/>
          <w:b/>
          <w:bCs/>
          <w:color w:val="auto"/>
          <w:sz w:val="30"/>
          <w:szCs w:val="30"/>
        </w:rPr>
        <w:t>——社会文明程度显著提升。</w:t>
      </w:r>
      <w:r>
        <w:rPr>
          <w:rFonts w:hint="eastAsia" w:eastAsia="方正仿宋_GBK" w:cs="方正仿宋_GBK"/>
          <w:b w:val="0"/>
          <w:bCs w:val="0"/>
          <w:color w:val="auto"/>
          <w:sz w:val="30"/>
          <w:szCs w:val="30"/>
        </w:rPr>
        <w:t>文化自信更加坚定，主流思想舆论不断巩固壮大，社会主义核心价值观广泛践行，城乡精神文明建设融合发展，公共文化服务体系和文化产业体系更加健全，文化创新创造活力不断激发，人民精神文化生活更加丰富，具有云冈特色的文化传播力影响力显著增强。</w:t>
      </w:r>
    </w:p>
    <w:p w14:paraId="0E382AF0">
      <w:pPr>
        <w:snapToGrid w:val="0"/>
        <w:spacing w:line="580" w:lineRule="exact"/>
        <w:ind w:firstLine="602"/>
        <w:rPr>
          <w:rFonts w:hint="eastAsia" w:eastAsia="方正仿宋_GBK" w:cs="方正仿宋_GBK"/>
          <w:b/>
          <w:bCs/>
          <w:color w:val="auto"/>
          <w:sz w:val="30"/>
          <w:szCs w:val="30"/>
        </w:rPr>
      </w:pPr>
      <w:r>
        <w:rPr>
          <w:rFonts w:hint="eastAsia" w:eastAsia="方正仿宋_GBK" w:cs="方正仿宋_GBK"/>
          <w:b/>
          <w:bCs/>
          <w:color w:val="auto"/>
          <w:sz w:val="30"/>
          <w:szCs w:val="30"/>
        </w:rPr>
        <w:t>——人民生活品质不断提高。</w:t>
      </w:r>
      <w:r>
        <w:rPr>
          <w:rFonts w:hint="eastAsia" w:eastAsia="方正仿宋_GBK" w:cs="方正仿宋_GBK"/>
          <w:b w:val="0"/>
          <w:bCs w:val="0"/>
          <w:color w:val="auto"/>
          <w:sz w:val="30"/>
          <w:szCs w:val="30"/>
        </w:rPr>
        <w:t>高质量充分就业取得新进展，居民收入增长和经济增长同步、劳动报酬提高和劳动生产率提高同步，城乡居民收入与全国全省平均水平差距进一步缩小，中等收入群体持续扩大，社会保障制度更加优化更可持续，基本公共服务均等化水平明显提升。乡村全面振兴有力推进，脱贫攻坚成果进一步巩固拓展。人民群众的获得感、幸福感、安全感明显提高。</w:t>
      </w:r>
    </w:p>
    <w:p w14:paraId="687E3795">
      <w:pPr>
        <w:snapToGrid w:val="0"/>
        <w:spacing w:line="580" w:lineRule="exact"/>
        <w:ind w:firstLine="602"/>
        <w:rPr>
          <w:rFonts w:hint="eastAsia" w:eastAsia="方正仿宋_GBK" w:cs="方正仿宋_GBK"/>
          <w:b/>
          <w:bCs/>
          <w:color w:val="auto"/>
          <w:sz w:val="30"/>
          <w:szCs w:val="30"/>
        </w:rPr>
      </w:pPr>
      <w:r>
        <w:rPr>
          <w:rFonts w:hint="eastAsia" w:eastAsia="方正仿宋_GBK" w:cs="方正仿宋_GBK"/>
          <w:b/>
          <w:bCs/>
          <w:color w:val="auto"/>
          <w:sz w:val="30"/>
          <w:szCs w:val="30"/>
        </w:rPr>
        <w:t>——美丽云冈建设取得新的重大成效。</w:t>
      </w:r>
      <w:r>
        <w:rPr>
          <w:rFonts w:hint="eastAsia" w:eastAsia="方正仿宋_GBK" w:cs="方正仿宋_GBK"/>
          <w:b w:val="0"/>
          <w:bCs w:val="0"/>
          <w:color w:val="auto"/>
          <w:sz w:val="30"/>
          <w:szCs w:val="30"/>
        </w:rPr>
        <w:t>空气、水体质量持续优化提升，固废治理与综合利用水平持续提高，森林覆盖率稳步提升，生态涵养功能进一步增强，生态产品价值不断提高，高水平保护和高质量发展良性互动。</w:t>
      </w:r>
    </w:p>
    <w:p w14:paraId="482A1039">
      <w:pPr>
        <w:snapToGrid w:val="0"/>
        <w:spacing w:line="580" w:lineRule="exact"/>
        <w:ind w:firstLine="602"/>
        <w:rPr>
          <w:rFonts w:hint="eastAsia" w:eastAsia="方正仿宋_GBK" w:cs="Times New Roman"/>
          <w:color w:val="auto"/>
          <w:sz w:val="30"/>
          <w:szCs w:val="30"/>
          <w14:ligatures w14:val="standardContextual"/>
        </w:rPr>
      </w:pPr>
      <w:r>
        <w:rPr>
          <w:rFonts w:hint="eastAsia" w:eastAsia="方正仿宋_GBK" w:cs="方正仿宋_GBK"/>
          <w:b/>
          <w:bCs/>
          <w:color w:val="auto"/>
          <w:sz w:val="30"/>
          <w:szCs w:val="30"/>
        </w:rPr>
        <w:t>——安全发展能力明显增强。</w:t>
      </w:r>
      <w:r>
        <w:rPr>
          <w:rFonts w:hint="eastAsia" w:eastAsia="方正仿宋_GBK" w:cs="方正仿宋_GBK"/>
          <w:b w:val="0"/>
          <w:bCs w:val="0"/>
          <w:color w:val="auto"/>
          <w:sz w:val="30"/>
          <w:szCs w:val="30"/>
        </w:rPr>
        <w:t>重点领域风险得到有效防范化解，安全生产本质安全水平和自然灾害防治应对能力有效提升，社会治理和公共安全治理水平进一步提高，全方位立体化公共安全网基本形成，更高水平平安云冈建设扎实推进。</w:t>
      </w:r>
    </w:p>
    <w:p w14:paraId="0222ED46">
      <w:pPr>
        <w:keepNext w:val="0"/>
        <w:keepLines w:val="0"/>
        <w:spacing w:before="0" w:after="0" w:line="240" w:lineRule="auto"/>
        <w:ind w:left="0" w:leftChars="0" w:firstLine="0" w:firstLineChars="0"/>
        <w:jc w:val="center"/>
        <w:outlineLvl w:val="9"/>
        <w:rPr>
          <w:rFonts w:hint="eastAsia"/>
          <w:color w:val="auto"/>
        </w:rPr>
      </w:pPr>
      <w:r>
        <w:rPr>
          <w:rFonts w:hint="eastAsia" w:ascii="方正黑体_GBK" w:hAnsi="方正黑体_GBK" w:eastAsia="方正黑体_GBK" w:cs="方正黑体_GBK"/>
          <w:color w:val="auto"/>
        </w:rPr>
        <w:t>表1 云冈区“十五五”时期经济社会发展指标体系</w:t>
      </w:r>
    </w:p>
    <w:tbl>
      <w:tblPr>
        <w:tblStyle w:val="28"/>
        <w:tblW w:w="48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5"/>
        <w:gridCol w:w="3616"/>
        <w:gridCol w:w="879"/>
        <w:gridCol w:w="897"/>
        <w:gridCol w:w="1488"/>
        <w:gridCol w:w="912"/>
      </w:tblGrid>
      <w:tr w14:paraId="3F8AFC03">
        <w:trPr>
          <w:trHeight w:val="397" w:hRule="atLeast"/>
          <w:jc w:val="center"/>
        </w:trPr>
        <w:tc>
          <w:tcPr>
            <w:tcW w:w="505" w:type="dxa"/>
            <w:tcBorders>
              <w:tl2br w:val="nil"/>
              <w:tr2bl w:val="nil"/>
            </w:tcBorders>
            <w:noWrap w:val="0"/>
            <w:vAlign w:val="center"/>
          </w:tcPr>
          <w:p w14:paraId="1D461CEE">
            <w:pPr>
              <w:spacing w:line="300" w:lineRule="exact"/>
              <w:ind w:firstLine="0" w:firstLineChars="0"/>
              <w:jc w:val="center"/>
              <w:rPr>
                <w:rFonts w:hint="eastAsia" w:ascii="方正仿宋_GBK" w:hAnsi="方正仿宋_GBK" w:eastAsia="方正仿宋_GBK" w:cs="方正仿宋_GBK"/>
                <w:b/>
                <w:bCs/>
                <w:color w:val="auto"/>
                <w:sz w:val="21"/>
                <w:szCs w:val="21"/>
                <w:highlight w:val="none"/>
                <w:lang w:bidi="ar"/>
              </w:rPr>
            </w:pPr>
            <w:r>
              <w:rPr>
                <w:rFonts w:hint="eastAsia" w:ascii="方正仿宋_GBK" w:hAnsi="方正仿宋_GBK" w:eastAsia="方正仿宋_GBK" w:cs="方正仿宋_GBK"/>
                <w:b/>
                <w:bCs/>
                <w:color w:val="auto"/>
                <w:sz w:val="21"/>
                <w:szCs w:val="21"/>
                <w:highlight w:val="none"/>
                <w:lang w:bidi="ar"/>
              </w:rPr>
              <w:t>序号</w:t>
            </w:r>
          </w:p>
        </w:tc>
        <w:tc>
          <w:tcPr>
            <w:tcW w:w="3616" w:type="dxa"/>
            <w:tcBorders>
              <w:tl2br w:val="nil"/>
              <w:tr2bl w:val="nil"/>
            </w:tcBorders>
            <w:noWrap/>
            <w:vAlign w:val="center"/>
          </w:tcPr>
          <w:p w14:paraId="2EF9E281">
            <w:pPr>
              <w:spacing w:line="300" w:lineRule="exact"/>
              <w:ind w:firstLine="0" w:firstLineChars="0"/>
              <w:jc w:val="center"/>
              <w:rPr>
                <w:rFonts w:hint="eastAsia" w:ascii="方正仿宋_GBK" w:hAnsi="方正仿宋_GBK" w:eastAsia="方正仿宋_GBK" w:cs="方正仿宋_GBK"/>
                <w:b/>
                <w:bCs/>
                <w:color w:val="auto"/>
                <w:sz w:val="21"/>
                <w:szCs w:val="21"/>
                <w:highlight w:val="none"/>
                <w:lang w:bidi="ar"/>
              </w:rPr>
            </w:pPr>
            <w:r>
              <w:rPr>
                <w:rFonts w:hint="eastAsia" w:ascii="方正仿宋_GBK" w:hAnsi="方正仿宋_GBK" w:eastAsia="方正仿宋_GBK" w:cs="方正仿宋_GBK"/>
                <w:b/>
                <w:bCs/>
                <w:color w:val="auto"/>
                <w:sz w:val="21"/>
                <w:szCs w:val="21"/>
                <w:highlight w:val="none"/>
                <w:lang w:bidi="ar"/>
              </w:rPr>
              <w:t>指标名称</w:t>
            </w:r>
          </w:p>
        </w:tc>
        <w:tc>
          <w:tcPr>
            <w:tcW w:w="879" w:type="dxa"/>
            <w:tcBorders>
              <w:tl2br w:val="nil"/>
              <w:tr2bl w:val="nil"/>
            </w:tcBorders>
            <w:noWrap w:val="0"/>
            <w:vAlign w:val="center"/>
          </w:tcPr>
          <w:p w14:paraId="0273315B">
            <w:pPr>
              <w:spacing w:line="300" w:lineRule="exact"/>
              <w:ind w:firstLine="0" w:firstLineChars="0"/>
              <w:jc w:val="center"/>
              <w:rPr>
                <w:rFonts w:hint="default" w:ascii="Times New Roman Regular" w:hAnsi="Times New Roman Regular" w:eastAsia="方正仿宋_GBK" w:cs="Times New Roman Regular"/>
                <w:b w:val="0"/>
                <w:bCs/>
                <w:color w:val="auto"/>
                <w:sz w:val="21"/>
                <w:szCs w:val="21"/>
                <w:highlight w:val="none"/>
                <w:lang w:bidi="ar"/>
              </w:rPr>
            </w:pPr>
            <w:r>
              <w:rPr>
                <w:rFonts w:hint="default" w:ascii="Times New Roman Regular" w:hAnsi="Times New Roman Regular" w:eastAsia="方正仿宋_GBK" w:cs="Times New Roman Regular"/>
                <w:b w:val="0"/>
                <w:bCs/>
                <w:color w:val="auto"/>
                <w:sz w:val="21"/>
                <w:szCs w:val="21"/>
                <w:highlight w:val="none"/>
                <w:lang w:bidi="ar"/>
              </w:rPr>
              <w:t>202</w:t>
            </w:r>
            <w:r>
              <w:rPr>
                <w:rFonts w:hint="default" w:ascii="Times New Roman Regular" w:hAnsi="Times New Roman Regular" w:eastAsia="方正仿宋_GBK" w:cs="Times New Roman Regular"/>
                <w:b w:val="0"/>
                <w:bCs/>
                <w:color w:val="auto"/>
                <w:sz w:val="21"/>
                <w:szCs w:val="21"/>
                <w:highlight w:val="none"/>
                <w:lang w:val="en-US" w:bidi="ar"/>
              </w:rPr>
              <w:t>5</w:t>
            </w:r>
            <w:r>
              <w:rPr>
                <w:rFonts w:hint="default" w:ascii="Times New Roman Regular" w:hAnsi="Times New Roman Regular" w:eastAsia="方正仿宋_GBK" w:cs="Times New Roman Regular"/>
                <w:b w:val="0"/>
                <w:bCs/>
                <w:color w:val="auto"/>
                <w:sz w:val="21"/>
                <w:szCs w:val="21"/>
                <w:highlight w:val="none"/>
                <w:lang w:bidi="ar"/>
              </w:rPr>
              <w:t>年</w:t>
            </w:r>
          </w:p>
        </w:tc>
        <w:tc>
          <w:tcPr>
            <w:tcW w:w="897" w:type="dxa"/>
            <w:tcBorders>
              <w:tl2br w:val="nil"/>
              <w:tr2bl w:val="nil"/>
            </w:tcBorders>
            <w:noWrap w:val="0"/>
            <w:vAlign w:val="center"/>
          </w:tcPr>
          <w:p w14:paraId="6D947136">
            <w:pPr>
              <w:spacing w:line="300" w:lineRule="exact"/>
              <w:ind w:firstLine="0" w:firstLineChars="0"/>
              <w:jc w:val="center"/>
              <w:rPr>
                <w:rFonts w:hint="eastAsia" w:ascii="Times New Roman Regular" w:hAnsi="Times New Roman Regular" w:eastAsia="方正仿宋_GBK" w:cs="Times New Roman Regular"/>
                <w:b w:val="0"/>
                <w:bCs/>
                <w:color w:val="auto"/>
                <w:sz w:val="21"/>
                <w:szCs w:val="21"/>
                <w:highlight w:val="none"/>
                <w:lang w:val="en-US" w:eastAsia="zh-CN" w:bidi="ar"/>
              </w:rPr>
            </w:pPr>
            <w:r>
              <w:rPr>
                <w:rFonts w:hint="default" w:ascii="Times New Roman Regular" w:hAnsi="Times New Roman Regular" w:eastAsia="方正仿宋_GBK" w:cs="Times New Roman Regular"/>
                <w:b w:val="0"/>
                <w:bCs/>
                <w:color w:val="auto"/>
                <w:sz w:val="21"/>
                <w:szCs w:val="21"/>
                <w:highlight w:val="none"/>
                <w:lang w:bidi="ar"/>
              </w:rPr>
              <w:t>2030年</w:t>
            </w:r>
            <w:r>
              <w:rPr>
                <w:rFonts w:hint="eastAsia" w:ascii="Times New Roman Regular" w:hAnsi="Times New Roman Regular" w:eastAsia="方正仿宋_GBK" w:cs="Times New Roman Regular"/>
                <w:b w:val="0"/>
                <w:bCs/>
                <w:color w:val="auto"/>
                <w:sz w:val="21"/>
                <w:szCs w:val="21"/>
                <w:highlight w:val="none"/>
                <w:lang w:val="en-US" w:eastAsia="zh-CN" w:bidi="ar"/>
              </w:rPr>
              <w:t>目标</w:t>
            </w:r>
          </w:p>
        </w:tc>
        <w:tc>
          <w:tcPr>
            <w:tcW w:w="1488" w:type="dxa"/>
            <w:tcBorders>
              <w:tl2br w:val="nil"/>
              <w:tr2bl w:val="nil"/>
            </w:tcBorders>
            <w:noWrap w:val="0"/>
            <w:vAlign w:val="center"/>
          </w:tcPr>
          <w:p w14:paraId="57F61864">
            <w:pPr>
              <w:spacing w:line="300" w:lineRule="exact"/>
              <w:ind w:firstLine="0" w:firstLineChars="0"/>
              <w:jc w:val="center"/>
              <w:rPr>
                <w:rFonts w:hint="eastAsia" w:ascii="方正仿宋_GBK" w:hAnsi="方正仿宋_GBK" w:eastAsia="方正仿宋_GBK" w:cs="方正仿宋_GBK"/>
                <w:b w:val="0"/>
                <w:bCs w:val="0"/>
                <w:color w:val="auto"/>
                <w:sz w:val="21"/>
                <w:szCs w:val="21"/>
                <w:highlight w:val="none"/>
                <w:lang w:bidi="ar"/>
              </w:rPr>
            </w:pPr>
            <w:r>
              <w:rPr>
                <w:rFonts w:hint="eastAsia" w:ascii="方正仿宋_GBK" w:hAnsi="方正仿宋_GBK" w:eastAsia="方正仿宋_GBK" w:cs="方正仿宋_GBK"/>
                <w:b w:val="0"/>
                <w:bCs w:val="0"/>
                <w:color w:val="auto"/>
                <w:sz w:val="21"/>
                <w:szCs w:val="21"/>
                <w:highlight w:val="none"/>
                <w:lang w:bidi="ar"/>
              </w:rPr>
              <w:t>年均增长</w:t>
            </w:r>
          </w:p>
          <w:p w14:paraId="51A1A20F">
            <w:pPr>
              <w:spacing w:line="300" w:lineRule="exact"/>
              <w:ind w:firstLine="0" w:firstLineChars="0"/>
              <w:jc w:val="center"/>
              <w:rPr>
                <w:rFonts w:hint="eastAsia" w:ascii="方正仿宋_GBK" w:hAnsi="方正仿宋_GBK" w:eastAsia="方正仿宋_GBK" w:cs="方正仿宋_GBK"/>
                <w:b w:val="0"/>
                <w:bCs w:val="0"/>
                <w:color w:val="auto"/>
                <w:sz w:val="21"/>
                <w:szCs w:val="21"/>
                <w:highlight w:val="none"/>
                <w:lang w:bidi="ar"/>
              </w:rPr>
            </w:pPr>
            <w:r>
              <w:rPr>
                <w:rFonts w:hint="eastAsia" w:ascii="方正仿宋_GBK" w:hAnsi="方正仿宋_GBK" w:eastAsia="方正仿宋_GBK" w:cs="方正仿宋_GBK"/>
                <w:b w:val="0"/>
                <w:bCs w:val="0"/>
                <w:color w:val="auto"/>
                <w:sz w:val="21"/>
                <w:szCs w:val="21"/>
                <w:highlight w:val="none"/>
                <w:lang w:bidi="ar"/>
              </w:rPr>
              <w:t>/[累计]</w:t>
            </w:r>
          </w:p>
        </w:tc>
        <w:tc>
          <w:tcPr>
            <w:tcW w:w="912" w:type="dxa"/>
            <w:tcBorders>
              <w:tl2br w:val="nil"/>
              <w:tr2bl w:val="nil"/>
            </w:tcBorders>
            <w:noWrap w:val="0"/>
            <w:vAlign w:val="center"/>
          </w:tcPr>
          <w:p w14:paraId="59CAD71B">
            <w:pPr>
              <w:spacing w:line="300" w:lineRule="exact"/>
              <w:ind w:firstLine="0" w:firstLineChars="0"/>
              <w:jc w:val="center"/>
              <w:rPr>
                <w:rFonts w:hint="eastAsia" w:ascii="方正仿宋_GBK" w:hAnsi="方正仿宋_GBK" w:eastAsia="方正仿宋_GBK" w:cs="方正仿宋_GBK"/>
                <w:b w:val="0"/>
                <w:bCs w:val="0"/>
                <w:color w:val="auto"/>
                <w:sz w:val="21"/>
                <w:szCs w:val="21"/>
                <w:highlight w:val="none"/>
                <w:lang w:bidi="ar"/>
              </w:rPr>
            </w:pPr>
            <w:r>
              <w:rPr>
                <w:rFonts w:hint="eastAsia" w:ascii="方正仿宋_GBK" w:hAnsi="方正仿宋_GBK" w:eastAsia="方正仿宋_GBK" w:cs="方正仿宋_GBK"/>
                <w:b w:val="0"/>
                <w:bCs w:val="0"/>
                <w:color w:val="auto"/>
                <w:sz w:val="21"/>
                <w:szCs w:val="21"/>
                <w:highlight w:val="none"/>
                <w:lang w:bidi="ar"/>
              </w:rPr>
              <w:t>属性</w:t>
            </w:r>
          </w:p>
        </w:tc>
      </w:tr>
      <w:tr w14:paraId="6F1982BB">
        <w:trPr>
          <w:trHeight w:val="397" w:hRule="atLeast"/>
          <w:jc w:val="center"/>
        </w:trPr>
        <w:tc>
          <w:tcPr>
            <w:tcW w:w="8297" w:type="dxa"/>
            <w:gridSpan w:val="6"/>
            <w:tcBorders>
              <w:tl2br w:val="nil"/>
              <w:tr2bl w:val="nil"/>
            </w:tcBorders>
            <w:noWrap/>
            <w:vAlign w:val="center"/>
          </w:tcPr>
          <w:p w14:paraId="05CFF3FF">
            <w:pPr>
              <w:widowControl/>
              <w:adjustRightInd w:val="0"/>
              <w:snapToGrid w:val="0"/>
              <w:spacing w:line="240" w:lineRule="auto"/>
              <w:ind w:firstLine="0" w:firstLineChars="0"/>
              <w:jc w:val="both"/>
              <w:rPr>
                <w:rFonts w:hint="default" w:ascii="Times New Roman Regular" w:hAnsi="Times New Roman Regular" w:eastAsia="方正仿宋_GBK" w:cs="Times New Roman Regular"/>
                <w:b w:val="0"/>
                <w:color w:val="auto"/>
                <w:kern w:val="0"/>
                <w:sz w:val="21"/>
                <w:szCs w:val="21"/>
                <w:lang w:bidi="ar"/>
              </w:rPr>
            </w:pPr>
            <w:r>
              <w:rPr>
                <w:rFonts w:hint="eastAsia" w:ascii="Times New Roman Regular" w:hAnsi="Times New Roman Regular" w:eastAsia="方正仿宋_GBK" w:cs="Times New Roman Regular"/>
                <w:b/>
                <w:bCs/>
                <w:color w:val="auto"/>
                <w:sz w:val="21"/>
                <w:szCs w:val="21"/>
                <w:highlight w:val="none"/>
                <w:lang w:val="en-US" w:eastAsia="zh-CN" w:bidi="ar"/>
              </w:rPr>
              <w:t>一、经济发展（3个）</w:t>
            </w:r>
          </w:p>
        </w:tc>
      </w:tr>
      <w:tr w14:paraId="06872B30">
        <w:trPr>
          <w:trHeight w:val="397" w:hRule="atLeast"/>
          <w:jc w:val="center"/>
        </w:trPr>
        <w:tc>
          <w:tcPr>
            <w:tcW w:w="505" w:type="dxa"/>
            <w:tcBorders>
              <w:tl2br w:val="nil"/>
              <w:tr2bl w:val="nil"/>
            </w:tcBorders>
            <w:noWrap/>
            <w:vAlign w:val="center"/>
          </w:tcPr>
          <w:p w14:paraId="66AB4C13">
            <w:pPr>
              <w:spacing w:line="300" w:lineRule="exact"/>
              <w:ind w:firstLine="0" w:firstLineChars="0"/>
              <w:jc w:val="center"/>
              <w:rPr>
                <w:rFonts w:hint="default" w:ascii="Times New Roman Regular" w:hAnsi="Times New Roman Regular" w:eastAsia="方正仿宋_GBK" w:cs="Times New Roman Regular"/>
                <w:b w:val="0"/>
                <w:color w:val="auto"/>
                <w:sz w:val="21"/>
                <w:szCs w:val="21"/>
                <w:highlight w:val="none"/>
              </w:rPr>
            </w:pPr>
            <w:r>
              <w:rPr>
                <w:rFonts w:hint="default" w:ascii="Times New Roman Regular" w:hAnsi="Times New Roman Regular" w:eastAsia="方正仿宋_GBK" w:cs="Times New Roman Regular"/>
                <w:b w:val="0"/>
                <w:color w:val="auto"/>
                <w:sz w:val="21"/>
                <w:szCs w:val="21"/>
                <w:highlight w:val="none"/>
                <w:lang w:bidi="ar"/>
              </w:rPr>
              <w:t>1</w:t>
            </w:r>
          </w:p>
        </w:tc>
        <w:tc>
          <w:tcPr>
            <w:tcW w:w="3616" w:type="dxa"/>
            <w:tcBorders>
              <w:tl2br w:val="nil"/>
              <w:tr2bl w:val="nil"/>
            </w:tcBorders>
            <w:noWrap/>
            <w:vAlign w:val="center"/>
          </w:tcPr>
          <w:p w14:paraId="1B175E12">
            <w:pPr>
              <w:spacing w:line="300" w:lineRule="exact"/>
              <w:ind w:firstLine="0" w:firstLineChars="0"/>
              <w:rPr>
                <w:rFonts w:hint="default" w:ascii="Times New Roman Regular" w:hAnsi="Times New Roman Regular" w:eastAsia="方正仿宋_GBK" w:cs="Times New Roman Regular"/>
                <w:b w:val="0"/>
                <w:color w:val="auto"/>
                <w:sz w:val="21"/>
                <w:szCs w:val="21"/>
                <w:highlight w:val="none"/>
              </w:rPr>
            </w:pPr>
            <w:r>
              <w:rPr>
                <w:rFonts w:hint="default" w:ascii="Times New Roman Regular" w:hAnsi="Times New Roman Regular" w:eastAsia="方正仿宋_GBK" w:cs="Times New Roman Regular"/>
                <w:b w:val="0"/>
                <w:color w:val="auto"/>
                <w:sz w:val="21"/>
                <w:szCs w:val="21"/>
                <w:highlight w:val="none"/>
                <w:lang w:bidi="ar"/>
              </w:rPr>
              <w:t>地区生产总值（GDP）增长（%）</w:t>
            </w:r>
          </w:p>
        </w:tc>
        <w:tc>
          <w:tcPr>
            <w:tcW w:w="879" w:type="dxa"/>
            <w:tcBorders>
              <w:tl2br w:val="nil"/>
              <w:tr2bl w:val="nil"/>
            </w:tcBorders>
            <w:noWrap/>
            <w:vAlign w:val="center"/>
          </w:tcPr>
          <w:p w14:paraId="56B3CE42">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rPr>
            </w:pPr>
            <w:r>
              <w:rPr>
                <w:rFonts w:hint="eastAsia" w:ascii="Times New Roman Regular" w:hAnsi="Times New Roman Regular" w:eastAsia="方正仿宋_GBK" w:cs="Times New Roman Regular"/>
                <w:b w:val="0"/>
                <w:color w:val="auto"/>
                <w:sz w:val="21"/>
                <w:szCs w:val="21"/>
                <w:highlight w:val="none"/>
                <w:lang w:val="en-US" w:eastAsia="zh-CN"/>
              </w:rPr>
              <w:t>2.9</w:t>
            </w:r>
          </w:p>
        </w:tc>
        <w:tc>
          <w:tcPr>
            <w:tcW w:w="897" w:type="dxa"/>
            <w:tcBorders>
              <w:tl2br w:val="nil"/>
              <w:tr2bl w:val="nil"/>
            </w:tcBorders>
            <w:noWrap/>
            <w:vAlign w:val="center"/>
          </w:tcPr>
          <w:p w14:paraId="6301D647">
            <w:pPr>
              <w:widowControl/>
              <w:adjustRightInd w:val="0"/>
              <w:snapToGrid w:val="0"/>
              <w:spacing w:line="240" w:lineRule="auto"/>
              <w:ind w:firstLine="0" w:firstLineChars="0"/>
              <w:jc w:val="center"/>
              <w:rPr>
                <w:rFonts w:hint="eastAsia" w:ascii="Times New Roman Regular" w:hAnsi="Times New Roman Regular" w:eastAsia="方正仿宋_GBK" w:cs="Times New Roman Regular"/>
                <w:b w:val="0"/>
                <w:color w:val="auto"/>
                <w:sz w:val="21"/>
                <w:szCs w:val="21"/>
                <w:highlight w:val="none"/>
                <w:lang w:val="en-US" w:eastAsia="zh-CN"/>
              </w:rPr>
            </w:pPr>
            <w:r>
              <w:rPr>
                <w:rFonts w:hint="default" w:ascii="Arial" w:hAnsi="Arial" w:eastAsia="方正仿宋_GBK" w:cs="Arial"/>
                <w:b w:val="0"/>
                <w:color w:val="auto"/>
                <w:sz w:val="21"/>
                <w:szCs w:val="21"/>
                <w:highlight w:val="none"/>
                <w:lang w:val="en-US" w:eastAsia="zh-CN"/>
              </w:rPr>
              <w:t>－</w:t>
            </w:r>
          </w:p>
        </w:tc>
        <w:tc>
          <w:tcPr>
            <w:tcW w:w="1488" w:type="dxa"/>
            <w:tcBorders>
              <w:tl2br w:val="nil"/>
              <w:tr2bl w:val="nil"/>
            </w:tcBorders>
            <w:noWrap w:val="0"/>
            <w:vAlign w:val="center"/>
          </w:tcPr>
          <w:p w14:paraId="69ADBA89">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rPr>
            </w:pPr>
            <w:r>
              <w:rPr>
                <w:rFonts w:hint="default" w:ascii="Times New Roman Regular" w:hAnsi="Times New Roman Regular" w:eastAsia="方正仿宋_GBK" w:cs="Times New Roman Regular"/>
                <w:b w:val="0"/>
                <w:color w:val="auto"/>
                <w:sz w:val="21"/>
                <w:szCs w:val="21"/>
                <w:highlight w:val="none"/>
                <w:lang w:val="en-US" w:eastAsia="zh-CN"/>
              </w:rPr>
              <w:t>4.5</w:t>
            </w:r>
          </w:p>
        </w:tc>
        <w:tc>
          <w:tcPr>
            <w:tcW w:w="912" w:type="dxa"/>
            <w:tcBorders>
              <w:tl2br w:val="nil"/>
              <w:tr2bl w:val="nil"/>
            </w:tcBorders>
            <w:noWrap w:val="0"/>
            <w:vAlign w:val="center"/>
          </w:tcPr>
          <w:p w14:paraId="0E034978">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rPr>
            </w:pPr>
            <w:r>
              <w:rPr>
                <w:rFonts w:hint="default" w:ascii="Times New Roman Regular" w:hAnsi="Times New Roman Regular" w:eastAsia="方正仿宋_GBK" w:cs="Times New Roman Regular"/>
                <w:b w:val="0"/>
                <w:color w:val="auto"/>
                <w:kern w:val="0"/>
                <w:sz w:val="21"/>
                <w:szCs w:val="21"/>
                <w:lang w:bidi="ar"/>
              </w:rPr>
              <w:t>预期性</w:t>
            </w:r>
          </w:p>
        </w:tc>
      </w:tr>
      <w:tr w14:paraId="17588A94">
        <w:trPr>
          <w:trHeight w:val="397" w:hRule="atLeast"/>
          <w:jc w:val="center"/>
        </w:trPr>
        <w:tc>
          <w:tcPr>
            <w:tcW w:w="505" w:type="dxa"/>
            <w:tcBorders>
              <w:tl2br w:val="nil"/>
              <w:tr2bl w:val="nil"/>
            </w:tcBorders>
            <w:noWrap/>
            <w:vAlign w:val="center"/>
          </w:tcPr>
          <w:p w14:paraId="216FA50B">
            <w:pPr>
              <w:spacing w:line="300" w:lineRule="exact"/>
              <w:ind w:firstLine="0" w:firstLineChars="0"/>
              <w:jc w:val="center"/>
              <w:rPr>
                <w:rFonts w:hint="default" w:ascii="Times New Roman Regular" w:hAnsi="Times New Roman Regular" w:eastAsia="方正仿宋_GBK" w:cs="Times New Roman Regular"/>
                <w:b w:val="0"/>
                <w:color w:val="auto"/>
                <w:sz w:val="21"/>
                <w:szCs w:val="21"/>
                <w:highlight w:val="none"/>
              </w:rPr>
            </w:pPr>
            <w:r>
              <w:rPr>
                <w:rFonts w:hint="default" w:ascii="Times New Roman Regular" w:hAnsi="Times New Roman Regular" w:eastAsia="方正仿宋_GBK" w:cs="Times New Roman Regular"/>
                <w:b w:val="0"/>
                <w:color w:val="auto"/>
                <w:sz w:val="21"/>
                <w:szCs w:val="21"/>
                <w:highlight w:val="none"/>
                <w:lang w:bidi="ar"/>
              </w:rPr>
              <w:t>2</w:t>
            </w:r>
          </w:p>
        </w:tc>
        <w:tc>
          <w:tcPr>
            <w:tcW w:w="3616" w:type="dxa"/>
            <w:tcBorders>
              <w:tl2br w:val="nil"/>
              <w:tr2bl w:val="nil"/>
            </w:tcBorders>
            <w:noWrap/>
            <w:vAlign w:val="center"/>
          </w:tcPr>
          <w:p w14:paraId="4C4B5718">
            <w:pPr>
              <w:spacing w:line="300" w:lineRule="exact"/>
              <w:ind w:firstLine="0" w:firstLineChars="0"/>
              <w:rPr>
                <w:rFonts w:hint="default" w:ascii="Times New Roman Regular" w:hAnsi="Times New Roman Regular" w:eastAsia="方正仿宋_GBK" w:cs="Times New Roman Regular"/>
                <w:b w:val="0"/>
                <w:color w:val="auto"/>
                <w:sz w:val="21"/>
                <w:szCs w:val="21"/>
                <w:highlight w:val="none"/>
              </w:rPr>
            </w:pPr>
            <w:r>
              <w:rPr>
                <w:rFonts w:hint="eastAsia" w:ascii="Times New Roman Regular" w:hAnsi="Times New Roman Regular" w:eastAsia="方正仿宋_GBK" w:cs="Times New Roman Regular"/>
                <w:b w:val="0"/>
                <w:color w:val="auto"/>
                <w:sz w:val="21"/>
                <w:szCs w:val="21"/>
                <w:highlight w:val="none"/>
                <w:lang w:eastAsia="zh-CN" w:bidi="ar"/>
              </w:rPr>
              <w:t>服务业增加值增长</w:t>
            </w:r>
            <w:r>
              <w:rPr>
                <w:rFonts w:hint="default" w:ascii="Times New Roman Regular" w:hAnsi="Times New Roman Regular" w:eastAsia="方正仿宋_GBK" w:cs="Times New Roman Regular"/>
                <w:b w:val="0"/>
                <w:color w:val="auto"/>
                <w:sz w:val="21"/>
                <w:szCs w:val="21"/>
                <w:highlight w:val="none"/>
                <w:lang w:bidi="ar"/>
              </w:rPr>
              <w:t>（%）</w:t>
            </w:r>
          </w:p>
        </w:tc>
        <w:tc>
          <w:tcPr>
            <w:tcW w:w="879" w:type="dxa"/>
            <w:tcBorders>
              <w:tl2br w:val="nil"/>
              <w:tr2bl w:val="nil"/>
            </w:tcBorders>
            <w:noWrap/>
            <w:vAlign w:val="center"/>
          </w:tcPr>
          <w:p w14:paraId="127B07C1">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rPr>
            </w:pPr>
            <w:r>
              <w:rPr>
                <w:rFonts w:hint="eastAsia" w:ascii="Times New Roman Regular" w:hAnsi="Times New Roman Regular" w:eastAsia="方正仿宋_GBK" w:cs="Times New Roman Regular"/>
                <w:b w:val="0"/>
                <w:color w:val="auto"/>
                <w:sz w:val="21"/>
                <w:szCs w:val="21"/>
                <w:highlight w:val="none"/>
                <w:lang w:val="en-US" w:eastAsia="zh-CN"/>
              </w:rPr>
              <w:t>4.1</w:t>
            </w:r>
          </w:p>
        </w:tc>
        <w:tc>
          <w:tcPr>
            <w:tcW w:w="897" w:type="dxa"/>
            <w:tcBorders>
              <w:tl2br w:val="nil"/>
              <w:tr2bl w:val="nil"/>
            </w:tcBorders>
            <w:noWrap/>
            <w:vAlign w:val="center"/>
          </w:tcPr>
          <w:p w14:paraId="7A2B6324">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rPr>
            </w:pPr>
            <w:r>
              <w:rPr>
                <w:rFonts w:hint="default" w:ascii="Arial" w:hAnsi="Arial" w:eastAsia="方正仿宋_GBK" w:cs="Arial"/>
                <w:b w:val="0"/>
                <w:color w:val="auto"/>
                <w:sz w:val="21"/>
                <w:szCs w:val="21"/>
                <w:highlight w:val="none"/>
                <w:lang w:val="en-US" w:eastAsia="zh-CN"/>
              </w:rPr>
              <w:t>－</w:t>
            </w:r>
          </w:p>
        </w:tc>
        <w:tc>
          <w:tcPr>
            <w:tcW w:w="1488" w:type="dxa"/>
            <w:tcBorders>
              <w:tl2br w:val="nil"/>
              <w:tr2bl w:val="nil"/>
            </w:tcBorders>
            <w:noWrap w:val="0"/>
            <w:vAlign w:val="center"/>
          </w:tcPr>
          <w:p w14:paraId="2CD4317D">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rPr>
            </w:pPr>
            <w:r>
              <w:rPr>
                <w:rFonts w:hint="eastAsia" w:ascii="Times New Roman Regular" w:hAnsi="Times New Roman Regular" w:eastAsia="方正仿宋_GBK" w:cs="Times New Roman Regular"/>
                <w:b w:val="0"/>
                <w:color w:val="auto"/>
                <w:sz w:val="21"/>
                <w:szCs w:val="21"/>
                <w:highlight w:val="none"/>
                <w:lang w:eastAsia="zh-CN"/>
              </w:rPr>
              <w:t>与</w:t>
            </w:r>
            <w:r>
              <w:rPr>
                <w:rFonts w:hint="eastAsia" w:ascii="Times New Roman Regular" w:hAnsi="Times New Roman Regular" w:eastAsia="方正仿宋_GBK" w:cs="Times New Roman Regular"/>
                <w:b w:val="0"/>
                <w:color w:val="auto"/>
                <w:sz w:val="21"/>
                <w:szCs w:val="21"/>
                <w:highlight w:val="none"/>
                <w:lang w:val="en-US" w:eastAsia="zh-CN"/>
              </w:rPr>
              <w:t>GDP增长同步</w:t>
            </w:r>
          </w:p>
        </w:tc>
        <w:tc>
          <w:tcPr>
            <w:tcW w:w="912" w:type="dxa"/>
            <w:tcBorders>
              <w:tl2br w:val="nil"/>
              <w:tr2bl w:val="nil"/>
            </w:tcBorders>
            <w:noWrap w:val="0"/>
            <w:vAlign w:val="center"/>
          </w:tcPr>
          <w:p w14:paraId="5894193F">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rPr>
            </w:pPr>
            <w:r>
              <w:rPr>
                <w:rFonts w:hint="default" w:ascii="Times New Roman Regular" w:hAnsi="Times New Roman Regular" w:eastAsia="方正仿宋_GBK" w:cs="Times New Roman Regular"/>
                <w:b w:val="0"/>
                <w:color w:val="auto"/>
                <w:kern w:val="0"/>
                <w:sz w:val="21"/>
                <w:szCs w:val="21"/>
                <w:lang w:bidi="ar"/>
              </w:rPr>
              <w:t>预期性</w:t>
            </w:r>
          </w:p>
        </w:tc>
      </w:tr>
      <w:tr w14:paraId="115482A6">
        <w:trPr>
          <w:trHeight w:val="397" w:hRule="atLeast"/>
          <w:jc w:val="center"/>
        </w:trPr>
        <w:tc>
          <w:tcPr>
            <w:tcW w:w="505" w:type="dxa"/>
            <w:tcBorders>
              <w:tl2br w:val="nil"/>
              <w:tr2bl w:val="nil"/>
            </w:tcBorders>
            <w:noWrap/>
            <w:vAlign w:val="center"/>
          </w:tcPr>
          <w:p w14:paraId="1C36C6F6">
            <w:pPr>
              <w:spacing w:line="300" w:lineRule="exact"/>
              <w:ind w:firstLine="0" w:firstLineChars="0"/>
              <w:jc w:val="center"/>
              <w:rPr>
                <w:rFonts w:hint="default" w:ascii="Times New Roman Regular" w:hAnsi="Times New Roman Regular" w:eastAsia="方正仿宋_GBK" w:cs="Times New Roman Regular"/>
                <w:b w:val="0"/>
                <w:color w:val="auto"/>
                <w:sz w:val="21"/>
                <w:szCs w:val="21"/>
                <w:highlight w:val="none"/>
                <w:lang w:bidi="ar"/>
              </w:rPr>
            </w:pPr>
            <w:r>
              <w:rPr>
                <w:rFonts w:hint="default" w:ascii="Times New Roman Regular" w:hAnsi="Times New Roman Regular" w:eastAsia="方正仿宋_GBK" w:cs="Times New Roman Regular"/>
                <w:b w:val="0"/>
                <w:color w:val="auto"/>
                <w:sz w:val="21"/>
                <w:szCs w:val="21"/>
                <w:highlight w:val="none"/>
                <w:lang w:bidi="ar"/>
              </w:rPr>
              <w:t>3</w:t>
            </w:r>
          </w:p>
        </w:tc>
        <w:tc>
          <w:tcPr>
            <w:tcW w:w="3616" w:type="dxa"/>
            <w:tcBorders>
              <w:tl2br w:val="nil"/>
              <w:tr2bl w:val="nil"/>
            </w:tcBorders>
            <w:noWrap/>
            <w:vAlign w:val="center"/>
          </w:tcPr>
          <w:p w14:paraId="7A039CAB">
            <w:pPr>
              <w:spacing w:line="300" w:lineRule="exact"/>
              <w:ind w:firstLine="0" w:firstLineChars="0"/>
              <w:rPr>
                <w:rFonts w:hint="eastAsia" w:ascii="Times New Roman Regular" w:hAnsi="Times New Roman Regular" w:eastAsia="方正仿宋_GBK" w:cs="Times New Roman Regular"/>
                <w:b w:val="0"/>
                <w:color w:val="auto"/>
                <w:sz w:val="21"/>
                <w:szCs w:val="21"/>
                <w:highlight w:val="none"/>
                <w:lang w:eastAsia="zh-CN" w:bidi="ar"/>
              </w:rPr>
            </w:pPr>
            <w:r>
              <w:rPr>
                <w:rFonts w:hint="eastAsia" w:ascii="Times New Roman Regular" w:hAnsi="Times New Roman Regular" w:eastAsia="方正仿宋_GBK" w:cs="Times New Roman Regular"/>
                <w:b w:val="0"/>
                <w:color w:val="auto"/>
                <w:sz w:val="21"/>
                <w:szCs w:val="21"/>
                <w:highlight w:val="none"/>
                <w:lang w:eastAsia="zh-CN" w:bidi="ar"/>
              </w:rPr>
              <w:t>新增技能人才数</w:t>
            </w:r>
            <w:r>
              <w:rPr>
                <w:rFonts w:hint="default" w:ascii="Times New Roman Regular" w:hAnsi="Times New Roman Regular" w:eastAsia="方正仿宋_GBK" w:cs="Times New Roman Regular"/>
                <w:b w:val="0"/>
                <w:color w:val="auto"/>
                <w:sz w:val="21"/>
                <w:szCs w:val="21"/>
                <w:highlight w:val="none"/>
                <w:lang w:eastAsia="zh-CN" w:bidi="ar"/>
              </w:rPr>
              <w:t>（</w:t>
            </w:r>
            <w:r>
              <w:rPr>
                <w:rFonts w:hint="eastAsia" w:ascii="Times New Roman Regular" w:hAnsi="Times New Roman Regular" w:eastAsia="方正仿宋_GBK" w:cs="Times New Roman Regular"/>
                <w:b w:val="0"/>
                <w:color w:val="auto"/>
                <w:sz w:val="21"/>
                <w:szCs w:val="21"/>
                <w:highlight w:val="none"/>
                <w:lang w:eastAsia="zh-CN" w:bidi="ar"/>
              </w:rPr>
              <w:t>人</w:t>
            </w:r>
            <w:r>
              <w:rPr>
                <w:rFonts w:hint="default" w:ascii="Times New Roman Regular" w:hAnsi="Times New Roman Regular" w:eastAsia="方正仿宋_GBK" w:cs="Times New Roman Regular"/>
                <w:b w:val="0"/>
                <w:color w:val="auto"/>
                <w:sz w:val="21"/>
                <w:szCs w:val="21"/>
                <w:highlight w:val="none"/>
                <w:lang w:eastAsia="zh-CN" w:bidi="ar"/>
              </w:rPr>
              <w:t>）</w:t>
            </w:r>
          </w:p>
        </w:tc>
        <w:tc>
          <w:tcPr>
            <w:tcW w:w="879" w:type="dxa"/>
            <w:tcBorders>
              <w:tl2br w:val="nil"/>
              <w:tr2bl w:val="nil"/>
            </w:tcBorders>
            <w:noWrap/>
            <w:vAlign w:val="center"/>
          </w:tcPr>
          <w:p w14:paraId="41478332">
            <w:pPr>
              <w:widowControl/>
              <w:adjustRightInd w:val="0"/>
              <w:snapToGrid w:val="0"/>
              <w:spacing w:line="240" w:lineRule="auto"/>
              <w:ind w:firstLine="0" w:firstLineChars="0"/>
              <w:jc w:val="center"/>
              <w:rPr>
                <w:rFonts w:hint="eastAsia" w:ascii="Times New Roman Regular" w:hAnsi="Times New Roman Regular" w:eastAsia="方正仿宋_GBK" w:cs="Times New Roman Regular"/>
                <w:b w:val="0"/>
                <w:color w:val="auto"/>
                <w:sz w:val="21"/>
                <w:szCs w:val="21"/>
                <w:highlight w:val="none"/>
                <w:lang w:val="en-US" w:eastAsia="zh-CN"/>
              </w:rPr>
            </w:pPr>
            <w:r>
              <w:rPr>
                <w:rFonts w:hint="eastAsia" w:ascii="Times New Roman Regular" w:hAnsi="Times New Roman Regular" w:eastAsia="方正仿宋_GBK" w:cs="Times New Roman Regular"/>
                <w:b w:val="0"/>
                <w:color w:val="auto"/>
                <w:sz w:val="21"/>
                <w:szCs w:val="21"/>
                <w:highlight w:val="none"/>
                <w:lang w:val="en-US" w:eastAsia="zh-CN"/>
              </w:rPr>
              <w:t>2002</w:t>
            </w:r>
          </w:p>
        </w:tc>
        <w:tc>
          <w:tcPr>
            <w:tcW w:w="897" w:type="dxa"/>
            <w:tcBorders>
              <w:tl2br w:val="nil"/>
              <w:tr2bl w:val="nil"/>
            </w:tcBorders>
            <w:noWrap/>
            <w:vAlign w:val="center"/>
          </w:tcPr>
          <w:p w14:paraId="064EC2D7">
            <w:pPr>
              <w:widowControl/>
              <w:adjustRightInd w:val="0"/>
              <w:snapToGrid w:val="0"/>
              <w:spacing w:line="240" w:lineRule="auto"/>
              <w:ind w:firstLine="0" w:firstLineChars="0"/>
              <w:jc w:val="center"/>
              <w:rPr>
                <w:rFonts w:hint="default" w:ascii="Arial" w:hAnsi="Arial" w:eastAsia="方正仿宋_GBK" w:cs="Arial"/>
                <w:b w:val="0"/>
                <w:color w:val="auto"/>
                <w:sz w:val="21"/>
                <w:szCs w:val="21"/>
                <w:highlight w:val="none"/>
                <w:lang w:val="en-US" w:eastAsia="zh-CN"/>
              </w:rPr>
            </w:pPr>
            <w:r>
              <w:rPr>
                <w:rFonts w:hint="eastAsia" w:ascii="Times New Roman Regular" w:hAnsi="Times New Roman Regular" w:eastAsia="方正仿宋_GBK" w:cs="Times New Roman Regular"/>
                <w:b w:val="0"/>
                <w:color w:val="auto"/>
                <w:sz w:val="21"/>
                <w:szCs w:val="21"/>
                <w:highlight w:val="none"/>
                <w:lang w:val="en-US" w:eastAsia="zh-CN"/>
              </w:rPr>
              <w:t>2000</w:t>
            </w:r>
          </w:p>
        </w:tc>
        <w:tc>
          <w:tcPr>
            <w:tcW w:w="1488" w:type="dxa"/>
            <w:tcBorders>
              <w:tl2br w:val="nil"/>
              <w:tr2bl w:val="nil"/>
            </w:tcBorders>
            <w:noWrap w:val="0"/>
            <w:vAlign w:val="center"/>
          </w:tcPr>
          <w:p w14:paraId="5FE6E35B">
            <w:pPr>
              <w:widowControl/>
              <w:adjustRightInd w:val="0"/>
              <w:snapToGrid w:val="0"/>
              <w:spacing w:line="240" w:lineRule="auto"/>
              <w:ind w:left="0" w:leftChars="0" w:firstLine="0" w:firstLineChars="0"/>
              <w:jc w:val="center"/>
              <w:rPr>
                <w:rFonts w:hint="eastAsia" w:ascii="Times New Roman Regular" w:hAnsi="Times New Roman Regular" w:eastAsia="方正仿宋_GBK" w:cs="Times New Roman Regular"/>
                <w:b w:val="0"/>
                <w:color w:val="auto"/>
                <w:sz w:val="21"/>
                <w:szCs w:val="21"/>
                <w:highlight w:val="none"/>
                <w:lang w:eastAsia="zh-CN"/>
              </w:rPr>
            </w:pPr>
            <w:r>
              <w:rPr>
                <w:rFonts w:hint="default" w:ascii="Arial" w:hAnsi="Arial" w:eastAsia="方正仿宋_GBK" w:cs="Arial"/>
                <w:b w:val="0"/>
                <w:color w:val="auto"/>
                <w:sz w:val="21"/>
                <w:szCs w:val="21"/>
                <w:highlight w:val="none"/>
                <w:lang w:val="en-US" w:eastAsia="zh-CN"/>
              </w:rPr>
              <w:t>－</w:t>
            </w:r>
          </w:p>
        </w:tc>
        <w:tc>
          <w:tcPr>
            <w:tcW w:w="912" w:type="dxa"/>
            <w:tcBorders>
              <w:tl2br w:val="nil"/>
              <w:tr2bl w:val="nil"/>
            </w:tcBorders>
            <w:noWrap w:val="0"/>
            <w:vAlign w:val="center"/>
          </w:tcPr>
          <w:p w14:paraId="22C10FE3">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kern w:val="0"/>
                <w:sz w:val="21"/>
                <w:szCs w:val="21"/>
                <w:lang w:bidi="ar"/>
              </w:rPr>
            </w:pPr>
            <w:r>
              <w:rPr>
                <w:rFonts w:hint="default" w:ascii="Times New Roman Regular" w:hAnsi="Times New Roman Regular" w:eastAsia="方正仿宋_GBK" w:cs="Times New Roman Regular"/>
                <w:b w:val="0"/>
                <w:color w:val="auto"/>
                <w:kern w:val="0"/>
                <w:sz w:val="21"/>
                <w:szCs w:val="21"/>
                <w:lang w:bidi="ar"/>
              </w:rPr>
              <w:t>预期性</w:t>
            </w:r>
          </w:p>
        </w:tc>
      </w:tr>
      <w:tr w14:paraId="01B73888">
        <w:trPr>
          <w:trHeight w:val="397" w:hRule="atLeast"/>
          <w:jc w:val="center"/>
        </w:trPr>
        <w:tc>
          <w:tcPr>
            <w:tcW w:w="7385" w:type="dxa"/>
            <w:gridSpan w:val="5"/>
            <w:tcBorders>
              <w:tl2br w:val="nil"/>
              <w:tr2bl w:val="nil"/>
            </w:tcBorders>
            <w:noWrap/>
            <w:vAlign w:val="center"/>
          </w:tcPr>
          <w:p w14:paraId="41B9A0BA">
            <w:pPr>
              <w:spacing w:line="300" w:lineRule="exact"/>
              <w:ind w:firstLine="0" w:firstLineChars="0"/>
              <w:jc w:val="both"/>
              <w:rPr>
                <w:rFonts w:hint="default" w:ascii="Arial" w:hAnsi="Arial" w:eastAsia="方正仿宋_GBK" w:cs="Arial"/>
                <w:b w:val="0"/>
                <w:color w:val="auto"/>
                <w:sz w:val="21"/>
                <w:szCs w:val="21"/>
                <w:highlight w:val="none"/>
                <w:lang w:val="en-US" w:eastAsia="zh-CN"/>
              </w:rPr>
            </w:pPr>
            <w:r>
              <w:rPr>
                <w:rFonts w:hint="default" w:ascii="Times New Roman Regular" w:hAnsi="Times New Roman Regular" w:eastAsia="方正仿宋_GBK" w:cs="Times New Roman Regular"/>
                <w:b/>
                <w:bCs w:val="0"/>
                <w:color w:val="auto"/>
                <w:sz w:val="21"/>
                <w:szCs w:val="21"/>
                <w:highlight w:val="none"/>
                <w:lang w:eastAsia="zh-CN" w:bidi="ar"/>
              </w:rPr>
              <w:t>二</w:t>
            </w:r>
            <w:r>
              <w:rPr>
                <w:rFonts w:hint="default" w:ascii="Times New Roman Regular" w:hAnsi="Times New Roman Regular" w:eastAsia="方正仿宋_GBK" w:cs="Times New Roman Regular"/>
                <w:b/>
                <w:bCs w:val="0"/>
                <w:color w:val="auto"/>
                <w:sz w:val="21"/>
                <w:szCs w:val="21"/>
                <w:highlight w:val="none"/>
                <w:lang w:bidi="ar"/>
              </w:rPr>
              <w:t>、产业转型（</w:t>
            </w:r>
            <w:r>
              <w:rPr>
                <w:rFonts w:hint="eastAsia" w:ascii="Times New Roman Regular" w:hAnsi="Times New Roman Regular" w:eastAsia="方正仿宋_GBK" w:cs="Times New Roman Regular"/>
                <w:b/>
                <w:bCs w:val="0"/>
                <w:color w:val="auto"/>
                <w:sz w:val="21"/>
                <w:szCs w:val="21"/>
                <w:highlight w:val="none"/>
                <w:lang w:val="en-US" w:eastAsia="zh-CN" w:bidi="ar"/>
              </w:rPr>
              <w:t>3</w:t>
            </w:r>
            <w:r>
              <w:rPr>
                <w:rFonts w:hint="default" w:ascii="Times New Roman Regular" w:hAnsi="Times New Roman Regular" w:eastAsia="方正仿宋_GBK" w:cs="Times New Roman Regular"/>
                <w:b/>
                <w:bCs w:val="0"/>
                <w:color w:val="auto"/>
                <w:sz w:val="21"/>
                <w:szCs w:val="21"/>
                <w:highlight w:val="none"/>
                <w:lang w:bidi="ar"/>
              </w:rPr>
              <w:t>个）</w:t>
            </w:r>
          </w:p>
        </w:tc>
        <w:tc>
          <w:tcPr>
            <w:tcW w:w="912" w:type="dxa"/>
            <w:tcBorders>
              <w:tl2br w:val="nil"/>
              <w:tr2bl w:val="nil"/>
            </w:tcBorders>
            <w:noWrap w:val="0"/>
            <w:vAlign w:val="center"/>
          </w:tcPr>
          <w:p w14:paraId="62C8A439">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kern w:val="0"/>
                <w:sz w:val="21"/>
                <w:szCs w:val="21"/>
                <w:lang w:bidi="ar"/>
              </w:rPr>
            </w:pPr>
          </w:p>
        </w:tc>
      </w:tr>
      <w:tr w14:paraId="338BD567">
        <w:trPr>
          <w:trHeight w:val="397" w:hRule="atLeast"/>
          <w:jc w:val="center"/>
        </w:trPr>
        <w:tc>
          <w:tcPr>
            <w:tcW w:w="505" w:type="dxa"/>
            <w:tcBorders>
              <w:tl2br w:val="nil"/>
              <w:tr2bl w:val="nil"/>
            </w:tcBorders>
            <w:noWrap/>
            <w:vAlign w:val="center"/>
          </w:tcPr>
          <w:p w14:paraId="01245BE9">
            <w:pPr>
              <w:spacing w:line="300" w:lineRule="exact"/>
              <w:ind w:firstLine="0" w:firstLineChars="0"/>
              <w:jc w:val="center"/>
              <w:rPr>
                <w:rFonts w:hint="default" w:ascii="Times New Roman Regular" w:hAnsi="Times New Roman Regular" w:eastAsia="方正仿宋_GBK" w:cs="Times New Roman Regular"/>
                <w:b w:val="0"/>
                <w:color w:val="auto"/>
                <w:sz w:val="21"/>
                <w:szCs w:val="21"/>
                <w:highlight w:val="none"/>
                <w:lang w:val="en-US" w:bidi="ar"/>
              </w:rPr>
            </w:pPr>
            <w:r>
              <w:rPr>
                <w:rFonts w:hint="default" w:ascii="Times New Roman Regular" w:hAnsi="Times New Roman Regular" w:eastAsia="方正仿宋_GBK" w:cs="Times New Roman Regular"/>
                <w:b w:val="0"/>
                <w:color w:val="auto"/>
                <w:sz w:val="21"/>
                <w:szCs w:val="21"/>
                <w:highlight w:val="none"/>
                <w:lang w:val="en-US" w:bidi="ar"/>
              </w:rPr>
              <w:t>4</w:t>
            </w:r>
          </w:p>
        </w:tc>
        <w:tc>
          <w:tcPr>
            <w:tcW w:w="3616" w:type="dxa"/>
            <w:tcBorders>
              <w:tl2br w:val="nil"/>
              <w:tr2bl w:val="nil"/>
            </w:tcBorders>
            <w:noWrap/>
            <w:vAlign w:val="center"/>
          </w:tcPr>
          <w:p w14:paraId="2C3FC055">
            <w:pPr>
              <w:spacing w:line="300" w:lineRule="exact"/>
              <w:ind w:firstLine="0" w:firstLineChars="0"/>
              <w:rPr>
                <w:rFonts w:hint="default" w:ascii="Times New Roman Regular" w:hAnsi="Times New Roman Regular" w:eastAsia="方正仿宋_GBK" w:cs="Times New Roman Regular"/>
                <w:b w:val="0"/>
                <w:color w:val="auto"/>
                <w:sz w:val="21"/>
                <w:szCs w:val="21"/>
                <w:highlight w:val="none"/>
              </w:rPr>
            </w:pPr>
            <w:r>
              <w:rPr>
                <w:rFonts w:hint="default" w:ascii="Times New Roman Regular" w:hAnsi="Times New Roman Regular" w:eastAsia="方正仿宋_GBK" w:cs="Times New Roman Regular"/>
                <w:b w:val="0"/>
                <w:color w:val="auto"/>
                <w:sz w:val="21"/>
                <w:szCs w:val="21"/>
                <w:highlight w:val="none"/>
                <w:lang w:eastAsia="zh-CN" w:bidi="ar"/>
              </w:rPr>
              <w:t>可再生能源装机规模</w:t>
            </w:r>
            <w:r>
              <w:rPr>
                <w:rFonts w:hint="default" w:ascii="Times New Roman Regular" w:hAnsi="Times New Roman Regular" w:eastAsia="方正仿宋_GBK" w:cs="Times New Roman Regular"/>
                <w:b w:val="0"/>
                <w:color w:val="auto"/>
                <w:sz w:val="21"/>
                <w:szCs w:val="21"/>
                <w:highlight w:val="none"/>
                <w:lang w:bidi="ar"/>
              </w:rPr>
              <w:t>（</w:t>
            </w:r>
            <w:r>
              <w:rPr>
                <w:rFonts w:hint="default" w:ascii="Times New Roman Regular" w:hAnsi="Times New Roman Regular" w:eastAsia="方正仿宋_GBK" w:cs="Times New Roman Regular"/>
                <w:b w:val="0"/>
                <w:color w:val="auto"/>
                <w:sz w:val="21"/>
                <w:szCs w:val="21"/>
                <w:highlight w:val="none"/>
                <w:lang w:eastAsia="zh-CN" w:bidi="ar"/>
              </w:rPr>
              <w:t>万千瓦</w:t>
            </w:r>
            <w:r>
              <w:rPr>
                <w:rFonts w:hint="default" w:ascii="Times New Roman Regular" w:hAnsi="Times New Roman Regular" w:eastAsia="方正仿宋_GBK" w:cs="Times New Roman Regular"/>
                <w:b w:val="0"/>
                <w:color w:val="auto"/>
                <w:sz w:val="21"/>
                <w:szCs w:val="21"/>
                <w:highlight w:val="none"/>
                <w:lang w:bidi="ar"/>
              </w:rPr>
              <w:t>）</w:t>
            </w:r>
          </w:p>
        </w:tc>
        <w:tc>
          <w:tcPr>
            <w:tcW w:w="879" w:type="dxa"/>
            <w:tcBorders>
              <w:tl2br w:val="nil"/>
              <w:tr2bl w:val="nil"/>
            </w:tcBorders>
            <w:noWrap/>
            <w:vAlign w:val="center"/>
          </w:tcPr>
          <w:p w14:paraId="599A3CB2">
            <w:pPr>
              <w:spacing w:line="300" w:lineRule="exact"/>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rPr>
            </w:pPr>
            <w:r>
              <w:rPr>
                <w:rFonts w:hint="eastAsia" w:ascii="Times New Roman Regular" w:hAnsi="Times New Roman Regular" w:eastAsia="方正仿宋_GBK" w:cs="Times New Roman Regular"/>
                <w:b w:val="0"/>
                <w:color w:val="auto"/>
                <w:sz w:val="21"/>
                <w:szCs w:val="21"/>
                <w:highlight w:val="none"/>
                <w:lang w:val="en-US" w:eastAsia="zh-CN"/>
              </w:rPr>
              <w:t>84</w:t>
            </w:r>
          </w:p>
        </w:tc>
        <w:tc>
          <w:tcPr>
            <w:tcW w:w="897" w:type="dxa"/>
            <w:tcBorders>
              <w:tl2br w:val="nil"/>
              <w:tr2bl w:val="nil"/>
            </w:tcBorders>
            <w:noWrap/>
            <w:vAlign w:val="center"/>
          </w:tcPr>
          <w:p w14:paraId="617375F6">
            <w:pPr>
              <w:spacing w:line="300" w:lineRule="exact"/>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rPr>
            </w:pPr>
            <w:r>
              <w:rPr>
                <w:rFonts w:hint="eastAsia" w:ascii="Times New Roman Regular" w:hAnsi="Times New Roman Regular" w:eastAsia="方正仿宋_GBK" w:cs="Times New Roman Regular"/>
                <w:b w:val="0"/>
                <w:color w:val="auto"/>
                <w:sz w:val="21"/>
                <w:szCs w:val="21"/>
                <w:highlight w:val="none"/>
                <w:lang w:val="en-US" w:eastAsia="zh-CN"/>
              </w:rPr>
              <w:t>254</w:t>
            </w:r>
          </w:p>
        </w:tc>
        <w:tc>
          <w:tcPr>
            <w:tcW w:w="1488" w:type="dxa"/>
            <w:tcBorders>
              <w:tl2br w:val="nil"/>
              <w:tr2bl w:val="nil"/>
            </w:tcBorders>
            <w:noWrap w:val="0"/>
            <w:vAlign w:val="center"/>
          </w:tcPr>
          <w:p w14:paraId="2B23ABD1">
            <w:pPr>
              <w:widowControl/>
              <w:adjustRightInd w:val="0"/>
              <w:snapToGrid w:val="0"/>
              <w:spacing w:line="240" w:lineRule="auto"/>
              <w:ind w:firstLine="0" w:firstLineChars="0"/>
              <w:jc w:val="center"/>
              <w:rPr>
                <w:rFonts w:hint="default" w:ascii="Arial" w:hAnsi="Arial" w:eastAsia="方正仿宋_GBK" w:cs="Arial"/>
                <w:b w:val="0"/>
                <w:color w:val="auto"/>
                <w:sz w:val="21"/>
                <w:szCs w:val="21"/>
                <w:highlight w:val="none"/>
              </w:rPr>
            </w:pPr>
            <w:r>
              <w:rPr>
                <w:rFonts w:hint="default" w:ascii="Arial" w:hAnsi="Arial" w:eastAsia="方正仿宋_GBK" w:cs="Arial"/>
                <w:b w:val="0"/>
                <w:color w:val="auto"/>
                <w:sz w:val="21"/>
                <w:szCs w:val="21"/>
                <w:highlight w:val="none"/>
                <w:lang w:val="en-US" w:eastAsia="zh-CN"/>
              </w:rPr>
              <w:t>－</w:t>
            </w:r>
          </w:p>
        </w:tc>
        <w:tc>
          <w:tcPr>
            <w:tcW w:w="912" w:type="dxa"/>
            <w:tcBorders>
              <w:tl2br w:val="nil"/>
              <w:tr2bl w:val="nil"/>
            </w:tcBorders>
            <w:noWrap w:val="0"/>
            <w:vAlign w:val="center"/>
          </w:tcPr>
          <w:p w14:paraId="5C3B9519">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kern w:val="2"/>
                <w:sz w:val="21"/>
                <w:szCs w:val="21"/>
                <w:highlight w:val="none"/>
                <w:lang w:val="en-US" w:eastAsia="zh-CN" w:bidi="ar-SA"/>
              </w:rPr>
            </w:pPr>
            <w:r>
              <w:rPr>
                <w:rFonts w:hint="default" w:ascii="Times New Roman Regular" w:hAnsi="Times New Roman Regular" w:eastAsia="方正仿宋_GBK" w:cs="Times New Roman Regular"/>
                <w:b w:val="0"/>
                <w:color w:val="auto"/>
                <w:kern w:val="0"/>
                <w:sz w:val="21"/>
                <w:szCs w:val="21"/>
                <w:lang w:bidi="ar"/>
              </w:rPr>
              <w:t>预期性</w:t>
            </w:r>
          </w:p>
        </w:tc>
      </w:tr>
      <w:tr w14:paraId="0AC0DF93">
        <w:trPr>
          <w:trHeight w:val="397" w:hRule="atLeast"/>
          <w:jc w:val="center"/>
        </w:trPr>
        <w:tc>
          <w:tcPr>
            <w:tcW w:w="505" w:type="dxa"/>
            <w:tcBorders>
              <w:tl2br w:val="nil"/>
              <w:tr2bl w:val="nil"/>
            </w:tcBorders>
            <w:noWrap/>
            <w:vAlign w:val="center"/>
          </w:tcPr>
          <w:p w14:paraId="66F7401B">
            <w:pPr>
              <w:spacing w:line="300" w:lineRule="exact"/>
              <w:ind w:firstLine="0" w:firstLineChars="0"/>
              <w:jc w:val="center"/>
              <w:rPr>
                <w:rFonts w:hint="default" w:ascii="Times New Roman Regular" w:hAnsi="Times New Roman Regular" w:eastAsia="方正仿宋_GBK" w:cs="Times New Roman Regular"/>
                <w:b w:val="0"/>
                <w:color w:val="auto"/>
                <w:sz w:val="21"/>
                <w:szCs w:val="21"/>
                <w:highlight w:val="none"/>
                <w:lang w:val="en-US" w:bidi="ar"/>
              </w:rPr>
            </w:pPr>
            <w:r>
              <w:rPr>
                <w:rFonts w:hint="default" w:ascii="Times New Roman Regular" w:hAnsi="Times New Roman Regular" w:eastAsia="方正仿宋_GBK" w:cs="Times New Roman Regular"/>
                <w:b w:val="0"/>
                <w:color w:val="auto"/>
                <w:sz w:val="21"/>
                <w:szCs w:val="21"/>
                <w:highlight w:val="none"/>
                <w:lang w:val="en-US" w:bidi="ar"/>
              </w:rPr>
              <w:t>5</w:t>
            </w:r>
          </w:p>
        </w:tc>
        <w:tc>
          <w:tcPr>
            <w:tcW w:w="3616" w:type="dxa"/>
            <w:tcBorders>
              <w:tl2br w:val="nil"/>
              <w:tr2bl w:val="nil"/>
            </w:tcBorders>
            <w:noWrap/>
            <w:vAlign w:val="center"/>
          </w:tcPr>
          <w:p w14:paraId="352239A1">
            <w:pPr>
              <w:spacing w:line="300" w:lineRule="exact"/>
              <w:ind w:firstLine="0" w:firstLineChars="0"/>
              <w:rPr>
                <w:rFonts w:hint="default" w:ascii="Times New Roman Regular" w:hAnsi="Times New Roman Regular" w:eastAsia="方正仿宋_GBK" w:cs="Times New Roman Regular"/>
                <w:b w:val="0"/>
                <w:color w:val="auto"/>
                <w:sz w:val="21"/>
                <w:szCs w:val="21"/>
                <w:highlight w:val="none"/>
              </w:rPr>
            </w:pPr>
            <w:r>
              <w:rPr>
                <w:rFonts w:hint="default" w:ascii="Times New Roman Regular" w:hAnsi="Times New Roman Regular" w:eastAsia="方正仿宋_GBK" w:cs="Times New Roman Regular"/>
                <w:b w:val="0"/>
                <w:color w:val="auto"/>
                <w:sz w:val="21"/>
                <w:szCs w:val="21"/>
                <w:highlight w:val="none"/>
                <w:lang w:bidi="ar"/>
              </w:rPr>
              <w:t>制造业</w:t>
            </w:r>
            <w:r>
              <w:rPr>
                <w:rFonts w:hint="eastAsia" w:ascii="Times New Roman Regular" w:hAnsi="Times New Roman Regular" w:eastAsia="方正仿宋_GBK" w:cs="Times New Roman Regular"/>
                <w:b w:val="0"/>
                <w:color w:val="auto"/>
                <w:sz w:val="21"/>
                <w:szCs w:val="21"/>
                <w:highlight w:val="none"/>
                <w:lang w:eastAsia="zh-CN" w:bidi="ar"/>
              </w:rPr>
              <w:t>产值</w:t>
            </w:r>
            <w:r>
              <w:rPr>
                <w:rFonts w:hint="default" w:ascii="Times New Roman Regular" w:hAnsi="Times New Roman Regular" w:eastAsia="方正仿宋_GBK" w:cs="Times New Roman Regular"/>
                <w:b w:val="0"/>
                <w:color w:val="auto"/>
                <w:sz w:val="21"/>
                <w:szCs w:val="21"/>
                <w:highlight w:val="none"/>
                <w:lang w:eastAsia="zh-CN" w:bidi="ar"/>
              </w:rPr>
              <w:t>（</w:t>
            </w:r>
            <w:r>
              <w:rPr>
                <w:rFonts w:hint="eastAsia" w:ascii="Times New Roman Regular" w:hAnsi="Times New Roman Regular" w:eastAsia="方正仿宋_GBK" w:cs="Times New Roman Regular"/>
                <w:b w:val="0"/>
                <w:color w:val="auto"/>
                <w:sz w:val="21"/>
                <w:szCs w:val="21"/>
                <w:highlight w:val="none"/>
                <w:lang w:eastAsia="zh-CN" w:bidi="ar"/>
              </w:rPr>
              <w:t>亿元</w:t>
            </w:r>
            <w:r>
              <w:rPr>
                <w:rFonts w:hint="default" w:ascii="Times New Roman Regular" w:hAnsi="Times New Roman Regular" w:eastAsia="方正仿宋_GBK" w:cs="Times New Roman Regular"/>
                <w:b w:val="0"/>
                <w:color w:val="auto"/>
                <w:sz w:val="21"/>
                <w:szCs w:val="21"/>
                <w:highlight w:val="none"/>
                <w:lang w:eastAsia="zh-CN" w:bidi="ar"/>
              </w:rPr>
              <w:t>）</w:t>
            </w:r>
          </w:p>
        </w:tc>
        <w:tc>
          <w:tcPr>
            <w:tcW w:w="879" w:type="dxa"/>
            <w:tcBorders>
              <w:tl2br w:val="nil"/>
              <w:tr2bl w:val="nil"/>
            </w:tcBorders>
            <w:noWrap/>
            <w:vAlign w:val="center"/>
          </w:tcPr>
          <w:p w14:paraId="03383856">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rPr>
            </w:pPr>
            <w:r>
              <w:rPr>
                <w:rFonts w:hint="eastAsia" w:ascii="Times New Roman Regular" w:hAnsi="Times New Roman Regular" w:eastAsia="方正仿宋_GBK" w:cs="Times New Roman Regular"/>
                <w:b w:val="0"/>
                <w:color w:val="auto"/>
                <w:sz w:val="21"/>
                <w:szCs w:val="21"/>
                <w:highlight w:val="none"/>
                <w:lang w:val="en-US" w:eastAsia="zh-CN"/>
              </w:rPr>
              <w:t>25.97</w:t>
            </w:r>
          </w:p>
        </w:tc>
        <w:tc>
          <w:tcPr>
            <w:tcW w:w="897" w:type="dxa"/>
            <w:tcBorders>
              <w:tl2br w:val="nil"/>
              <w:tr2bl w:val="nil"/>
            </w:tcBorders>
            <w:noWrap/>
            <w:vAlign w:val="center"/>
          </w:tcPr>
          <w:p w14:paraId="3AF72D15">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rPr>
            </w:pPr>
            <w:r>
              <w:rPr>
                <w:rFonts w:hint="eastAsia" w:ascii="Times New Roman Regular" w:hAnsi="Times New Roman Regular" w:eastAsia="方正仿宋_GBK" w:cs="Times New Roman Regular"/>
                <w:b w:val="0"/>
                <w:color w:val="auto"/>
                <w:sz w:val="21"/>
                <w:szCs w:val="21"/>
                <w:highlight w:val="none"/>
                <w:lang w:val="en-US" w:eastAsia="zh-CN"/>
              </w:rPr>
              <w:t>29</w:t>
            </w:r>
          </w:p>
        </w:tc>
        <w:tc>
          <w:tcPr>
            <w:tcW w:w="1488" w:type="dxa"/>
            <w:tcBorders>
              <w:tl2br w:val="nil"/>
              <w:tr2bl w:val="nil"/>
            </w:tcBorders>
            <w:noWrap w:val="0"/>
            <w:vAlign w:val="center"/>
          </w:tcPr>
          <w:p w14:paraId="32B33492">
            <w:pPr>
              <w:widowControl/>
              <w:adjustRightInd w:val="0"/>
              <w:snapToGrid w:val="0"/>
              <w:spacing w:line="240" w:lineRule="auto"/>
              <w:ind w:left="0" w:leftChars="0" w:firstLine="0" w:firstLineChars="0"/>
              <w:jc w:val="center"/>
              <w:rPr>
                <w:rFonts w:hint="default" w:ascii="Arial" w:hAnsi="Arial" w:eastAsia="方正仿宋_GBK" w:cs="Arial"/>
                <w:b w:val="0"/>
                <w:color w:val="auto"/>
                <w:sz w:val="21"/>
                <w:szCs w:val="21"/>
                <w:highlight w:val="none"/>
                <w:lang w:val="en-US" w:eastAsia="zh-CN"/>
              </w:rPr>
            </w:pPr>
            <w:r>
              <w:rPr>
                <w:rFonts w:hint="default" w:ascii="Arial" w:hAnsi="Arial" w:eastAsia="方正仿宋_GBK" w:cs="Arial"/>
                <w:b w:val="0"/>
                <w:color w:val="auto"/>
                <w:sz w:val="21"/>
                <w:szCs w:val="21"/>
                <w:highlight w:val="none"/>
                <w:lang w:val="en-US" w:eastAsia="zh-CN"/>
              </w:rPr>
              <w:t>－</w:t>
            </w:r>
          </w:p>
        </w:tc>
        <w:tc>
          <w:tcPr>
            <w:tcW w:w="912" w:type="dxa"/>
            <w:tcBorders>
              <w:tl2br w:val="nil"/>
              <w:tr2bl w:val="nil"/>
            </w:tcBorders>
            <w:noWrap w:val="0"/>
            <w:vAlign w:val="center"/>
          </w:tcPr>
          <w:p w14:paraId="1C16B8CA">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rPr>
            </w:pPr>
            <w:r>
              <w:rPr>
                <w:rFonts w:hint="default" w:ascii="Times New Roman Regular" w:hAnsi="Times New Roman Regular" w:eastAsia="方正仿宋_GBK" w:cs="Times New Roman Regular"/>
                <w:b w:val="0"/>
                <w:color w:val="auto"/>
                <w:kern w:val="0"/>
                <w:sz w:val="21"/>
                <w:szCs w:val="21"/>
                <w:lang w:bidi="ar"/>
              </w:rPr>
              <w:t>预期性</w:t>
            </w:r>
          </w:p>
        </w:tc>
      </w:tr>
      <w:tr w14:paraId="5B1E4EBC">
        <w:trPr>
          <w:trHeight w:val="397" w:hRule="atLeast"/>
          <w:jc w:val="center"/>
        </w:trPr>
        <w:tc>
          <w:tcPr>
            <w:tcW w:w="505" w:type="dxa"/>
            <w:tcBorders>
              <w:tl2br w:val="nil"/>
              <w:tr2bl w:val="nil"/>
            </w:tcBorders>
            <w:noWrap/>
            <w:vAlign w:val="center"/>
          </w:tcPr>
          <w:p w14:paraId="546A18E6">
            <w:pPr>
              <w:spacing w:line="300" w:lineRule="exact"/>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bidi="ar"/>
              </w:rPr>
            </w:pPr>
            <w:r>
              <w:rPr>
                <w:rFonts w:hint="default" w:ascii="Times New Roman Regular" w:hAnsi="Times New Roman Regular" w:eastAsia="方正仿宋_GBK" w:cs="Times New Roman Regular"/>
                <w:b w:val="0"/>
                <w:color w:val="auto"/>
                <w:sz w:val="21"/>
                <w:szCs w:val="21"/>
                <w:highlight w:val="none"/>
                <w:lang w:val="en-US" w:eastAsia="zh-CN" w:bidi="ar"/>
              </w:rPr>
              <w:t>6</w:t>
            </w:r>
          </w:p>
        </w:tc>
        <w:tc>
          <w:tcPr>
            <w:tcW w:w="3616" w:type="dxa"/>
            <w:tcBorders>
              <w:tl2br w:val="nil"/>
              <w:tr2bl w:val="nil"/>
            </w:tcBorders>
            <w:noWrap/>
            <w:vAlign w:val="center"/>
          </w:tcPr>
          <w:p w14:paraId="34C2D795">
            <w:pPr>
              <w:spacing w:line="300" w:lineRule="exact"/>
              <w:ind w:firstLine="0" w:firstLineChars="0"/>
              <w:rPr>
                <w:rFonts w:hint="default" w:ascii="Times New Roman Regular" w:hAnsi="Times New Roman Regular" w:eastAsia="方正仿宋_GBK" w:cs="Times New Roman Regular"/>
                <w:b w:val="0"/>
                <w:color w:val="auto"/>
                <w:sz w:val="21"/>
                <w:szCs w:val="21"/>
                <w:highlight w:val="none"/>
              </w:rPr>
            </w:pPr>
            <w:r>
              <w:rPr>
                <w:rFonts w:hint="default" w:ascii="Times New Roman Regular" w:hAnsi="Times New Roman Regular" w:eastAsia="方正仿宋_GBK" w:cs="Times New Roman Regular"/>
                <w:b w:val="0"/>
                <w:color w:val="auto"/>
                <w:sz w:val="21"/>
                <w:szCs w:val="21"/>
                <w:highlight w:val="none"/>
                <w:lang w:bidi="ar"/>
              </w:rPr>
              <w:t>文化旅游</w:t>
            </w:r>
            <w:r>
              <w:rPr>
                <w:rFonts w:hint="default" w:ascii="Times New Roman Regular" w:hAnsi="Times New Roman Regular" w:eastAsia="方正仿宋_GBK" w:cs="Times New Roman Regular"/>
                <w:b w:val="0"/>
                <w:color w:val="auto"/>
                <w:sz w:val="21"/>
                <w:szCs w:val="21"/>
                <w:highlight w:val="none"/>
                <w:lang w:eastAsia="zh-CN" w:bidi="ar"/>
              </w:rPr>
              <w:t>及相关产业</w:t>
            </w:r>
            <w:r>
              <w:rPr>
                <w:rFonts w:hint="default" w:ascii="Times New Roman Regular" w:hAnsi="Times New Roman Regular" w:eastAsia="方正仿宋_GBK" w:cs="Times New Roman Regular"/>
                <w:b w:val="0"/>
                <w:color w:val="auto"/>
                <w:sz w:val="21"/>
                <w:szCs w:val="21"/>
                <w:highlight w:val="none"/>
                <w:lang w:bidi="ar"/>
              </w:rPr>
              <w:t>增加值</w:t>
            </w:r>
            <w:r>
              <w:rPr>
                <w:rFonts w:hint="default" w:ascii="Times New Roman Regular" w:hAnsi="Times New Roman Regular" w:eastAsia="方正仿宋_GBK" w:cs="Times New Roman Regular"/>
                <w:b w:val="0"/>
                <w:color w:val="auto"/>
                <w:sz w:val="21"/>
                <w:szCs w:val="21"/>
                <w:highlight w:val="none"/>
                <w:lang w:eastAsia="zh-CN" w:bidi="ar"/>
              </w:rPr>
              <w:t>增长</w:t>
            </w:r>
            <w:r>
              <w:rPr>
                <w:rFonts w:hint="default" w:ascii="Times New Roman Regular" w:hAnsi="Times New Roman Regular" w:eastAsia="方正仿宋_GBK" w:cs="Times New Roman Regular"/>
                <w:b w:val="0"/>
                <w:color w:val="auto"/>
                <w:sz w:val="21"/>
                <w:szCs w:val="21"/>
                <w:highlight w:val="none"/>
                <w:lang w:bidi="ar"/>
              </w:rPr>
              <w:t>（%）</w:t>
            </w:r>
          </w:p>
        </w:tc>
        <w:tc>
          <w:tcPr>
            <w:tcW w:w="879" w:type="dxa"/>
            <w:tcBorders>
              <w:tl2br w:val="nil"/>
              <w:tr2bl w:val="nil"/>
            </w:tcBorders>
            <w:noWrap/>
            <w:vAlign w:val="center"/>
          </w:tcPr>
          <w:p w14:paraId="28F03B48">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rPr>
            </w:pPr>
            <w:r>
              <w:rPr>
                <w:rFonts w:hint="eastAsia" w:ascii="Times New Roman Regular" w:hAnsi="Times New Roman Regular" w:eastAsia="方正仿宋_GBK" w:cs="Times New Roman Regular"/>
                <w:b w:val="0"/>
                <w:color w:val="auto"/>
                <w:sz w:val="21"/>
                <w:szCs w:val="21"/>
                <w:highlight w:val="none"/>
                <w:lang w:val="en-US" w:eastAsia="zh-CN"/>
              </w:rPr>
              <w:t>5.5</w:t>
            </w:r>
          </w:p>
        </w:tc>
        <w:tc>
          <w:tcPr>
            <w:tcW w:w="897" w:type="dxa"/>
            <w:tcBorders>
              <w:tl2br w:val="nil"/>
              <w:tr2bl w:val="nil"/>
            </w:tcBorders>
            <w:noWrap/>
            <w:vAlign w:val="center"/>
          </w:tcPr>
          <w:p w14:paraId="2C73E2CC">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rPr>
            </w:pPr>
            <w:r>
              <w:rPr>
                <w:rFonts w:hint="eastAsia" w:ascii="Times New Roman Regular" w:hAnsi="Times New Roman Regular" w:eastAsia="方正仿宋_GBK" w:cs="Times New Roman Regular"/>
                <w:b w:val="0"/>
                <w:color w:val="auto"/>
                <w:sz w:val="21"/>
                <w:szCs w:val="21"/>
                <w:highlight w:val="none"/>
                <w:lang w:val="en-US" w:eastAsia="zh-CN"/>
              </w:rPr>
              <w:t>6.5</w:t>
            </w:r>
          </w:p>
        </w:tc>
        <w:tc>
          <w:tcPr>
            <w:tcW w:w="1488" w:type="dxa"/>
            <w:tcBorders>
              <w:tl2br w:val="nil"/>
              <w:tr2bl w:val="nil"/>
            </w:tcBorders>
            <w:noWrap w:val="0"/>
            <w:vAlign w:val="center"/>
          </w:tcPr>
          <w:p w14:paraId="7AC5EE90">
            <w:pPr>
              <w:widowControl/>
              <w:adjustRightInd w:val="0"/>
              <w:snapToGrid w:val="0"/>
              <w:spacing w:line="240" w:lineRule="auto"/>
              <w:ind w:left="0" w:leftChars="0" w:firstLine="0" w:firstLineChars="0"/>
              <w:jc w:val="center"/>
              <w:rPr>
                <w:rFonts w:hint="default" w:ascii="Arial" w:hAnsi="Arial" w:eastAsia="方正仿宋_GBK" w:cs="Arial"/>
                <w:b w:val="0"/>
                <w:color w:val="auto"/>
                <w:sz w:val="21"/>
                <w:szCs w:val="21"/>
                <w:highlight w:val="none"/>
                <w:lang w:val="en-US" w:eastAsia="zh-CN"/>
              </w:rPr>
            </w:pPr>
            <w:r>
              <w:rPr>
                <w:rFonts w:hint="default" w:ascii="Arial" w:hAnsi="Arial" w:eastAsia="方正仿宋_GBK" w:cs="Arial"/>
                <w:b w:val="0"/>
                <w:color w:val="auto"/>
                <w:sz w:val="21"/>
                <w:szCs w:val="21"/>
                <w:highlight w:val="none"/>
                <w:lang w:val="en-US" w:eastAsia="zh-CN"/>
              </w:rPr>
              <w:t>－</w:t>
            </w:r>
          </w:p>
        </w:tc>
        <w:tc>
          <w:tcPr>
            <w:tcW w:w="912" w:type="dxa"/>
            <w:tcBorders>
              <w:tl2br w:val="nil"/>
              <w:tr2bl w:val="nil"/>
            </w:tcBorders>
            <w:noWrap w:val="0"/>
            <w:vAlign w:val="center"/>
          </w:tcPr>
          <w:p w14:paraId="70843C2F">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rPr>
            </w:pPr>
            <w:r>
              <w:rPr>
                <w:rFonts w:hint="default" w:ascii="Times New Roman Regular" w:hAnsi="Times New Roman Regular" w:eastAsia="方正仿宋_GBK" w:cs="Times New Roman Regular"/>
                <w:b w:val="0"/>
                <w:color w:val="auto"/>
                <w:kern w:val="0"/>
                <w:sz w:val="21"/>
                <w:szCs w:val="21"/>
                <w:lang w:bidi="ar"/>
              </w:rPr>
              <w:t>预期性</w:t>
            </w:r>
          </w:p>
        </w:tc>
      </w:tr>
      <w:tr w14:paraId="2D389D24">
        <w:trPr>
          <w:trHeight w:val="397" w:hRule="atLeast"/>
          <w:jc w:val="center"/>
        </w:trPr>
        <w:tc>
          <w:tcPr>
            <w:tcW w:w="8297" w:type="dxa"/>
            <w:gridSpan w:val="6"/>
            <w:tcBorders>
              <w:tl2br w:val="nil"/>
              <w:tr2bl w:val="nil"/>
            </w:tcBorders>
            <w:noWrap/>
            <w:vAlign w:val="center"/>
          </w:tcPr>
          <w:p w14:paraId="20AF8E57">
            <w:pPr>
              <w:widowControl/>
              <w:adjustRightInd w:val="0"/>
              <w:snapToGrid w:val="0"/>
              <w:spacing w:line="240" w:lineRule="auto"/>
              <w:ind w:firstLine="0" w:firstLineChars="0"/>
              <w:jc w:val="both"/>
              <w:rPr>
                <w:rFonts w:hint="default" w:ascii="Times New Roman Regular" w:hAnsi="Times New Roman Regular" w:eastAsia="方正仿宋_GBK" w:cs="Times New Roman Regular"/>
                <w:b w:val="0"/>
                <w:color w:val="auto"/>
                <w:kern w:val="0"/>
                <w:sz w:val="21"/>
                <w:szCs w:val="21"/>
                <w:lang w:bidi="ar"/>
              </w:rPr>
            </w:pPr>
            <w:r>
              <w:rPr>
                <w:rFonts w:hint="default" w:ascii="Times New Roman Regular" w:hAnsi="Times New Roman Regular" w:eastAsia="方正仿宋_GBK" w:cs="Times New Roman Regular"/>
                <w:b/>
                <w:bCs w:val="0"/>
                <w:color w:val="auto"/>
                <w:sz w:val="21"/>
                <w:szCs w:val="21"/>
                <w:highlight w:val="none"/>
                <w:lang w:eastAsia="zh-CN" w:bidi="ar"/>
              </w:rPr>
              <w:t>三</w:t>
            </w:r>
            <w:r>
              <w:rPr>
                <w:rFonts w:hint="default" w:ascii="Times New Roman Regular" w:hAnsi="Times New Roman Regular" w:eastAsia="方正仿宋_GBK" w:cs="Times New Roman Regular"/>
                <w:b/>
                <w:bCs w:val="0"/>
                <w:color w:val="auto"/>
                <w:sz w:val="21"/>
                <w:szCs w:val="21"/>
                <w:highlight w:val="none"/>
                <w:lang w:bidi="ar"/>
              </w:rPr>
              <w:t>、创新驱动（</w:t>
            </w:r>
            <w:r>
              <w:rPr>
                <w:rFonts w:hint="eastAsia" w:ascii="Times New Roman Regular" w:hAnsi="Times New Roman Regular" w:eastAsia="方正仿宋_GBK" w:cs="Times New Roman Regular"/>
                <w:b/>
                <w:bCs w:val="0"/>
                <w:color w:val="auto"/>
                <w:sz w:val="21"/>
                <w:szCs w:val="21"/>
                <w:highlight w:val="none"/>
                <w:lang w:val="en-US" w:eastAsia="zh-CN" w:bidi="ar"/>
              </w:rPr>
              <w:t>2</w:t>
            </w:r>
            <w:r>
              <w:rPr>
                <w:rFonts w:hint="default" w:ascii="Times New Roman Regular" w:hAnsi="Times New Roman Regular" w:eastAsia="方正仿宋_GBK" w:cs="Times New Roman Regular"/>
                <w:b/>
                <w:bCs w:val="0"/>
                <w:color w:val="auto"/>
                <w:sz w:val="21"/>
                <w:szCs w:val="21"/>
                <w:highlight w:val="none"/>
                <w:lang w:bidi="ar"/>
              </w:rPr>
              <w:t>个）</w:t>
            </w:r>
          </w:p>
        </w:tc>
      </w:tr>
      <w:tr w14:paraId="2A6FD892">
        <w:trPr>
          <w:trHeight w:val="397" w:hRule="atLeast"/>
          <w:jc w:val="center"/>
        </w:trPr>
        <w:tc>
          <w:tcPr>
            <w:tcW w:w="505" w:type="dxa"/>
            <w:tcBorders>
              <w:tl2br w:val="nil"/>
              <w:tr2bl w:val="nil"/>
            </w:tcBorders>
            <w:noWrap/>
            <w:vAlign w:val="center"/>
          </w:tcPr>
          <w:p w14:paraId="3FFC9F51">
            <w:pPr>
              <w:spacing w:line="300" w:lineRule="exact"/>
              <w:ind w:firstLine="0" w:firstLineChars="0"/>
              <w:jc w:val="center"/>
              <w:rPr>
                <w:rFonts w:hint="default" w:ascii="Times New Roman Regular" w:hAnsi="Times New Roman Regular" w:eastAsia="方正仿宋_GBK" w:cs="Times New Roman Regular"/>
                <w:b w:val="0"/>
                <w:color w:val="auto"/>
                <w:sz w:val="21"/>
                <w:szCs w:val="21"/>
                <w:highlight w:val="none"/>
                <w:lang w:val="en-US"/>
              </w:rPr>
            </w:pPr>
            <w:r>
              <w:rPr>
                <w:rFonts w:hint="default" w:ascii="Times New Roman Regular" w:hAnsi="Times New Roman Regular" w:eastAsia="方正仿宋_GBK" w:cs="Times New Roman Regular"/>
                <w:b w:val="0"/>
                <w:color w:val="auto"/>
                <w:sz w:val="21"/>
                <w:szCs w:val="21"/>
                <w:highlight w:val="none"/>
                <w:lang w:val="en-US"/>
              </w:rPr>
              <w:t>7</w:t>
            </w:r>
          </w:p>
        </w:tc>
        <w:tc>
          <w:tcPr>
            <w:tcW w:w="3616" w:type="dxa"/>
            <w:tcBorders>
              <w:tl2br w:val="nil"/>
              <w:tr2bl w:val="nil"/>
            </w:tcBorders>
            <w:noWrap/>
            <w:vAlign w:val="center"/>
          </w:tcPr>
          <w:p w14:paraId="1DA7AD54">
            <w:pPr>
              <w:spacing w:line="300" w:lineRule="exact"/>
              <w:ind w:firstLine="0" w:firstLineChars="0"/>
              <w:rPr>
                <w:rFonts w:hint="eastAsia" w:ascii="Times New Roman Regular" w:hAnsi="Times New Roman Regular" w:eastAsia="方正仿宋_GBK" w:cs="Times New Roman Regular"/>
                <w:b w:val="0"/>
                <w:color w:val="auto"/>
                <w:sz w:val="21"/>
                <w:szCs w:val="21"/>
                <w:highlight w:val="none"/>
                <w:lang w:eastAsia="zh-CN"/>
              </w:rPr>
            </w:pPr>
            <w:r>
              <w:rPr>
                <w:rFonts w:hint="eastAsia" w:ascii="Times New Roman Regular" w:hAnsi="Times New Roman Regular" w:eastAsia="方正仿宋_GBK" w:cs="Times New Roman Regular"/>
                <w:b w:val="0"/>
                <w:color w:val="auto"/>
                <w:sz w:val="21"/>
                <w:szCs w:val="21"/>
                <w:highlight w:val="none"/>
                <w:lang w:eastAsia="zh-CN" w:bidi="ar"/>
              </w:rPr>
              <w:t>质量强市领军企业培育数（家）</w:t>
            </w:r>
          </w:p>
        </w:tc>
        <w:tc>
          <w:tcPr>
            <w:tcW w:w="879" w:type="dxa"/>
            <w:tcBorders>
              <w:tl2br w:val="nil"/>
              <w:tr2bl w:val="nil"/>
            </w:tcBorders>
            <w:noWrap/>
            <w:vAlign w:val="center"/>
          </w:tcPr>
          <w:p w14:paraId="77AD2B73">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rPr>
            </w:pPr>
            <w:r>
              <w:rPr>
                <w:rFonts w:hint="eastAsia" w:ascii="Times New Roman Regular" w:hAnsi="Times New Roman Regular" w:eastAsia="方正仿宋_GBK" w:cs="Times New Roman Regular"/>
                <w:b w:val="0"/>
                <w:color w:val="auto"/>
                <w:sz w:val="21"/>
                <w:szCs w:val="21"/>
                <w:highlight w:val="none"/>
                <w:lang w:val="en-US" w:eastAsia="zh-CN"/>
              </w:rPr>
              <w:t>5</w:t>
            </w:r>
          </w:p>
        </w:tc>
        <w:tc>
          <w:tcPr>
            <w:tcW w:w="897" w:type="dxa"/>
            <w:tcBorders>
              <w:tl2br w:val="nil"/>
              <w:tr2bl w:val="nil"/>
            </w:tcBorders>
            <w:noWrap/>
            <w:vAlign w:val="center"/>
          </w:tcPr>
          <w:p w14:paraId="1EFB5C93">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bidi="ar"/>
              </w:rPr>
            </w:pPr>
            <w:r>
              <w:rPr>
                <w:rFonts w:hint="eastAsia" w:ascii="Times New Roman Regular" w:hAnsi="Times New Roman Regular" w:eastAsia="方正仿宋_GBK" w:cs="Times New Roman Regular"/>
                <w:b w:val="0"/>
                <w:color w:val="auto"/>
                <w:sz w:val="21"/>
                <w:szCs w:val="21"/>
                <w:highlight w:val="none"/>
                <w:lang w:val="en-US" w:eastAsia="zh-CN" w:bidi="ar"/>
              </w:rPr>
              <w:t>8</w:t>
            </w:r>
          </w:p>
        </w:tc>
        <w:tc>
          <w:tcPr>
            <w:tcW w:w="1488" w:type="dxa"/>
            <w:tcBorders>
              <w:tl2br w:val="nil"/>
              <w:tr2bl w:val="nil"/>
            </w:tcBorders>
            <w:noWrap w:val="0"/>
            <w:vAlign w:val="center"/>
          </w:tcPr>
          <w:p w14:paraId="36EACF7E">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rPr>
            </w:pPr>
            <w:r>
              <w:rPr>
                <w:rFonts w:hint="default" w:ascii="Arial" w:hAnsi="Arial" w:eastAsia="方正仿宋_GBK" w:cs="Arial"/>
                <w:b w:val="0"/>
                <w:color w:val="auto"/>
                <w:sz w:val="21"/>
                <w:szCs w:val="21"/>
                <w:highlight w:val="none"/>
                <w:lang w:val="en-US" w:eastAsia="zh-CN"/>
              </w:rPr>
              <w:t>－</w:t>
            </w:r>
          </w:p>
        </w:tc>
        <w:tc>
          <w:tcPr>
            <w:tcW w:w="912" w:type="dxa"/>
            <w:tcBorders>
              <w:tl2br w:val="nil"/>
              <w:tr2bl w:val="nil"/>
            </w:tcBorders>
            <w:noWrap w:val="0"/>
            <w:vAlign w:val="center"/>
          </w:tcPr>
          <w:p w14:paraId="6D2C8EA1">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rPr>
            </w:pPr>
            <w:r>
              <w:rPr>
                <w:rFonts w:hint="default" w:ascii="Times New Roman Regular" w:hAnsi="Times New Roman Regular" w:eastAsia="方正仿宋_GBK" w:cs="Times New Roman Regular"/>
                <w:b w:val="0"/>
                <w:color w:val="auto"/>
                <w:kern w:val="0"/>
                <w:sz w:val="21"/>
                <w:szCs w:val="21"/>
                <w:lang w:bidi="ar"/>
              </w:rPr>
              <w:t>预期性</w:t>
            </w:r>
          </w:p>
        </w:tc>
      </w:tr>
      <w:tr w14:paraId="533E561C">
        <w:trPr>
          <w:trHeight w:val="397" w:hRule="atLeast"/>
          <w:jc w:val="center"/>
        </w:trPr>
        <w:tc>
          <w:tcPr>
            <w:tcW w:w="505" w:type="dxa"/>
            <w:tcBorders>
              <w:tl2br w:val="nil"/>
              <w:tr2bl w:val="nil"/>
            </w:tcBorders>
            <w:noWrap/>
            <w:vAlign w:val="center"/>
          </w:tcPr>
          <w:p w14:paraId="109EB28F">
            <w:pPr>
              <w:spacing w:line="300" w:lineRule="exact"/>
              <w:ind w:firstLine="0" w:firstLineChars="0"/>
              <w:jc w:val="center"/>
              <w:rPr>
                <w:rFonts w:hint="default" w:ascii="Times New Roman Regular" w:hAnsi="Times New Roman Regular" w:eastAsia="方正仿宋_GBK" w:cs="Times New Roman Regular"/>
                <w:b w:val="0"/>
                <w:color w:val="auto"/>
                <w:sz w:val="21"/>
                <w:szCs w:val="21"/>
                <w:highlight w:val="none"/>
                <w:lang w:val="en-US" w:bidi="ar"/>
              </w:rPr>
            </w:pPr>
            <w:r>
              <w:rPr>
                <w:rFonts w:hint="default" w:ascii="Times New Roman Regular" w:hAnsi="Times New Roman Regular" w:eastAsia="方正仿宋_GBK" w:cs="Times New Roman Regular"/>
                <w:b w:val="0"/>
                <w:color w:val="auto"/>
                <w:sz w:val="21"/>
                <w:szCs w:val="21"/>
                <w:highlight w:val="none"/>
                <w:lang w:val="en-US" w:bidi="ar"/>
              </w:rPr>
              <w:t>8</w:t>
            </w:r>
          </w:p>
        </w:tc>
        <w:tc>
          <w:tcPr>
            <w:tcW w:w="3616" w:type="dxa"/>
            <w:tcBorders>
              <w:tl2br w:val="nil"/>
              <w:tr2bl w:val="nil"/>
            </w:tcBorders>
            <w:noWrap/>
            <w:vAlign w:val="center"/>
          </w:tcPr>
          <w:p w14:paraId="01A38BF6">
            <w:pPr>
              <w:spacing w:line="300" w:lineRule="exact"/>
              <w:ind w:firstLine="0" w:firstLineChars="0"/>
              <w:rPr>
                <w:rFonts w:hint="eastAsia" w:ascii="Times New Roman Regular" w:hAnsi="Times New Roman Regular" w:eastAsia="方正仿宋_GBK" w:cs="Times New Roman Regular"/>
                <w:b w:val="0"/>
                <w:color w:val="auto"/>
                <w:sz w:val="21"/>
                <w:szCs w:val="21"/>
                <w:highlight w:val="none"/>
                <w:lang w:eastAsia="zh-CN" w:bidi="ar"/>
              </w:rPr>
            </w:pPr>
            <w:r>
              <w:rPr>
                <w:rFonts w:hint="eastAsia" w:ascii="Times New Roman Regular" w:hAnsi="Times New Roman Regular" w:eastAsia="方正仿宋_GBK" w:cs="Times New Roman Regular"/>
                <w:b w:val="0"/>
                <w:color w:val="auto"/>
                <w:sz w:val="21"/>
                <w:szCs w:val="21"/>
                <w:highlight w:val="none"/>
                <w:lang w:eastAsia="zh-CN" w:bidi="ar"/>
              </w:rPr>
              <w:t>高新技术企业数（家）</w:t>
            </w:r>
          </w:p>
        </w:tc>
        <w:tc>
          <w:tcPr>
            <w:tcW w:w="879" w:type="dxa"/>
            <w:tcBorders>
              <w:tl2br w:val="nil"/>
              <w:tr2bl w:val="nil"/>
            </w:tcBorders>
            <w:noWrap w:val="0"/>
            <w:vAlign w:val="center"/>
          </w:tcPr>
          <w:p w14:paraId="1A4FCDED">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bidi="ar"/>
              </w:rPr>
            </w:pPr>
            <w:r>
              <w:rPr>
                <w:rFonts w:hint="eastAsia" w:ascii="Times New Roman Regular" w:hAnsi="Times New Roman Regular" w:eastAsia="方正仿宋_GBK" w:cs="Times New Roman Regular"/>
                <w:b w:val="0"/>
                <w:color w:val="auto"/>
                <w:sz w:val="21"/>
                <w:szCs w:val="21"/>
                <w:highlight w:val="none"/>
                <w:lang w:val="en-US" w:eastAsia="zh-CN" w:bidi="ar"/>
              </w:rPr>
              <w:t>15</w:t>
            </w:r>
          </w:p>
        </w:tc>
        <w:tc>
          <w:tcPr>
            <w:tcW w:w="897" w:type="dxa"/>
            <w:tcBorders>
              <w:tl2br w:val="nil"/>
              <w:tr2bl w:val="nil"/>
            </w:tcBorders>
            <w:noWrap/>
            <w:vAlign w:val="center"/>
          </w:tcPr>
          <w:p w14:paraId="23F3469E">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rPr>
            </w:pPr>
            <w:r>
              <w:rPr>
                <w:rFonts w:hint="eastAsia" w:ascii="Times New Roman Regular" w:hAnsi="Times New Roman Regular" w:eastAsia="方正仿宋_GBK" w:cs="Times New Roman Regular"/>
                <w:b w:val="0"/>
                <w:color w:val="auto"/>
                <w:sz w:val="21"/>
                <w:szCs w:val="21"/>
                <w:highlight w:val="none"/>
                <w:lang w:val="en-US" w:eastAsia="zh-CN"/>
              </w:rPr>
              <w:t>18</w:t>
            </w:r>
          </w:p>
        </w:tc>
        <w:tc>
          <w:tcPr>
            <w:tcW w:w="1488" w:type="dxa"/>
            <w:tcBorders>
              <w:tl2br w:val="nil"/>
              <w:tr2bl w:val="nil"/>
            </w:tcBorders>
            <w:noWrap w:val="0"/>
            <w:vAlign w:val="center"/>
          </w:tcPr>
          <w:p w14:paraId="027535BC">
            <w:pPr>
              <w:widowControl/>
              <w:adjustRightInd w:val="0"/>
              <w:snapToGrid w:val="0"/>
              <w:spacing w:line="240" w:lineRule="auto"/>
              <w:ind w:left="0" w:leftChars="0"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bidi="ar"/>
              </w:rPr>
            </w:pPr>
            <w:r>
              <w:rPr>
                <w:rFonts w:hint="default" w:ascii="Arial" w:hAnsi="Arial" w:eastAsia="方正仿宋_GBK" w:cs="Arial"/>
                <w:b w:val="0"/>
                <w:color w:val="auto"/>
                <w:sz w:val="21"/>
                <w:szCs w:val="21"/>
                <w:highlight w:val="none"/>
                <w:lang w:val="en-US" w:eastAsia="zh-CN"/>
              </w:rPr>
              <w:t>－</w:t>
            </w:r>
          </w:p>
        </w:tc>
        <w:tc>
          <w:tcPr>
            <w:tcW w:w="912" w:type="dxa"/>
            <w:tcBorders>
              <w:tl2br w:val="nil"/>
              <w:tr2bl w:val="nil"/>
            </w:tcBorders>
            <w:noWrap w:val="0"/>
            <w:vAlign w:val="center"/>
          </w:tcPr>
          <w:p w14:paraId="725C7844">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lang w:bidi="ar"/>
              </w:rPr>
            </w:pPr>
            <w:r>
              <w:rPr>
                <w:rFonts w:hint="default" w:ascii="Times New Roman Regular" w:hAnsi="Times New Roman Regular" w:eastAsia="方正仿宋_GBK" w:cs="Times New Roman Regular"/>
                <w:b w:val="0"/>
                <w:color w:val="auto"/>
                <w:kern w:val="0"/>
                <w:sz w:val="21"/>
                <w:szCs w:val="21"/>
                <w:lang w:bidi="ar"/>
              </w:rPr>
              <w:t>预期性</w:t>
            </w:r>
          </w:p>
        </w:tc>
      </w:tr>
      <w:tr w14:paraId="5501A5CF">
        <w:trPr>
          <w:trHeight w:val="397" w:hRule="atLeast"/>
          <w:jc w:val="center"/>
        </w:trPr>
        <w:tc>
          <w:tcPr>
            <w:tcW w:w="8297" w:type="dxa"/>
            <w:gridSpan w:val="6"/>
            <w:tcBorders>
              <w:tl2br w:val="nil"/>
              <w:tr2bl w:val="nil"/>
            </w:tcBorders>
            <w:noWrap/>
            <w:vAlign w:val="center"/>
          </w:tcPr>
          <w:p w14:paraId="6719F1C9">
            <w:pPr>
              <w:widowControl/>
              <w:adjustRightInd w:val="0"/>
              <w:snapToGrid w:val="0"/>
              <w:spacing w:line="240" w:lineRule="auto"/>
              <w:ind w:firstLine="0" w:firstLineChars="0"/>
              <w:jc w:val="both"/>
              <w:rPr>
                <w:rFonts w:hint="default" w:ascii="Times New Roman Regular" w:hAnsi="Times New Roman Regular" w:eastAsia="方正仿宋_GBK" w:cs="Times New Roman Regular"/>
                <w:b w:val="0"/>
                <w:color w:val="auto"/>
                <w:kern w:val="0"/>
                <w:sz w:val="21"/>
                <w:szCs w:val="21"/>
                <w:lang w:bidi="ar"/>
              </w:rPr>
            </w:pPr>
            <w:r>
              <w:rPr>
                <w:rFonts w:hint="default" w:ascii="Times New Roman Regular" w:hAnsi="Times New Roman Regular" w:eastAsia="方正仿宋_GBK" w:cs="Times New Roman Regular"/>
                <w:b/>
                <w:bCs w:val="0"/>
                <w:color w:val="auto"/>
                <w:sz w:val="21"/>
                <w:szCs w:val="21"/>
                <w:highlight w:val="none"/>
                <w:lang w:eastAsia="zh-CN" w:bidi="ar"/>
              </w:rPr>
              <w:t>四</w:t>
            </w:r>
            <w:r>
              <w:rPr>
                <w:rFonts w:hint="default" w:ascii="Times New Roman Regular" w:hAnsi="Times New Roman Regular" w:eastAsia="方正仿宋_GBK" w:cs="Times New Roman Regular"/>
                <w:b/>
                <w:bCs w:val="0"/>
                <w:color w:val="auto"/>
                <w:sz w:val="21"/>
                <w:szCs w:val="21"/>
                <w:highlight w:val="none"/>
                <w:lang w:bidi="ar"/>
              </w:rPr>
              <w:t>、民生福祉（5个）</w:t>
            </w:r>
          </w:p>
        </w:tc>
      </w:tr>
      <w:tr w14:paraId="0227A1A2">
        <w:trPr>
          <w:trHeight w:val="397" w:hRule="atLeast"/>
          <w:jc w:val="center"/>
        </w:trPr>
        <w:tc>
          <w:tcPr>
            <w:tcW w:w="505" w:type="dxa"/>
            <w:tcBorders>
              <w:tl2br w:val="nil"/>
              <w:tr2bl w:val="nil"/>
            </w:tcBorders>
            <w:noWrap/>
            <w:vAlign w:val="center"/>
          </w:tcPr>
          <w:p w14:paraId="721E9138">
            <w:pPr>
              <w:spacing w:line="300" w:lineRule="exact"/>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bidi="ar"/>
              </w:rPr>
            </w:pPr>
            <w:r>
              <w:rPr>
                <w:rFonts w:hint="default" w:ascii="Times New Roman Regular" w:hAnsi="Times New Roman Regular" w:eastAsia="方正仿宋_GBK" w:cs="Times New Roman Regular"/>
                <w:b w:val="0"/>
                <w:color w:val="auto"/>
                <w:sz w:val="21"/>
                <w:szCs w:val="21"/>
                <w:highlight w:val="none"/>
                <w:lang w:val="en-US" w:eastAsia="zh-CN" w:bidi="ar"/>
              </w:rPr>
              <w:t>9</w:t>
            </w:r>
          </w:p>
        </w:tc>
        <w:tc>
          <w:tcPr>
            <w:tcW w:w="3616" w:type="dxa"/>
            <w:tcBorders>
              <w:tl2br w:val="nil"/>
              <w:tr2bl w:val="nil"/>
            </w:tcBorders>
            <w:noWrap/>
            <w:vAlign w:val="center"/>
          </w:tcPr>
          <w:p w14:paraId="0FE47A60">
            <w:pPr>
              <w:spacing w:line="300" w:lineRule="exact"/>
              <w:ind w:firstLine="0" w:firstLineChars="0"/>
              <w:rPr>
                <w:rFonts w:hint="default" w:ascii="Times New Roman Regular" w:hAnsi="Times New Roman Regular" w:eastAsia="方正仿宋_GBK" w:cs="Times New Roman Regular"/>
                <w:b w:val="0"/>
                <w:color w:val="auto"/>
                <w:sz w:val="21"/>
                <w:szCs w:val="21"/>
                <w:highlight w:val="none"/>
                <w:lang w:bidi="ar"/>
              </w:rPr>
            </w:pPr>
            <w:r>
              <w:rPr>
                <w:rFonts w:hint="default" w:ascii="Times New Roman Regular" w:hAnsi="Times New Roman Regular" w:eastAsia="方正仿宋_GBK" w:cs="Times New Roman Regular"/>
                <w:b w:val="0"/>
                <w:color w:val="auto"/>
                <w:sz w:val="21"/>
                <w:szCs w:val="21"/>
                <w:highlight w:val="none"/>
                <w:lang w:bidi="ar"/>
              </w:rPr>
              <w:t>居民人均可支配收入增长（%）</w:t>
            </w:r>
          </w:p>
        </w:tc>
        <w:tc>
          <w:tcPr>
            <w:tcW w:w="879" w:type="dxa"/>
            <w:tcBorders>
              <w:tl2br w:val="nil"/>
              <w:tr2bl w:val="nil"/>
            </w:tcBorders>
            <w:noWrap w:val="0"/>
            <w:vAlign w:val="center"/>
          </w:tcPr>
          <w:p w14:paraId="00CA5207">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bidi="ar"/>
              </w:rPr>
            </w:pPr>
            <w:r>
              <w:rPr>
                <w:rFonts w:hint="eastAsia" w:ascii="Times New Roman Regular" w:hAnsi="Times New Roman Regular" w:eastAsia="方正仿宋_GBK" w:cs="Times New Roman Regular"/>
                <w:b w:val="0"/>
                <w:color w:val="auto"/>
                <w:sz w:val="21"/>
                <w:szCs w:val="21"/>
                <w:highlight w:val="none"/>
                <w:lang w:val="en-US" w:eastAsia="zh-CN" w:bidi="ar"/>
              </w:rPr>
              <w:t>3.6</w:t>
            </w:r>
          </w:p>
        </w:tc>
        <w:tc>
          <w:tcPr>
            <w:tcW w:w="897" w:type="dxa"/>
            <w:tcBorders>
              <w:tl2br w:val="nil"/>
              <w:tr2bl w:val="nil"/>
            </w:tcBorders>
            <w:noWrap/>
            <w:vAlign w:val="center"/>
          </w:tcPr>
          <w:p w14:paraId="2751A7E3">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rPr>
            </w:pPr>
            <w:r>
              <w:rPr>
                <w:rFonts w:hint="default" w:ascii="Arial" w:hAnsi="Arial" w:eastAsia="方正仿宋_GBK" w:cs="Arial"/>
                <w:b w:val="0"/>
                <w:color w:val="auto"/>
                <w:sz w:val="21"/>
                <w:szCs w:val="21"/>
                <w:highlight w:val="none"/>
                <w:lang w:val="en-US" w:eastAsia="zh-CN"/>
              </w:rPr>
              <w:t>－</w:t>
            </w:r>
          </w:p>
        </w:tc>
        <w:tc>
          <w:tcPr>
            <w:tcW w:w="1488" w:type="dxa"/>
            <w:tcBorders>
              <w:tl2br w:val="nil"/>
              <w:tr2bl w:val="nil"/>
            </w:tcBorders>
            <w:noWrap w:val="0"/>
            <w:vAlign w:val="center"/>
          </w:tcPr>
          <w:p w14:paraId="10EC5391">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rPr>
            </w:pPr>
            <w:r>
              <w:rPr>
                <w:rFonts w:hint="eastAsia" w:ascii="Times New Roman Regular" w:hAnsi="Times New Roman Regular" w:eastAsia="方正仿宋_GBK" w:cs="Times New Roman Regular"/>
                <w:b w:val="0"/>
                <w:color w:val="auto"/>
                <w:sz w:val="21"/>
                <w:szCs w:val="21"/>
                <w:highlight w:val="none"/>
                <w:lang w:eastAsia="zh-CN"/>
              </w:rPr>
              <w:t>与</w:t>
            </w:r>
            <w:r>
              <w:rPr>
                <w:rFonts w:hint="eastAsia" w:ascii="Times New Roman Regular" w:hAnsi="Times New Roman Regular" w:eastAsia="方正仿宋_GBK" w:cs="Times New Roman Regular"/>
                <w:b w:val="0"/>
                <w:color w:val="auto"/>
                <w:sz w:val="21"/>
                <w:szCs w:val="21"/>
                <w:highlight w:val="none"/>
                <w:lang w:val="en-US" w:eastAsia="zh-CN"/>
              </w:rPr>
              <w:t>GDP增长同步</w:t>
            </w:r>
          </w:p>
        </w:tc>
        <w:tc>
          <w:tcPr>
            <w:tcW w:w="912" w:type="dxa"/>
            <w:tcBorders>
              <w:tl2br w:val="nil"/>
              <w:tr2bl w:val="nil"/>
            </w:tcBorders>
            <w:noWrap w:val="0"/>
            <w:vAlign w:val="center"/>
          </w:tcPr>
          <w:p w14:paraId="7FA2601C">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rPr>
            </w:pPr>
            <w:r>
              <w:rPr>
                <w:rFonts w:hint="default" w:ascii="Times New Roman Regular" w:hAnsi="Times New Roman Regular" w:eastAsia="方正仿宋_GBK" w:cs="Times New Roman Regular"/>
                <w:b w:val="0"/>
                <w:color w:val="auto"/>
                <w:kern w:val="0"/>
                <w:sz w:val="21"/>
                <w:szCs w:val="21"/>
                <w:lang w:bidi="ar"/>
              </w:rPr>
              <w:t>预期性</w:t>
            </w:r>
          </w:p>
        </w:tc>
      </w:tr>
      <w:tr w14:paraId="075D4686">
        <w:trPr>
          <w:trHeight w:val="397" w:hRule="atLeast"/>
          <w:jc w:val="center"/>
        </w:trPr>
        <w:tc>
          <w:tcPr>
            <w:tcW w:w="505" w:type="dxa"/>
            <w:tcBorders>
              <w:tl2br w:val="nil"/>
              <w:tr2bl w:val="nil"/>
            </w:tcBorders>
            <w:noWrap/>
            <w:vAlign w:val="center"/>
          </w:tcPr>
          <w:p w14:paraId="56B1C406">
            <w:pPr>
              <w:spacing w:line="300" w:lineRule="exact"/>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bidi="ar"/>
              </w:rPr>
            </w:pPr>
            <w:r>
              <w:rPr>
                <w:rFonts w:hint="eastAsia" w:ascii="Times New Roman Regular" w:hAnsi="Times New Roman Regular" w:eastAsia="方正仿宋_GBK" w:cs="Times New Roman Regular"/>
                <w:b w:val="0"/>
                <w:color w:val="auto"/>
                <w:sz w:val="21"/>
                <w:szCs w:val="21"/>
                <w:highlight w:val="none"/>
                <w:lang w:val="en-US" w:eastAsia="zh-CN" w:bidi="ar"/>
              </w:rPr>
              <w:t>10</w:t>
            </w:r>
          </w:p>
        </w:tc>
        <w:tc>
          <w:tcPr>
            <w:tcW w:w="3616" w:type="dxa"/>
            <w:tcBorders>
              <w:tl2br w:val="nil"/>
              <w:tr2bl w:val="nil"/>
            </w:tcBorders>
            <w:noWrap/>
            <w:vAlign w:val="center"/>
          </w:tcPr>
          <w:p w14:paraId="27003539">
            <w:pPr>
              <w:spacing w:line="300" w:lineRule="exact"/>
              <w:ind w:firstLine="0" w:firstLineChars="0"/>
              <w:rPr>
                <w:rFonts w:hint="default" w:ascii="Times New Roman Regular" w:hAnsi="Times New Roman Regular" w:eastAsia="方正仿宋_GBK" w:cs="Times New Roman Regular"/>
                <w:b w:val="0"/>
                <w:color w:val="auto"/>
                <w:sz w:val="21"/>
                <w:szCs w:val="21"/>
                <w:highlight w:val="none"/>
                <w:lang w:bidi="ar"/>
              </w:rPr>
            </w:pPr>
            <w:r>
              <w:rPr>
                <w:rFonts w:hint="eastAsia" w:ascii="Times New Roman Regular" w:hAnsi="Times New Roman Regular" w:eastAsia="方正仿宋_GBK" w:cs="Times New Roman Regular"/>
                <w:b w:val="0"/>
                <w:color w:val="auto"/>
                <w:sz w:val="21"/>
                <w:szCs w:val="21"/>
                <w:highlight w:val="none"/>
                <w:lang w:eastAsia="zh-CN" w:bidi="ar"/>
              </w:rPr>
              <w:t>城镇新增就业人数（人）</w:t>
            </w:r>
          </w:p>
        </w:tc>
        <w:tc>
          <w:tcPr>
            <w:tcW w:w="879" w:type="dxa"/>
            <w:tcBorders>
              <w:tl2br w:val="nil"/>
              <w:tr2bl w:val="nil"/>
            </w:tcBorders>
            <w:noWrap w:val="0"/>
            <w:vAlign w:val="center"/>
          </w:tcPr>
          <w:p w14:paraId="28BC6553">
            <w:pPr>
              <w:widowControl/>
              <w:adjustRightInd w:val="0"/>
              <w:snapToGrid w:val="0"/>
              <w:spacing w:line="240" w:lineRule="auto"/>
              <w:ind w:firstLine="0" w:firstLineChars="0"/>
              <w:jc w:val="center"/>
              <w:rPr>
                <w:rFonts w:hint="eastAsia" w:ascii="Times New Roman Regular" w:hAnsi="Times New Roman Regular" w:eastAsia="方正仿宋_GBK" w:cs="Times New Roman Regular"/>
                <w:b w:val="0"/>
                <w:color w:val="auto"/>
                <w:sz w:val="21"/>
                <w:szCs w:val="21"/>
                <w:highlight w:val="none"/>
                <w:lang w:val="en-US" w:eastAsia="zh-CN" w:bidi="ar"/>
              </w:rPr>
            </w:pPr>
            <w:r>
              <w:rPr>
                <w:rFonts w:hint="eastAsia" w:ascii="Times New Roman Regular" w:hAnsi="Times New Roman Regular" w:eastAsia="方正仿宋_GBK" w:cs="Times New Roman Regular"/>
                <w:b w:val="0"/>
                <w:color w:val="auto"/>
                <w:sz w:val="21"/>
                <w:szCs w:val="21"/>
                <w:highlight w:val="none"/>
                <w:lang w:val="en-US" w:eastAsia="zh-CN" w:bidi="ar"/>
              </w:rPr>
              <w:t>8376</w:t>
            </w:r>
          </w:p>
        </w:tc>
        <w:tc>
          <w:tcPr>
            <w:tcW w:w="897" w:type="dxa"/>
            <w:tcBorders>
              <w:tl2br w:val="nil"/>
              <w:tr2bl w:val="nil"/>
            </w:tcBorders>
            <w:noWrap/>
            <w:vAlign w:val="center"/>
          </w:tcPr>
          <w:p w14:paraId="75E7F085">
            <w:pPr>
              <w:widowControl/>
              <w:adjustRightInd w:val="0"/>
              <w:snapToGrid w:val="0"/>
              <w:spacing w:line="240" w:lineRule="auto"/>
              <w:ind w:firstLine="0" w:firstLineChars="0"/>
              <w:jc w:val="center"/>
              <w:rPr>
                <w:rFonts w:hint="default" w:ascii="Arial" w:hAnsi="Arial" w:eastAsia="方正仿宋_GBK" w:cs="Arial"/>
                <w:b w:val="0"/>
                <w:color w:val="auto"/>
                <w:sz w:val="21"/>
                <w:szCs w:val="21"/>
                <w:highlight w:val="none"/>
                <w:lang w:val="en-US" w:eastAsia="zh-CN"/>
              </w:rPr>
            </w:pPr>
            <w:r>
              <w:rPr>
                <w:rFonts w:hint="eastAsia" w:ascii="Times New Roman Regular" w:hAnsi="Times New Roman Regular" w:eastAsia="方正仿宋_GBK" w:cs="Times New Roman Regular"/>
                <w:b w:val="0"/>
                <w:color w:val="auto"/>
                <w:sz w:val="21"/>
                <w:szCs w:val="21"/>
                <w:highlight w:val="none"/>
                <w:lang w:val="en-US" w:eastAsia="zh-CN"/>
              </w:rPr>
              <w:t>7000</w:t>
            </w:r>
          </w:p>
        </w:tc>
        <w:tc>
          <w:tcPr>
            <w:tcW w:w="1488" w:type="dxa"/>
            <w:tcBorders>
              <w:tl2br w:val="nil"/>
              <w:tr2bl w:val="nil"/>
            </w:tcBorders>
            <w:noWrap w:val="0"/>
            <w:vAlign w:val="center"/>
          </w:tcPr>
          <w:p w14:paraId="57B80AB1">
            <w:pPr>
              <w:widowControl/>
              <w:adjustRightInd w:val="0"/>
              <w:snapToGrid w:val="0"/>
              <w:spacing w:line="240" w:lineRule="auto"/>
              <w:ind w:firstLine="0" w:firstLineChars="0"/>
              <w:jc w:val="center"/>
              <w:rPr>
                <w:rFonts w:hint="eastAsia" w:ascii="Times New Roman Regular" w:hAnsi="Times New Roman Regular" w:eastAsia="方正仿宋_GBK" w:cs="Times New Roman Regular"/>
                <w:b w:val="0"/>
                <w:color w:val="auto"/>
                <w:sz w:val="21"/>
                <w:szCs w:val="21"/>
                <w:highlight w:val="none"/>
                <w:lang w:eastAsia="zh-CN"/>
              </w:rPr>
            </w:pPr>
            <w:r>
              <w:rPr>
                <w:rFonts w:hint="default" w:ascii="Arial" w:hAnsi="Arial" w:eastAsia="方正仿宋_GBK" w:cs="Arial"/>
                <w:b w:val="0"/>
                <w:color w:val="auto"/>
                <w:sz w:val="21"/>
                <w:szCs w:val="21"/>
                <w:highlight w:val="none"/>
                <w:lang w:val="en-US" w:eastAsia="zh-CN"/>
              </w:rPr>
              <w:t>－</w:t>
            </w:r>
          </w:p>
        </w:tc>
        <w:tc>
          <w:tcPr>
            <w:tcW w:w="912" w:type="dxa"/>
            <w:tcBorders>
              <w:tl2br w:val="nil"/>
              <w:tr2bl w:val="nil"/>
            </w:tcBorders>
            <w:noWrap w:val="0"/>
            <w:vAlign w:val="center"/>
          </w:tcPr>
          <w:p w14:paraId="1A53042A">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kern w:val="0"/>
                <w:sz w:val="21"/>
                <w:szCs w:val="21"/>
                <w:lang w:bidi="ar"/>
              </w:rPr>
            </w:pPr>
            <w:r>
              <w:rPr>
                <w:rFonts w:hint="default" w:ascii="Times New Roman Regular" w:hAnsi="Times New Roman Regular" w:eastAsia="方正仿宋_GBK" w:cs="Times New Roman Regular"/>
                <w:b w:val="0"/>
                <w:color w:val="auto"/>
                <w:kern w:val="0"/>
                <w:sz w:val="21"/>
                <w:szCs w:val="21"/>
                <w:lang w:bidi="ar"/>
              </w:rPr>
              <w:t>预期性</w:t>
            </w:r>
          </w:p>
        </w:tc>
      </w:tr>
      <w:tr w14:paraId="1089E508">
        <w:trPr>
          <w:trHeight w:val="397" w:hRule="atLeast"/>
          <w:jc w:val="center"/>
        </w:trPr>
        <w:tc>
          <w:tcPr>
            <w:tcW w:w="505" w:type="dxa"/>
            <w:tcBorders>
              <w:tl2br w:val="nil"/>
              <w:tr2bl w:val="nil"/>
            </w:tcBorders>
            <w:noWrap/>
            <w:vAlign w:val="center"/>
          </w:tcPr>
          <w:p w14:paraId="6E3B27DB">
            <w:pPr>
              <w:spacing w:line="300" w:lineRule="exact"/>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bidi="ar"/>
              </w:rPr>
            </w:pPr>
            <w:r>
              <w:rPr>
                <w:rFonts w:hint="default" w:ascii="Times New Roman Regular" w:hAnsi="Times New Roman Regular" w:eastAsia="方正仿宋_GBK" w:cs="Times New Roman Regular"/>
                <w:b w:val="0"/>
                <w:color w:val="auto"/>
                <w:sz w:val="21"/>
                <w:szCs w:val="21"/>
                <w:highlight w:val="none"/>
                <w:lang w:val="en-US" w:eastAsia="zh-CN" w:bidi="ar"/>
              </w:rPr>
              <w:t>11</w:t>
            </w:r>
          </w:p>
        </w:tc>
        <w:tc>
          <w:tcPr>
            <w:tcW w:w="3616" w:type="dxa"/>
            <w:tcBorders>
              <w:tl2br w:val="nil"/>
              <w:tr2bl w:val="nil"/>
            </w:tcBorders>
            <w:noWrap/>
            <w:vAlign w:val="center"/>
          </w:tcPr>
          <w:p w14:paraId="78465CC4">
            <w:pPr>
              <w:spacing w:line="300" w:lineRule="exact"/>
              <w:ind w:firstLine="0" w:firstLineChars="0"/>
              <w:rPr>
                <w:rFonts w:hint="default" w:ascii="Times New Roman Regular" w:hAnsi="Times New Roman Regular" w:eastAsia="方正仿宋_GBK" w:cs="Times New Roman Regular"/>
                <w:b w:val="0"/>
                <w:color w:val="auto"/>
                <w:sz w:val="21"/>
                <w:szCs w:val="21"/>
                <w:highlight w:val="none"/>
                <w:lang w:eastAsia="zh-CN" w:bidi="ar"/>
              </w:rPr>
            </w:pPr>
            <w:r>
              <w:rPr>
                <w:rFonts w:hint="default" w:ascii="Times New Roman Regular" w:hAnsi="Times New Roman Regular" w:eastAsia="方正仿宋_GBK" w:cs="Times New Roman Regular"/>
                <w:b w:val="0"/>
                <w:color w:val="auto"/>
                <w:sz w:val="21"/>
                <w:szCs w:val="21"/>
                <w:highlight w:val="none"/>
                <w:lang w:eastAsia="zh-CN" w:bidi="ar"/>
              </w:rPr>
              <w:t>每千人口拥有执业医师数（人）</w:t>
            </w:r>
          </w:p>
        </w:tc>
        <w:tc>
          <w:tcPr>
            <w:tcW w:w="879" w:type="dxa"/>
            <w:tcBorders>
              <w:tl2br w:val="nil"/>
              <w:tr2bl w:val="nil"/>
            </w:tcBorders>
            <w:noWrap w:val="0"/>
            <w:vAlign w:val="center"/>
          </w:tcPr>
          <w:p w14:paraId="2456C594">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bidi="ar"/>
              </w:rPr>
            </w:pPr>
            <w:r>
              <w:rPr>
                <w:rFonts w:hint="eastAsia" w:ascii="Times New Roman Regular" w:hAnsi="Times New Roman Regular" w:eastAsia="方正仿宋_GBK" w:cs="Times New Roman Regular"/>
                <w:b w:val="0"/>
                <w:color w:val="auto"/>
                <w:sz w:val="21"/>
                <w:szCs w:val="21"/>
                <w:highlight w:val="none"/>
                <w:lang w:val="en-US" w:eastAsia="zh-CN" w:bidi="ar"/>
              </w:rPr>
              <w:t>3.5</w:t>
            </w:r>
          </w:p>
        </w:tc>
        <w:tc>
          <w:tcPr>
            <w:tcW w:w="897" w:type="dxa"/>
            <w:tcBorders>
              <w:tl2br w:val="nil"/>
              <w:tr2bl w:val="nil"/>
            </w:tcBorders>
            <w:noWrap/>
            <w:vAlign w:val="center"/>
          </w:tcPr>
          <w:p w14:paraId="36C30098">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rPr>
            </w:pPr>
            <w:r>
              <w:rPr>
                <w:rFonts w:hint="eastAsia" w:ascii="Times New Roman Regular" w:hAnsi="Times New Roman Regular" w:eastAsia="方正仿宋_GBK" w:cs="Times New Roman Regular"/>
                <w:b w:val="0"/>
                <w:color w:val="auto"/>
                <w:sz w:val="21"/>
                <w:szCs w:val="21"/>
                <w:highlight w:val="none"/>
                <w:lang w:val="en-US" w:eastAsia="zh-CN"/>
              </w:rPr>
              <w:t>3.55</w:t>
            </w:r>
          </w:p>
        </w:tc>
        <w:tc>
          <w:tcPr>
            <w:tcW w:w="1488" w:type="dxa"/>
            <w:tcBorders>
              <w:tl2br w:val="nil"/>
              <w:tr2bl w:val="nil"/>
            </w:tcBorders>
            <w:noWrap w:val="0"/>
            <w:vAlign w:val="center"/>
          </w:tcPr>
          <w:p w14:paraId="309F33D2">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rPr>
            </w:pPr>
            <w:r>
              <w:rPr>
                <w:rFonts w:hint="default" w:ascii="Arial" w:hAnsi="Arial" w:eastAsia="方正仿宋_GBK" w:cs="Arial"/>
                <w:b w:val="0"/>
                <w:color w:val="auto"/>
                <w:sz w:val="21"/>
                <w:szCs w:val="21"/>
                <w:highlight w:val="none"/>
                <w:lang w:val="en-US" w:eastAsia="zh-CN"/>
              </w:rPr>
              <w:t>－</w:t>
            </w:r>
          </w:p>
        </w:tc>
        <w:tc>
          <w:tcPr>
            <w:tcW w:w="912" w:type="dxa"/>
            <w:tcBorders>
              <w:tl2br w:val="nil"/>
              <w:tr2bl w:val="nil"/>
            </w:tcBorders>
            <w:noWrap w:val="0"/>
            <w:vAlign w:val="center"/>
          </w:tcPr>
          <w:p w14:paraId="41DDC887">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rPr>
            </w:pPr>
            <w:r>
              <w:rPr>
                <w:rFonts w:hint="default" w:ascii="Times New Roman Regular" w:hAnsi="Times New Roman Regular" w:eastAsia="方正仿宋_GBK" w:cs="Times New Roman Regular"/>
                <w:b w:val="0"/>
                <w:color w:val="auto"/>
                <w:kern w:val="0"/>
                <w:sz w:val="21"/>
                <w:szCs w:val="21"/>
                <w:lang w:bidi="ar"/>
              </w:rPr>
              <w:t>预期性</w:t>
            </w:r>
          </w:p>
        </w:tc>
      </w:tr>
      <w:tr w14:paraId="575AA6E0">
        <w:trPr>
          <w:trHeight w:val="397" w:hRule="atLeast"/>
          <w:jc w:val="center"/>
        </w:trPr>
        <w:tc>
          <w:tcPr>
            <w:tcW w:w="505" w:type="dxa"/>
            <w:tcBorders>
              <w:tl2br w:val="nil"/>
              <w:tr2bl w:val="nil"/>
            </w:tcBorders>
            <w:noWrap/>
            <w:vAlign w:val="center"/>
          </w:tcPr>
          <w:p w14:paraId="73ED20EA">
            <w:pPr>
              <w:spacing w:line="300" w:lineRule="exact"/>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bidi="ar"/>
              </w:rPr>
            </w:pPr>
            <w:r>
              <w:rPr>
                <w:rFonts w:hint="eastAsia" w:ascii="Times New Roman Regular" w:hAnsi="Times New Roman Regular" w:eastAsia="方正仿宋_GBK" w:cs="Times New Roman Regular"/>
                <w:b w:val="0"/>
                <w:color w:val="auto"/>
                <w:sz w:val="21"/>
                <w:szCs w:val="21"/>
                <w:highlight w:val="none"/>
                <w:lang w:val="en-US" w:eastAsia="zh-CN" w:bidi="ar"/>
              </w:rPr>
              <w:t>1</w:t>
            </w:r>
            <w:r>
              <w:rPr>
                <w:rFonts w:hint="default" w:ascii="Times New Roman Regular" w:hAnsi="Times New Roman Regular" w:eastAsia="方正仿宋_GBK" w:cs="Times New Roman Regular"/>
                <w:b w:val="0"/>
                <w:color w:val="auto"/>
                <w:sz w:val="21"/>
                <w:szCs w:val="21"/>
                <w:highlight w:val="none"/>
                <w:lang w:val="en-US" w:eastAsia="zh-CN" w:bidi="ar"/>
              </w:rPr>
              <w:t>2</w:t>
            </w:r>
          </w:p>
        </w:tc>
        <w:tc>
          <w:tcPr>
            <w:tcW w:w="3616" w:type="dxa"/>
            <w:tcBorders>
              <w:tl2br w:val="nil"/>
              <w:tr2bl w:val="nil"/>
            </w:tcBorders>
            <w:noWrap/>
            <w:vAlign w:val="center"/>
          </w:tcPr>
          <w:p w14:paraId="2E5F3BA2">
            <w:pPr>
              <w:spacing w:line="300" w:lineRule="exact"/>
              <w:ind w:firstLine="0" w:firstLineChars="0"/>
              <w:rPr>
                <w:rFonts w:hint="default" w:ascii="Times New Roman Regular" w:hAnsi="Times New Roman Regular" w:eastAsia="方正仿宋_GBK" w:cs="Times New Roman Regular"/>
                <w:b w:val="0"/>
                <w:color w:val="auto"/>
                <w:sz w:val="21"/>
                <w:szCs w:val="21"/>
                <w:highlight w:val="none"/>
                <w:lang w:eastAsia="zh-CN" w:bidi="ar"/>
              </w:rPr>
            </w:pPr>
            <w:r>
              <w:rPr>
                <w:rFonts w:hint="eastAsia" w:ascii="Times New Roman Regular" w:hAnsi="Times New Roman Regular" w:eastAsia="方正仿宋_GBK" w:cs="Times New Roman Regular"/>
                <w:b w:val="0"/>
                <w:color w:val="auto"/>
                <w:sz w:val="21"/>
                <w:szCs w:val="21"/>
                <w:highlight w:val="none"/>
                <w:lang w:eastAsia="zh-CN" w:bidi="ar"/>
              </w:rPr>
              <w:t>公办</w:t>
            </w:r>
            <w:r>
              <w:rPr>
                <w:rFonts w:hint="default" w:ascii="Times New Roman Regular" w:hAnsi="Times New Roman Regular" w:eastAsia="方正仿宋_GBK" w:cs="Times New Roman Regular"/>
                <w:b w:val="0"/>
                <w:color w:val="auto"/>
                <w:sz w:val="21"/>
                <w:szCs w:val="21"/>
                <w:highlight w:val="none"/>
                <w:lang w:eastAsia="zh-CN" w:bidi="ar"/>
              </w:rPr>
              <w:t>养老机构护理型床位占比（</w:t>
            </w:r>
            <w:r>
              <w:rPr>
                <w:rFonts w:hint="default" w:ascii="Times New Roman Regular" w:hAnsi="Times New Roman Regular" w:eastAsia="方正仿宋_GBK" w:cs="Times New Roman Regular"/>
                <w:b w:val="0"/>
                <w:color w:val="auto"/>
                <w:sz w:val="21"/>
                <w:szCs w:val="21"/>
                <w:highlight w:val="none"/>
                <w:lang w:val="en-US" w:eastAsia="zh-CN" w:bidi="ar"/>
              </w:rPr>
              <w:t>%</w:t>
            </w:r>
            <w:r>
              <w:rPr>
                <w:rFonts w:hint="default" w:ascii="Times New Roman Regular" w:hAnsi="Times New Roman Regular" w:eastAsia="方正仿宋_GBK" w:cs="Times New Roman Regular"/>
                <w:b w:val="0"/>
                <w:color w:val="auto"/>
                <w:sz w:val="21"/>
                <w:szCs w:val="21"/>
                <w:highlight w:val="none"/>
                <w:lang w:eastAsia="zh-CN" w:bidi="ar"/>
              </w:rPr>
              <w:t>）</w:t>
            </w:r>
          </w:p>
        </w:tc>
        <w:tc>
          <w:tcPr>
            <w:tcW w:w="879" w:type="dxa"/>
            <w:tcBorders>
              <w:tl2br w:val="nil"/>
              <w:tr2bl w:val="nil"/>
            </w:tcBorders>
            <w:noWrap w:val="0"/>
            <w:vAlign w:val="center"/>
          </w:tcPr>
          <w:p w14:paraId="42670098">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bidi="ar"/>
              </w:rPr>
            </w:pPr>
            <w:r>
              <w:rPr>
                <w:rFonts w:hint="eastAsia" w:ascii="Times New Roman Regular" w:hAnsi="Times New Roman Regular" w:eastAsia="方正仿宋_GBK" w:cs="Times New Roman Regular"/>
                <w:b w:val="0"/>
                <w:color w:val="auto"/>
                <w:sz w:val="21"/>
                <w:szCs w:val="21"/>
                <w:highlight w:val="none"/>
                <w:lang w:val="en-US" w:eastAsia="zh-CN" w:bidi="ar"/>
              </w:rPr>
              <w:t>38.6</w:t>
            </w:r>
          </w:p>
        </w:tc>
        <w:tc>
          <w:tcPr>
            <w:tcW w:w="897" w:type="dxa"/>
            <w:tcBorders>
              <w:tl2br w:val="nil"/>
              <w:tr2bl w:val="nil"/>
            </w:tcBorders>
            <w:noWrap/>
            <w:vAlign w:val="center"/>
          </w:tcPr>
          <w:p w14:paraId="6B092BBF">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rPr>
            </w:pPr>
            <w:r>
              <w:rPr>
                <w:rFonts w:hint="eastAsia" w:ascii="Times New Roman Regular" w:hAnsi="Times New Roman Regular" w:eastAsia="方正仿宋_GBK" w:cs="Times New Roman Regular"/>
                <w:b w:val="0"/>
                <w:color w:val="auto"/>
                <w:sz w:val="21"/>
                <w:szCs w:val="21"/>
                <w:highlight w:val="none"/>
                <w:lang w:val="en-US" w:eastAsia="zh-CN"/>
              </w:rPr>
              <w:t>73</w:t>
            </w:r>
          </w:p>
        </w:tc>
        <w:tc>
          <w:tcPr>
            <w:tcW w:w="1488" w:type="dxa"/>
            <w:tcBorders>
              <w:tl2br w:val="nil"/>
              <w:tr2bl w:val="nil"/>
            </w:tcBorders>
            <w:noWrap w:val="0"/>
            <w:vAlign w:val="center"/>
          </w:tcPr>
          <w:p w14:paraId="3F46D84E">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rPr>
            </w:pPr>
            <w:r>
              <w:rPr>
                <w:rFonts w:hint="default" w:ascii="Arial" w:hAnsi="Arial" w:eastAsia="方正仿宋_GBK" w:cs="Arial"/>
                <w:b w:val="0"/>
                <w:color w:val="auto"/>
                <w:sz w:val="21"/>
                <w:szCs w:val="21"/>
                <w:highlight w:val="none"/>
                <w:lang w:val="en-US" w:eastAsia="zh-CN"/>
              </w:rPr>
              <w:t>－</w:t>
            </w:r>
          </w:p>
        </w:tc>
        <w:tc>
          <w:tcPr>
            <w:tcW w:w="912" w:type="dxa"/>
            <w:tcBorders>
              <w:tl2br w:val="nil"/>
              <w:tr2bl w:val="nil"/>
            </w:tcBorders>
            <w:noWrap w:val="0"/>
            <w:vAlign w:val="center"/>
          </w:tcPr>
          <w:p w14:paraId="623040B1">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rPr>
            </w:pPr>
            <w:r>
              <w:rPr>
                <w:rFonts w:hint="default" w:ascii="Times New Roman Regular" w:hAnsi="Times New Roman Regular" w:eastAsia="方正仿宋_GBK" w:cs="Times New Roman Regular"/>
                <w:b w:val="0"/>
                <w:color w:val="auto"/>
                <w:kern w:val="0"/>
                <w:sz w:val="21"/>
                <w:szCs w:val="21"/>
                <w:lang w:bidi="ar"/>
              </w:rPr>
              <w:t>预期性</w:t>
            </w:r>
          </w:p>
        </w:tc>
      </w:tr>
      <w:tr w14:paraId="0A5D2BC6">
        <w:trPr>
          <w:trHeight w:val="397" w:hRule="atLeast"/>
          <w:jc w:val="center"/>
        </w:trPr>
        <w:tc>
          <w:tcPr>
            <w:tcW w:w="505" w:type="dxa"/>
            <w:tcBorders>
              <w:tl2br w:val="nil"/>
              <w:tr2bl w:val="nil"/>
            </w:tcBorders>
            <w:noWrap/>
            <w:vAlign w:val="center"/>
          </w:tcPr>
          <w:p w14:paraId="155C8055">
            <w:pPr>
              <w:spacing w:line="300" w:lineRule="exact"/>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bidi="ar"/>
              </w:rPr>
            </w:pPr>
            <w:r>
              <w:rPr>
                <w:rFonts w:hint="eastAsia" w:ascii="Times New Roman Regular" w:hAnsi="Times New Roman Regular" w:eastAsia="方正仿宋_GBK" w:cs="Times New Roman Regular"/>
                <w:b w:val="0"/>
                <w:color w:val="auto"/>
                <w:sz w:val="21"/>
                <w:szCs w:val="21"/>
                <w:highlight w:val="none"/>
                <w:lang w:val="en-US" w:eastAsia="zh-CN" w:bidi="ar"/>
              </w:rPr>
              <w:t>1</w:t>
            </w:r>
            <w:r>
              <w:rPr>
                <w:rFonts w:hint="default" w:ascii="Times New Roman Regular" w:hAnsi="Times New Roman Regular" w:eastAsia="方正仿宋_GBK" w:cs="Times New Roman Regular"/>
                <w:b w:val="0"/>
                <w:color w:val="auto"/>
                <w:sz w:val="21"/>
                <w:szCs w:val="21"/>
                <w:highlight w:val="none"/>
                <w:lang w:val="en-US" w:eastAsia="zh-CN" w:bidi="ar"/>
              </w:rPr>
              <w:t>3</w:t>
            </w:r>
          </w:p>
        </w:tc>
        <w:tc>
          <w:tcPr>
            <w:tcW w:w="3616" w:type="dxa"/>
            <w:tcBorders>
              <w:tl2br w:val="nil"/>
              <w:tr2bl w:val="nil"/>
            </w:tcBorders>
            <w:noWrap/>
            <w:vAlign w:val="center"/>
          </w:tcPr>
          <w:p w14:paraId="7AF1E55A">
            <w:pPr>
              <w:spacing w:line="300" w:lineRule="exact"/>
              <w:ind w:firstLine="0" w:firstLineChars="0"/>
              <w:rPr>
                <w:rFonts w:hint="default" w:ascii="Times New Roman Regular" w:hAnsi="Times New Roman Regular" w:eastAsia="方正仿宋_GBK" w:cs="Times New Roman Regular"/>
                <w:b w:val="0"/>
                <w:color w:val="auto"/>
                <w:sz w:val="21"/>
                <w:szCs w:val="21"/>
                <w:highlight w:val="none"/>
                <w:lang w:val="en-US" w:eastAsia="zh-CN" w:bidi="ar"/>
              </w:rPr>
            </w:pPr>
            <w:r>
              <w:rPr>
                <w:rFonts w:hint="default" w:ascii="Times New Roman Regular" w:hAnsi="Times New Roman Regular" w:eastAsia="方正仿宋_GBK" w:cs="Times New Roman Regular"/>
                <w:b w:val="0"/>
                <w:color w:val="auto"/>
                <w:sz w:val="21"/>
                <w:szCs w:val="21"/>
                <w:highlight w:val="none"/>
                <w:lang w:val="en-US" w:eastAsia="zh-CN" w:bidi="ar"/>
              </w:rPr>
              <w:t>3岁</w:t>
            </w:r>
            <w:r>
              <w:rPr>
                <w:rFonts w:hint="eastAsia" w:ascii="Times New Roman Regular" w:hAnsi="Times New Roman Regular" w:eastAsia="方正仿宋_GBK" w:cs="Times New Roman Regular"/>
                <w:b w:val="0"/>
                <w:color w:val="auto"/>
                <w:sz w:val="21"/>
                <w:szCs w:val="21"/>
                <w:highlight w:val="none"/>
                <w:lang w:val="en-US" w:eastAsia="zh-CN" w:bidi="ar"/>
              </w:rPr>
              <w:t>以下</w:t>
            </w:r>
            <w:r>
              <w:rPr>
                <w:rFonts w:hint="default" w:ascii="Times New Roman Regular" w:hAnsi="Times New Roman Regular" w:eastAsia="方正仿宋_GBK" w:cs="Times New Roman Regular"/>
                <w:b w:val="0"/>
                <w:color w:val="auto"/>
                <w:sz w:val="21"/>
                <w:szCs w:val="21"/>
                <w:highlight w:val="none"/>
                <w:lang w:val="en-US" w:eastAsia="zh-CN" w:bidi="ar"/>
              </w:rPr>
              <w:t>婴幼儿入托率（%）</w:t>
            </w:r>
          </w:p>
        </w:tc>
        <w:tc>
          <w:tcPr>
            <w:tcW w:w="879" w:type="dxa"/>
            <w:tcBorders>
              <w:tl2br w:val="nil"/>
              <w:tr2bl w:val="nil"/>
            </w:tcBorders>
            <w:noWrap w:val="0"/>
            <w:vAlign w:val="center"/>
          </w:tcPr>
          <w:p w14:paraId="553AB2D3">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bidi="ar"/>
              </w:rPr>
            </w:pPr>
            <w:r>
              <w:rPr>
                <w:rFonts w:hint="eastAsia" w:ascii="Times New Roman Regular" w:hAnsi="Times New Roman Regular" w:eastAsia="方正仿宋_GBK" w:cs="Times New Roman Regular"/>
                <w:b w:val="0"/>
                <w:color w:val="auto"/>
                <w:sz w:val="21"/>
                <w:szCs w:val="21"/>
                <w:highlight w:val="none"/>
                <w:lang w:val="en-US" w:eastAsia="zh-CN" w:bidi="ar"/>
              </w:rPr>
              <w:t>2.5</w:t>
            </w:r>
          </w:p>
        </w:tc>
        <w:tc>
          <w:tcPr>
            <w:tcW w:w="897" w:type="dxa"/>
            <w:tcBorders>
              <w:tl2br w:val="nil"/>
              <w:tr2bl w:val="nil"/>
            </w:tcBorders>
            <w:noWrap/>
            <w:vAlign w:val="center"/>
          </w:tcPr>
          <w:p w14:paraId="0CD25820">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rPr>
            </w:pPr>
            <w:r>
              <w:rPr>
                <w:rFonts w:hint="eastAsia" w:ascii="Times New Roman Regular" w:hAnsi="Times New Roman Regular" w:eastAsia="方正仿宋_GBK" w:cs="Times New Roman Regular"/>
                <w:b w:val="0"/>
                <w:color w:val="auto"/>
                <w:sz w:val="21"/>
                <w:szCs w:val="21"/>
                <w:highlight w:val="none"/>
                <w:lang w:val="en-US" w:eastAsia="zh-CN"/>
              </w:rPr>
              <w:t>5</w:t>
            </w:r>
          </w:p>
        </w:tc>
        <w:tc>
          <w:tcPr>
            <w:tcW w:w="1488" w:type="dxa"/>
            <w:tcBorders>
              <w:tl2br w:val="nil"/>
              <w:tr2bl w:val="nil"/>
            </w:tcBorders>
            <w:noWrap w:val="0"/>
            <w:vAlign w:val="center"/>
          </w:tcPr>
          <w:p w14:paraId="21E3143A">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rPr>
            </w:pPr>
            <w:r>
              <w:rPr>
                <w:rFonts w:hint="default" w:ascii="Arial" w:hAnsi="Arial" w:eastAsia="方正仿宋_GBK" w:cs="Arial"/>
                <w:b w:val="0"/>
                <w:color w:val="auto"/>
                <w:sz w:val="21"/>
                <w:szCs w:val="21"/>
                <w:highlight w:val="none"/>
                <w:lang w:val="en-US" w:eastAsia="zh-CN"/>
              </w:rPr>
              <w:t>－</w:t>
            </w:r>
          </w:p>
        </w:tc>
        <w:tc>
          <w:tcPr>
            <w:tcW w:w="912" w:type="dxa"/>
            <w:tcBorders>
              <w:tl2br w:val="nil"/>
              <w:tr2bl w:val="nil"/>
            </w:tcBorders>
            <w:noWrap w:val="0"/>
            <w:vAlign w:val="center"/>
          </w:tcPr>
          <w:p w14:paraId="2032ECE0">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rPr>
            </w:pPr>
            <w:r>
              <w:rPr>
                <w:rFonts w:hint="default" w:ascii="Times New Roman Regular" w:hAnsi="Times New Roman Regular" w:eastAsia="方正仿宋_GBK" w:cs="Times New Roman Regular"/>
                <w:b w:val="0"/>
                <w:color w:val="auto"/>
                <w:kern w:val="0"/>
                <w:sz w:val="21"/>
                <w:szCs w:val="21"/>
                <w:lang w:bidi="ar"/>
              </w:rPr>
              <w:t>预期性</w:t>
            </w:r>
          </w:p>
        </w:tc>
      </w:tr>
      <w:tr w14:paraId="0CA88EF1">
        <w:trPr>
          <w:trHeight w:val="397" w:hRule="atLeast"/>
          <w:jc w:val="center"/>
        </w:trPr>
        <w:tc>
          <w:tcPr>
            <w:tcW w:w="8297" w:type="dxa"/>
            <w:gridSpan w:val="6"/>
            <w:tcBorders>
              <w:tl2br w:val="nil"/>
              <w:tr2bl w:val="nil"/>
            </w:tcBorders>
            <w:noWrap/>
            <w:vAlign w:val="center"/>
          </w:tcPr>
          <w:p w14:paraId="67F7C21B">
            <w:pPr>
              <w:widowControl/>
              <w:adjustRightInd w:val="0"/>
              <w:snapToGrid w:val="0"/>
              <w:spacing w:line="240" w:lineRule="auto"/>
              <w:ind w:firstLine="0" w:firstLineChars="0"/>
              <w:jc w:val="both"/>
              <w:rPr>
                <w:rFonts w:hint="default" w:ascii="Times New Roman Regular" w:hAnsi="Times New Roman Regular" w:eastAsia="方正仿宋_GBK" w:cs="Times New Roman Regular"/>
                <w:b w:val="0"/>
                <w:color w:val="auto"/>
                <w:kern w:val="0"/>
                <w:sz w:val="21"/>
                <w:szCs w:val="21"/>
                <w:lang w:bidi="ar"/>
              </w:rPr>
            </w:pPr>
            <w:r>
              <w:rPr>
                <w:rFonts w:hint="default" w:ascii="Times New Roman Regular" w:hAnsi="Times New Roman Regular" w:eastAsia="方正仿宋_GBK" w:cs="Times New Roman Regular"/>
                <w:b/>
                <w:bCs w:val="0"/>
                <w:color w:val="auto"/>
                <w:sz w:val="21"/>
                <w:szCs w:val="21"/>
                <w:highlight w:val="none"/>
                <w:lang w:eastAsia="zh-CN" w:bidi="ar"/>
              </w:rPr>
              <w:t>五</w:t>
            </w:r>
            <w:r>
              <w:rPr>
                <w:rFonts w:hint="default" w:ascii="Times New Roman Regular" w:hAnsi="Times New Roman Regular" w:eastAsia="方正仿宋_GBK" w:cs="Times New Roman Regular"/>
                <w:b/>
                <w:bCs w:val="0"/>
                <w:color w:val="auto"/>
                <w:sz w:val="21"/>
                <w:szCs w:val="21"/>
                <w:highlight w:val="none"/>
                <w:lang w:bidi="ar"/>
              </w:rPr>
              <w:t>、绿色低碳（</w:t>
            </w:r>
            <w:r>
              <w:rPr>
                <w:rFonts w:hint="eastAsia" w:ascii="Times New Roman Regular" w:hAnsi="Times New Roman Regular" w:eastAsia="方正仿宋_GBK" w:cs="Times New Roman Regular"/>
                <w:b/>
                <w:bCs w:val="0"/>
                <w:color w:val="auto"/>
                <w:sz w:val="21"/>
                <w:szCs w:val="21"/>
                <w:highlight w:val="none"/>
                <w:lang w:val="en-US" w:eastAsia="zh-CN" w:bidi="ar"/>
              </w:rPr>
              <w:t>4</w:t>
            </w:r>
            <w:r>
              <w:rPr>
                <w:rFonts w:hint="default" w:ascii="Times New Roman Regular" w:hAnsi="Times New Roman Regular" w:eastAsia="方正仿宋_GBK" w:cs="Times New Roman Regular"/>
                <w:b/>
                <w:bCs w:val="0"/>
                <w:color w:val="auto"/>
                <w:sz w:val="21"/>
                <w:szCs w:val="21"/>
                <w:highlight w:val="none"/>
                <w:lang w:bidi="ar"/>
              </w:rPr>
              <w:t>个）</w:t>
            </w:r>
          </w:p>
        </w:tc>
      </w:tr>
      <w:tr w14:paraId="612C7ABF">
        <w:trPr>
          <w:trHeight w:val="397" w:hRule="atLeast"/>
          <w:jc w:val="center"/>
        </w:trPr>
        <w:tc>
          <w:tcPr>
            <w:tcW w:w="505" w:type="dxa"/>
            <w:tcBorders>
              <w:tl2br w:val="nil"/>
              <w:tr2bl w:val="nil"/>
            </w:tcBorders>
            <w:noWrap/>
            <w:vAlign w:val="center"/>
          </w:tcPr>
          <w:p w14:paraId="42C613E9">
            <w:pPr>
              <w:spacing w:line="300" w:lineRule="exact"/>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bidi="ar"/>
              </w:rPr>
            </w:pPr>
            <w:r>
              <w:rPr>
                <w:rFonts w:hint="eastAsia" w:ascii="Times New Roman Regular" w:hAnsi="Times New Roman Regular" w:eastAsia="方正仿宋_GBK" w:cs="Times New Roman Regular"/>
                <w:b w:val="0"/>
                <w:color w:val="auto"/>
                <w:sz w:val="21"/>
                <w:szCs w:val="21"/>
                <w:highlight w:val="none"/>
                <w:lang w:val="en-US" w:eastAsia="zh-CN" w:bidi="ar"/>
              </w:rPr>
              <w:t>1</w:t>
            </w:r>
            <w:r>
              <w:rPr>
                <w:rFonts w:hint="default" w:ascii="Times New Roman Regular" w:hAnsi="Times New Roman Regular" w:eastAsia="方正仿宋_GBK" w:cs="Times New Roman Regular"/>
                <w:b w:val="0"/>
                <w:color w:val="auto"/>
                <w:sz w:val="21"/>
                <w:szCs w:val="21"/>
                <w:highlight w:val="none"/>
                <w:lang w:val="en-US" w:eastAsia="zh-CN" w:bidi="ar"/>
              </w:rPr>
              <w:t>4</w:t>
            </w:r>
          </w:p>
        </w:tc>
        <w:tc>
          <w:tcPr>
            <w:tcW w:w="3616" w:type="dxa"/>
            <w:tcBorders>
              <w:tl2br w:val="nil"/>
              <w:tr2bl w:val="nil"/>
            </w:tcBorders>
            <w:noWrap/>
            <w:vAlign w:val="center"/>
          </w:tcPr>
          <w:p w14:paraId="3ECA96E7">
            <w:pPr>
              <w:spacing w:line="300" w:lineRule="exact"/>
              <w:ind w:firstLine="0" w:firstLineChars="0"/>
              <w:rPr>
                <w:rFonts w:hint="default" w:ascii="Times New Roman Regular" w:hAnsi="Times New Roman Regular" w:eastAsia="方正仿宋_GBK" w:cs="Times New Roman Regular"/>
                <w:b w:val="0"/>
                <w:color w:val="auto"/>
                <w:sz w:val="21"/>
                <w:szCs w:val="21"/>
                <w:highlight w:val="none"/>
              </w:rPr>
            </w:pPr>
            <w:r>
              <w:rPr>
                <w:rFonts w:hint="default" w:ascii="Times New Roman Regular" w:hAnsi="Times New Roman Regular" w:eastAsia="方正仿宋_GBK" w:cs="Times New Roman Regular"/>
                <w:b w:val="0"/>
                <w:color w:val="auto"/>
                <w:sz w:val="21"/>
                <w:szCs w:val="21"/>
                <w:highlight w:val="none"/>
              </w:rPr>
              <w:t>细颗粒物PM</w:t>
            </w:r>
            <w:r>
              <w:rPr>
                <w:rFonts w:hint="default" w:ascii="Times New Roman Regular" w:hAnsi="Times New Roman Regular" w:eastAsia="方正仿宋_GBK" w:cs="Times New Roman Regular"/>
                <w:b w:val="0"/>
                <w:color w:val="auto"/>
                <w:sz w:val="21"/>
                <w:szCs w:val="21"/>
                <w:highlight w:val="none"/>
                <w:vertAlign w:val="subscript"/>
              </w:rPr>
              <w:t>2.5</w:t>
            </w:r>
            <w:r>
              <w:rPr>
                <w:rFonts w:hint="default" w:ascii="Times New Roman Regular" w:hAnsi="Times New Roman Regular" w:eastAsia="方正仿宋_GBK" w:cs="Times New Roman Regular"/>
                <w:b w:val="0"/>
                <w:color w:val="auto"/>
                <w:sz w:val="21"/>
                <w:szCs w:val="21"/>
                <w:highlight w:val="none"/>
              </w:rPr>
              <w:t>浓度（微克/每立方米）</w:t>
            </w:r>
          </w:p>
        </w:tc>
        <w:tc>
          <w:tcPr>
            <w:tcW w:w="879" w:type="dxa"/>
            <w:tcBorders>
              <w:tl2br w:val="nil"/>
              <w:tr2bl w:val="nil"/>
            </w:tcBorders>
            <w:noWrap w:val="0"/>
            <w:vAlign w:val="center"/>
          </w:tcPr>
          <w:p w14:paraId="40CB0D8E">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rPr>
            </w:pPr>
            <w:r>
              <w:rPr>
                <w:rFonts w:hint="eastAsia" w:ascii="Times New Roman Regular" w:hAnsi="Times New Roman Regular" w:eastAsia="方正仿宋_GBK" w:cs="Times New Roman Regular"/>
                <w:b w:val="0"/>
                <w:color w:val="auto"/>
                <w:sz w:val="21"/>
                <w:szCs w:val="21"/>
                <w:highlight w:val="none"/>
                <w:lang w:val="en-US" w:eastAsia="zh-CN"/>
              </w:rPr>
              <w:t>25</w:t>
            </w:r>
          </w:p>
        </w:tc>
        <w:tc>
          <w:tcPr>
            <w:tcW w:w="897" w:type="dxa"/>
            <w:tcBorders>
              <w:tl2br w:val="nil"/>
              <w:tr2bl w:val="nil"/>
            </w:tcBorders>
            <w:noWrap w:val="0"/>
            <w:vAlign w:val="center"/>
          </w:tcPr>
          <w:p w14:paraId="58D675A1">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rPr>
            </w:pPr>
            <w:r>
              <w:rPr>
                <w:rFonts w:hint="default" w:ascii="Arial" w:hAnsi="Arial" w:eastAsia="方正仿宋_GBK" w:cs="Arial"/>
                <w:b w:val="0"/>
                <w:color w:val="auto"/>
                <w:sz w:val="21"/>
                <w:szCs w:val="21"/>
                <w:highlight w:val="none"/>
                <w:lang w:val="en-US" w:eastAsia="zh-CN"/>
              </w:rPr>
              <w:t>－</w:t>
            </w:r>
          </w:p>
        </w:tc>
        <w:tc>
          <w:tcPr>
            <w:tcW w:w="1488" w:type="dxa"/>
            <w:tcBorders>
              <w:tl2br w:val="nil"/>
              <w:tr2bl w:val="nil"/>
            </w:tcBorders>
            <w:noWrap/>
            <w:vAlign w:val="center"/>
          </w:tcPr>
          <w:p w14:paraId="42A00897">
            <w:pPr>
              <w:widowControl/>
              <w:adjustRightInd w:val="0"/>
              <w:snapToGrid w:val="0"/>
              <w:spacing w:line="240" w:lineRule="auto"/>
              <w:ind w:left="0" w:leftChars="0" w:firstLine="0" w:firstLineChars="0"/>
              <w:jc w:val="center"/>
              <w:rPr>
                <w:rFonts w:hint="eastAsia" w:ascii="Times New Roman Regular" w:hAnsi="Times New Roman Regular" w:eastAsia="方正仿宋_GBK" w:cs="Times New Roman Regular"/>
                <w:b w:val="0"/>
                <w:color w:val="auto"/>
                <w:sz w:val="21"/>
                <w:szCs w:val="21"/>
                <w:lang w:eastAsia="zh-CN"/>
              </w:rPr>
            </w:pPr>
            <w:r>
              <w:rPr>
                <w:rFonts w:hint="eastAsia" w:ascii="Times New Roman Regular" w:hAnsi="Times New Roman Regular" w:eastAsia="方正仿宋_GBK" w:cs="Times New Roman Regular"/>
                <w:b w:val="0"/>
                <w:color w:val="auto"/>
                <w:sz w:val="21"/>
                <w:szCs w:val="21"/>
              </w:rPr>
              <w:t>完成</w:t>
            </w:r>
            <w:r>
              <w:rPr>
                <w:rFonts w:hint="eastAsia" w:ascii="Times New Roman Regular" w:hAnsi="Times New Roman Regular" w:eastAsia="方正仿宋_GBK" w:cs="Times New Roman Regular"/>
                <w:b w:val="0"/>
                <w:color w:val="auto"/>
                <w:sz w:val="21"/>
                <w:szCs w:val="21"/>
                <w:lang w:val="en-US" w:eastAsia="zh-CN"/>
              </w:rPr>
              <w:t>市</w:t>
            </w:r>
            <w:r>
              <w:rPr>
                <w:rFonts w:hint="eastAsia" w:ascii="Times New Roman Regular" w:hAnsi="Times New Roman Regular" w:eastAsia="方正仿宋_GBK" w:cs="Times New Roman Regular"/>
                <w:b w:val="0"/>
                <w:color w:val="auto"/>
                <w:sz w:val="21"/>
                <w:szCs w:val="21"/>
                <w:lang w:eastAsia="zh-CN"/>
              </w:rPr>
              <w:t>下达</w:t>
            </w:r>
          </w:p>
          <w:p w14:paraId="17C31CF7">
            <w:pPr>
              <w:widowControl/>
              <w:adjustRightInd w:val="0"/>
              <w:snapToGrid w:val="0"/>
              <w:spacing w:line="240" w:lineRule="auto"/>
              <w:ind w:left="0" w:leftChars="0" w:firstLine="0" w:firstLineChars="0"/>
              <w:jc w:val="center"/>
              <w:rPr>
                <w:rFonts w:hint="default" w:ascii="Times New Roman Regular" w:hAnsi="Times New Roman Regular" w:eastAsia="方正仿宋_GBK" w:cs="Times New Roman Regular"/>
                <w:b w:val="0"/>
                <w:color w:val="auto"/>
                <w:sz w:val="21"/>
                <w:szCs w:val="21"/>
                <w:highlight w:val="none"/>
              </w:rPr>
            </w:pPr>
            <w:r>
              <w:rPr>
                <w:rFonts w:hint="eastAsia" w:ascii="Times New Roman Regular" w:hAnsi="Times New Roman Regular" w:eastAsia="方正仿宋_GBK" w:cs="Times New Roman Regular"/>
                <w:b w:val="0"/>
                <w:color w:val="auto"/>
                <w:sz w:val="21"/>
                <w:szCs w:val="21"/>
                <w:lang w:eastAsia="zh-CN"/>
              </w:rPr>
              <w:t>任务</w:t>
            </w:r>
          </w:p>
        </w:tc>
        <w:tc>
          <w:tcPr>
            <w:tcW w:w="912" w:type="dxa"/>
            <w:tcBorders>
              <w:tl2br w:val="nil"/>
              <w:tr2bl w:val="nil"/>
            </w:tcBorders>
            <w:noWrap w:val="0"/>
            <w:vAlign w:val="center"/>
          </w:tcPr>
          <w:p w14:paraId="5A8EA521">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rPr>
            </w:pPr>
            <w:r>
              <w:rPr>
                <w:rFonts w:hint="default" w:ascii="Times New Roman Regular" w:hAnsi="Times New Roman Regular" w:eastAsia="方正仿宋_GBK" w:cs="Times New Roman Regular"/>
                <w:b w:val="0"/>
                <w:color w:val="auto"/>
                <w:kern w:val="0"/>
                <w:sz w:val="21"/>
                <w:szCs w:val="21"/>
                <w:lang w:bidi="ar"/>
              </w:rPr>
              <w:t>约束性</w:t>
            </w:r>
          </w:p>
        </w:tc>
      </w:tr>
      <w:tr w14:paraId="34FA3520">
        <w:trPr>
          <w:trHeight w:val="397" w:hRule="atLeast"/>
          <w:jc w:val="center"/>
        </w:trPr>
        <w:tc>
          <w:tcPr>
            <w:tcW w:w="505" w:type="dxa"/>
            <w:tcBorders>
              <w:tl2br w:val="nil"/>
              <w:tr2bl w:val="nil"/>
            </w:tcBorders>
            <w:noWrap/>
            <w:vAlign w:val="center"/>
          </w:tcPr>
          <w:p w14:paraId="4AFDA603">
            <w:pPr>
              <w:spacing w:line="300" w:lineRule="exact"/>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bidi="ar"/>
              </w:rPr>
            </w:pPr>
            <w:r>
              <w:rPr>
                <w:rFonts w:hint="eastAsia" w:ascii="Times New Roman Regular" w:hAnsi="Times New Roman Regular" w:eastAsia="方正仿宋_GBK" w:cs="Times New Roman Regular"/>
                <w:b w:val="0"/>
                <w:color w:val="auto"/>
                <w:sz w:val="21"/>
                <w:szCs w:val="21"/>
                <w:highlight w:val="none"/>
                <w:lang w:val="en-US" w:eastAsia="zh-CN" w:bidi="ar"/>
              </w:rPr>
              <w:t>1</w:t>
            </w:r>
            <w:r>
              <w:rPr>
                <w:rFonts w:hint="default" w:ascii="Times New Roman Regular" w:hAnsi="Times New Roman Regular" w:eastAsia="方正仿宋_GBK" w:cs="Times New Roman Regular"/>
                <w:b w:val="0"/>
                <w:color w:val="auto"/>
                <w:sz w:val="21"/>
                <w:szCs w:val="21"/>
                <w:highlight w:val="none"/>
                <w:lang w:val="en-US" w:eastAsia="zh-CN" w:bidi="ar"/>
              </w:rPr>
              <w:t>5</w:t>
            </w:r>
          </w:p>
        </w:tc>
        <w:tc>
          <w:tcPr>
            <w:tcW w:w="3616" w:type="dxa"/>
            <w:tcBorders>
              <w:tl2br w:val="nil"/>
              <w:tr2bl w:val="nil"/>
            </w:tcBorders>
            <w:noWrap/>
            <w:vAlign w:val="center"/>
          </w:tcPr>
          <w:p w14:paraId="5BB37490">
            <w:pPr>
              <w:spacing w:line="300" w:lineRule="exact"/>
              <w:ind w:firstLine="0" w:firstLineChars="0"/>
              <w:rPr>
                <w:rFonts w:hint="default" w:ascii="Times New Roman Regular" w:hAnsi="Times New Roman Regular" w:eastAsia="方正仿宋_GBK" w:cs="Times New Roman Regular"/>
                <w:b w:val="0"/>
                <w:color w:val="auto"/>
                <w:sz w:val="21"/>
                <w:szCs w:val="21"/>
                <w:highlight w:val="none"/>
              </w:rPr>
            </w:pPr>
            <w:r>
              <w:rPr>
                <w:rFonts w:hint="default" w:ascii="Times New Roman Regular" w:hAnsi="Times New Roman Regular" w:eastAsia="方正仿宋_GBK" w:cs="Times New Roman Regular"/>
                <w:b w:val="0"/>
                <w:color w:val="auto"/>
                <w:sz w:val="21"/>
                <w:szCs w:val="21"/>
                <w:highlight w:val="none"/>
                <w:lang w:bidi="ar"/>
              </w:rPr>
              <w:t>优良水体比例</w:t>
            </w:r>
            <w:r>
              <w:rPr>
                <w:rFonts w:hint="default" w:ascii="Times New Roman Regular" w:hAnsi="Times New Roman Regular" w:eastAsia="方正仿宋_GBK" w:cs="Times New Roman Regular"/>
                <w:b w:val="0"/>
                <w:color w:val="auto"/>
                <w:sz w:val="21"/>
                <w:szCs w:val="21"/>
                <w:highlight w:val="none"/>
              </w:rPr>
              <w:t>（%）</w:t>
            </w:r>
          </w:p>
        </w:tc>
        <w:tc>
          <w:tcPr>
            <w:tcW w:w="879" w:type="dxa"/>
            <w:tcBorders>
              <w:tl2br w:val="nil"/>
              <w:tr2bl w:val="nil"/>
            </w:tcBorders>
            <w:noWrap w:val="0"/>
            <w:vAlign w:val="center"/>
          </w:tcPr>
          <w:p w14:paraId="17E9B806">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rPr>
            </w:pPr>
            <w:r>
              <w:rPr>
                <w:rFonts w:hint="eastAsia" w:ascii="Times New Roman Regular" w:hAnsi="Times New Roman Regular" w:eastAsia="方正仿宋_GBK" w:cs="Times New Roman Regular"/>
                <w:b w:val="0"/>
                <w:color w:val="auto"/>
                <w:sz w:val="21"/>
                <w:szCs w:val="21"/>
                <w:highlight w:val="none"/>
                <w:lang w:val="en-US" w:eastAsia="zh-CN"/>
              </w:rPr>
              <w:t>66.7</w:t>
            </w:r>
          </w:p>
        </w:tc>
        <w:tc>
          <w:tcPr>
            <w:tcW w:w="897" w:type="dxa"/>
            <w:tcBorders>
              <w:tl2br w:val="nil"/>
              <w:tr2bl w:val="nil"/>
            </w:tcBorders>
            <w:noWrap w:val="0"/>
            <w:vAlign w:val="center"/>
          </w:tcPr>
          <w:p w14:paraId="0FD04608">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rPr>
            </w:pPr>
            <w:r>
              <w:rPr>
                <w:rFonts w:hint="default" w:ascii="Arial" w:hAnsi="Arial" w:eastAsia="方正仿宋_GBK" w:cs="Arial"/>
                <w:b w:val="0"/>
                <w:color w:val="auto"/>
                <w:sz w:val="21"/>
                <w:szCs w:val="21"/>
                <w:highlight w:val="none"/>
                <w:lang w:val="en-US" w:eastAsia="zh-CN"/>
              </w:rPr>
              <w:t>－</w:t>
            </w:r>
          </w:p>
        </w:tc>
        <w:tc>
          <w:tcPr>
            <w:tcW w:w="1488" w:type="dxa"/>
            <w:tcBorders>
              <w:tl2br w:val="nil"/>
              <w:tr2bl w:val="nil"/>
            </w:tcBorders>
            <w:noWrap/>
            <w:vAlign w:val="center"/>
          </w:tcPr>
          <w:p w14:paraId="0887D9DC">
            <w:pPr>
              <w:widowControl/>
              <w:adjustRightInd w:val="0"/>
              <w:snapToGrid w:val="0"/>
              <w:spacing w:line="240" w:lineRule="auto"/>
              <w:ind w:left="0" w:leftChars="0" w:firstLine="0" w:firstLineChars="0"/>
              <w:jc w:val="center"/>
              <w:rPr>
                <w:rFonts w:hint="eastAsia" w:ascii="Times New Roman Regular" w:hAnsi="Times New Roman Regular" w:eastAsia="方正仿宋_GBK" w:cs="Times New Roman Regular"/>
                <w:b w:val="0"/>
                <w:color w:val="auto"/>
                <w:sz w:val="21"/>
                <w:szCs w:val="21"/>
                <w:lang w:eastAsia="zh-CN"/>
              </w:rPr>
            </w:pPr>
            <w:r>
              <w:rPr>
                <w:rFonts w:hint="eastAsia" w:ascii="Times New Roman Regular" w:hAnsi="Times New Roman Regular" w:eastAsia="方正仿宋_GBK" w:cs="Times New Roman Regular"/>
                <w:b w:val="0"/>
                <w:color w:val="auto"/>
                <w:sz w:val="21"/>
                <w:szCs w:val="21"/>
              </w:rPr>
              <w:t>完成</w:t>
            </w:r>
            <w:r>
              <w:rPr>
                <w:rFonts w:hint="eastAsia" w:ascii="Times New Roman Regular" w:hAnsi="Times New Roman Regular" w:eastAsia="方正仿宋_GBK" w:cs="Times New Roman Regular"/>
                <w:b w:val="0"/>
                <w:color w:val="auto"/>
                <w:sz w:val="21"/>
                <w:szCs w:val="21"/>
                <w:lang w:val="en-US" w:eastAsia="zh-CN"/>
              </w:rPr>
              <w:t>市</w:t>
            </w:r>
            <w:r>
              <w:rPr>
                <w:rFonts w:hint="eastAsia" w:ascii="Times New Roman Regular" w:hAnsi="Times New Roman Regular" w:eastAsia="方正仿宋_GBK" w:cs="Times New Roman Regular"/>
                <w:b w:val="0"/>
                <w:color w:val="auto"/>
                <w:sz w:val="21"/>
                <w:szCs w:val="21"/>
                <w:lang w:eastAsia="zh-CN"/>
              </w:rPr>
              <w:t>下达</w:t>
            </w:r>
          </w:p>
          <w:p w14:paraId="1CFEE8CD">
            <w:pPr>
              <w:widowControl/>
              <w:adjustRightInd w:val="0"/>
              <w:snapToGrid w:val="0"/>
              <w:spacing w:line="240" w:lineRule="auto"/>
              <w:ind w:left="0" w:leftChars="0" w:firstLine="0" w:firstLineChars="0"/>
              <w:jc w:val="center"/>
              <w:rPr>
                <w:rFonts w:hint="default" w:ascii="Times New Roman Regular" w:hAnsi="Times New Roman Regular" w:eastAsia="方正仿宋_GBK" w:cs="Times New Roman Regular"/>
                <w:b w:val="0"/>
                <w:color w:val="auto"/>
                <w:sz w:val="21"/>
                <w:szCs w:val="21"/>
                <w:highlight w:val="none"/>
              </w:rPr>
            </w:pPr>
            <w:r>
              <w:rPr>
                <w:rFonts w:hint="eastAsia" w:ascii="Times New Roman Regular" w:hAnsi="Times New Roman Regular" w:eastAsia="方正仿宋_GBK" w:cs="Times New Roman Regular"/>
                <w:b w:val="0"/>
                <w:color w:val="auto"/>
                <w:sz w:val="21"/>
                <w:szCs w:val="21"/>
                <w:lang w:eastAsia="zh-CN"/>
              </w:rPr>
              <w:t>任务</w:t>
            </w:r>
          </w:p>
        </w:tc>
        <w:tc>
          <w:tcPr>
            <w:tcW w:w="912" w:type="dxa"/>
            <w:tcBorders>
              <w:tl2br w:val="nil"/>
              <w:tr2bl w:val="nil"/>
            </w:tcBorders>
            <w:noWrap w:val="0"/>
            <w:vAlign w:val="center"/>
          </w:tcPr>
          <w:p w14:paraId="534996F0">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rPr>
            </w:pPr>
            <w:r>
              <w:rPr>
                <w:rFonts w:hint="default" w:ascii="Times New Roman Regular" w:hAnsi="Times New Roman Regular" w:eastAsia="方正仿宋_GBK" w:cs="Times New Roman Regular"/>
                <w:b w:val="0"/>
                <w:color w:val="auto"/>
                <w:kern w:val="0"/>
                <w:sz w:val="21"/>
                <w:szCs w:val="21"/>
                <w:lang w:bidi="ar"/>
              </w:rPr>
              <w:t>约束性</w:t>
            </w:r>
          </w:p>
        </w:tc>
      </w:tr>
      <w:tr w14:paraId="7C1A5DD2">
        <w:trPr>
          <w:trHeight w:val="397" w:hRule="atLeast"/>
          <w:jc w:val="center"/>
        </w:trPr>
        <w:tc>
          <w:tcPr>
            <w:tcW w:w="505" w:type="dxa"/>
            <w:tcBorders>
              <w:tl2br w:val="nil"/>
              <w:tr2bl w:val="nil"/>
            </w:tcBorders>
            <w:noWrap/>
            <w:vAlign w:val="center"/>
          </w:tcPr>
          <w:p w14:paraId="784E2AD8">
            <w:pPr>
              <w:spacing w:line="300" w:lineRule="exact"/>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bidi="ar"/>
              </w:rPr>
            </w:pPr>
            <w:r>
              <w:rPr>
                <w:rFonts w:hint="eastAsia" w:ascii="Times New Roman Regular" w:hAnsi="Times New Roman Regular" w:eastAsia="方正仿宋_GBK" w:cs="Times New Roman Regular"/>
                <w:b w:val="0"/>
                <w:color w:val="auto"/>
                <w:sz w:val="21"/>
                <w:szCs w:val="21"/>
                <w:highlight w:val="none"/>
                <w:lang w:val="en-US" w:eastAsia="zh-CN" w:bidi="ar"/>
              </w:rPr>
              <w:t>1</w:t>
            </w:r>
            <w:r>
              <w:rPr>
                <w:rFonts w:hint="default" w:ascii="Times New Roman Regular" w:hAnsi="Times New Roman Regular" w:eastAsia="方正仿宋_GBK" w:cs="Times New Roman Regular"/>
                <w:b w:val="0"/>
                <w:color w:val="auto"/>
                <w:sz w:val="21"/>
                <w:szCs w:val="21"/>
                <w:highlight w:val="none"/>
                <w:lang w:val="en-US" w:eastAsia="zh-CN" w:bidi="ar"/>
              </w:rPr>
              <w:t>6</w:t>
            </w:r>
          </w:p>
        </w:tc>
        <w:tc>
          <w:tcPr>
            <w:tcW w:w="3616" w:type="dxa"/>
            <w:tcBorders>
              <w:tl2br w:val="nil"/>
              <w:tr2bl w:val="nil"/>
            </w:tcBorders>
            <w:noWrap/>
            <w:vAlign w:val="center"/>
          </w:tcPr>
          <w:p w14:paraId="604A6D22">
            <w:pPr>
              <w:spacing w:line="300" w:lineRule="exact"/>
              <w:ind w:firstLine="0" w:firstLineChars="0"/>
              <w:rPr>
                <w:rFonts w:hint="default" w:ascii="Times New Roman Regular" w:hAnsi="Times New Roman Regular" w:eastAsia="方正仿宋_GBK" w:cs="Times New Roman Regular"/>
                <w:b w:val="0"/>
                <w:color w:val="auto"/>
                <w:sz w:val="21"/>
                <w:szCs w:val="21"/>
                <w:highlight w:val="none"/>
              </w:rPr>
            </w:pPr>
            <w:r>
              <w:rPr>
                <w:rFonts w:hint="default" w:ascii="Times New Roman Regular" w:hAnsi="Times New Roman Regular" w:eastAsia="方正仿宋_GBK" w:cs="Times New Roman Regular"/>
                <w:b w:val="0"/>
                <w:color w:val="auto"/>
                <w:sz w:val="21"/>
                <w:szCs w:val="21"/>
                <w:highlight w:val="none"/>
              </w:rPr>
              <w:t>单位GDP用水量下降（%）</w:t>
            </w:r>
          </w:p>
        </w:tc>
        <w:tc>
          <w:tcPr>
            <w:tcW w:w="879" w:type="dxa"/>
            <w:tcBorders>
              <w:tl2br w:val="nil"/>
              <w:tr2bl w:val="nil"/>
            </w:tcBorders>
            <w:noWrap w:val="0"/>
            <w:vAlign w:val="center"/>
          </w:tcPr>
          <w:p w14:paraId="12600644">
            <w:pPr>
              <w:widowControl/>
              <w:adjustRightInd w:val="0"/>
              <w:snapToGrid w:val="0"/>
              <w:spacing w:line="240" w:lineRule="auto"/>
              <w:ind w:firstLine="0" w:firstLineChars="0"/>
              <w:jc w:val="center"/>
              <w:rPr>
                <w:rFonts w:hint="eastAsia" w:ascii="Times New Roman Regular" w:hAnsi="Times New Roman Regular" w:eastAsia="方正仿宋_GBK" w:cs="Times New Roman Regular"/>
                <w:b w:val="0"/>
                <w:color w:val="auto"/>
                <w:sz w:val="21"/>
                <w:szCs w:val="21"/>
                <w:highlight w:val="none"/>
                <w:lang w:val="en-US" w:eastAsia="zh-CN" w:bidi="ar"/>
              </w:rPr>
            </w:pPr>
            <w:r>
              <w:rPr>
                <w:rFonts w:hint="eastAsia" w:ascii="Times New Roman Regular" w:hAnsi="Times New Roman Regular" w:eastAsia="方正仿宋_GBK" w:cs="Times New Roman Regular"/>
                <w:b w:val="0"/>
                <w:color w:val="auto"/>
                <w:sz w:val="21"/>
                <w:szCs w:val="21"/>
                <w:highlight w:val="none"/>
                <w:lang w:val="en-US" w:eastAsia="zh-CN" w:bidi="ar"/>
              </w:rPr>
              <w:t>3</w:t>
            </w:r>
          </w:p>
        </w:tc>
        <w:tc>
          <w:tcPr>
            <w:tcW w:w="897" w:type="dxa"/>
            <w:tcBorders>
              <w:tl2br w:val="nil"/>
              <w:tr2bl w:val="nil"/>
            </w:tcBorders>
            <w:noWrap w:val="0"/>
            <w:vAlign w:val="center"/>
          </w:tcPr>
          <w:p w14:paraId="29F1AD12">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lang w:eastAsia="zh-CN"/>
              </w:rPr>
            </w:pPr>
            <w:r>
              <w:rPr>
                <w:rFonts w:hint="default" w:ascii="Arial" w:hAnsi="Arial" w:eastAsia="方正仿宋_GBK" w:cs="Arial"/>
                <w:b w:val="0"/>
                <w:color w:val="auto"/>
                <w:sz w:val="21"/>
                <w:szCs w:val="21"/>
                <w:highlight w:val="none"/>
                <w:lang w:val="en-US" w:eastAsia="zh-CN"/>
              </w:rPr>
              <w:t>－</w:t>
            </w:r>
          </w:p>
        </w:tc>
        <w:tc>
          <w:tcPr>
            <w:tcW w:w="1488" w:type="dxa"/>
            <w:tcBorders>
              <w:tl2br w:val="nil"/>
              <w:tr2bl w:val="nil"/>
            </w:tcBorders>
            <w:noWrap/>
            <w:vAlign w:val="center"/>
          </w:tcPr>
          <w:p w14:paraId="595BE6B7">
            <w:pPr>
              <w:widowControl/>
              <w:adjustRightInd w:val="0"/>
              <w:snapToGrid w:val="0"/>
              <w:spacing w:line="240" w:lineRule="auto"/>
              <w:ind w:firstLine="0" w:firstLineChars="0"/>
              <w:jc w:val="center"/>
              <w:rPr>
                <w:rFonts w:hint="eastAsia" w:ascii="Times New Roman Regular" w:hAnsi="Times New Roman Regular" w:eastAsia="方正仿宋_GBK" w:cs="Times New Roman Regular"/>
                <w:b w:val="0"/>
                <w:color w:val="auto"/>
                <w:sz w:val="21"/>
                <w:szCs w:val="21"/>
                <w:lang w:eastAsia="zh-CN"/>
              </w:rPr>
            </w:pPr>
            <w:r>
              <w:rPr>
                <w:rFonts w:hint="default" w:ascii="Times New Roman Regular" w:hAnsi="Times New Roman Regular" w:eastAsia="方正仿宋_GBK" w:cs="Times New Roman Regular"/>
                <w:b w:val="0"/>
                <w:color w:val="auto"/>
                <w:sz w:val="21"/>
                <w:szCs w:val="21"/>
              </w:rPr>
              <w:t>完成</w:t>
            </w:r>
            <w:r>
              <w:rPr>
                <w:rFonts w:hint="eastAsia" w:ascii="Times New Roman Regular" w:hAnsi="Times New Roman Regular" w:eastAsia="方正仿宋_GBK" w:cs="Times New Roman Regular"/>
                <w:b w:val="0"/>
                <w:color w:val="auto"/>
                <w:sz w:val="21"/>
                <w:szCs w:val="21"/>
                <w:lang w:val="en-US" w:eastAsia="zh-CN"/>
              </w:rPr>
              <w:t>市</w:t>
            </w:r>
            <w:r>
              <w:rPr>
                <w:rFonts w:hint="eastAsia" w:ascii="Times New Roman Regular" w:hAnsi="Times New Roman Regular" w:eastAsia="方正仿宋_GBK" w:cs="Times New Roman Regular"/>
                <w:b w:val="0"/>
                <w:color w:val="auto"/>
                <w:sz w:val="21"/>
                <w:szCs w:val="21"/>
                <w:lang w:eastAsia="zh-CN"/>
              </w:rPr>
              <w:t>下达</w:t>
            </w:r>
          </w:p>
          <w:p w14:paraId="22A85A39">
            <w:pPr>
              <w:widowControl/>
              <w:adjustRightInd w:val="0"/>
              <w:snapToGrid w:val="0"/>
              <w:spacing w:line="240" w:lineRule="auto"/>
              <w:ind w:firstLine="0" w:firstLineChars="0"/>
              <w:jc w:val="center"/>
              <w:rPr>
                <w:rFonts w:hint="eastAsia" w:ascii="Times New Roman Regular" w:hAnsi="Times New Roman Regular" w:eastAsia="方正仿宋_GBK" w:cs="Times New Roman Regular"/>
                <w:b w:val="0"/>
                <w:color w:val="auto"/>
                <w:sz w:val="21"/>
                <w:szCs w:val="21"/>
                <w:highlight w:val="none"/>
                <w:lang w:eastAsia="zh-CN"/>
              </w:rPr>
            </w:pPr>
            <w:r>
              <w:rPr>
                <w:rFonts w:hint="eastAsia" w:ascii="Times New Roman Regular" w:hAnsi="Times New Roman Regular" w:eastAsia="方正仿宋_GBK" w:cs="Times New Roman Regular"/>
                <w:b w:val="0"/>
                <w:color w:val="auto"/>
                <w:sz w:val="21"/>
                <w:szCs w:val="21"/>
                <w:lang w:eastAsia="zh-CN"/>
              </w:rPr>
              <w:t>任务</w:t>
            </w:r>
          </w:p>
        </w:tc>
        <w:tc>
          <w:tcPr>
            <w:tcW w:w="912" w:type="dxa"/>
            <w:tcBorders>
              <w:tl2br w:val="nil"/>
              <w:tr2bl w:val="nil"/>
            </w:tcBorders>
            <w:noWrap w:val="0"/>
            <w:vAlign w:val="center"/>
          </w:tcPr>
          <w:p w14:paraId="7692BDF6">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rPr>
            </w:pPr>
            <w:r>
              <w:rPr>
                <w:rFonts w:hint="default" w:ascii="Times New Roman Regular" w:hAnsi="Times New Roman Regular" w:eastAsia="方正仿宋_GBK" w:cs="Times New Roman Regular"/>
                <w:b w:val="0"/>
                <w:color w:val="auto"/>
                <w:kern w:val="0"/>
                <w:sz w:val="21"/>
                <w:szCs w:val="21"/>
                <w:lang w:bidi="ar"/>
              </w:rPr>
              <w:t>约束性</w:t>
            </w:r>
          </w:p>
        </w:tc>
      </w:tr>
      <w:tr w14:paraId="107E62AA">
        <w:trPr>
          <w:trHeight w:val="397" w:hRule="atLeast"/>
          <w:jc w:val="center"/>
        </w:trPr>
        <w:tc>
          <w:tcPr>
            <w:tcW w:w="505" w:type="dxa"/>
            <w:tcBorders>
              <w:tl2br w:val="nil"/>
              <w:tr2bl w:val="nil"/>
            </w:tcBorders>
            <w:noWrap/>
            <w:vAlign w:val="center"/>
          </w:tcPr>
          <w:p w14:paraId="06EFD82B">
            <w:pPr>
              <w:spacing w:line="300" w:lineRule="exact"/>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bidi="ar"/>
              </w:rPr>
            </w:pPr>
            <w:r>
              <w:rPr>
                <w:rFonts w:hint="eastAsia" w:ascii="Times New Roman Regular" w:hAnsi="Times New Roman Regular" w:eastAsia="方正仿宋_GBK" w:cs="Times New Roman Regular"/>
                <w:b w:val="0"/>
                <w:color w:val="auto"/>
                <w:sz w:val="21"/>
                <w:szCs w:val="21"/>
                <w:highlight w:val="none"/>
                <w:lang w:val="en-US" w:eastAsia="zh-CN" w:bidi="ar"/>
              </w:rPr>
              <w:t>1</w:t>
            </w:r>
            <w:r>
              <w:rPr>
                <w:rFonts w:hint="default" w:ascii="Times New Roman Regular" w:hAnsi="Times New Roman Regular" w:eastAsia="方正仿宋_GBK" w:cs="Times New Roman Regular"/>
                <w:b w:val="0"/>
                <w:color w:val="auto"/>
                <w:sz w:val="21"/>
                <w:szCs w:val="21"/>
                <w:highlight w:val="none"/>
                <w:lang w:val="en-US" w:eastAsia="zh-CN" w:bidi="ar"/>
              </w:rPr>
              <w:t>7</w:t>
            </w:r>
          </w:p>
        </w:tc>
        <w:tc>
          <w:tcPr>
            <w:tcW w:w="3616" w:type="dxa"/>
            <w:tcBorders>
              <w:tl2br w:val="nil"/>
              <w:tr2bl w:val="nil"/>
            </w:tcBorders>
            <w:noWrap/>
            <w:vAlign w:val="center"/>
          </w:tcPr>
          <w:p w14:paraId="013E9BFB">
            <w:pPr>
              <w:spacing w:line="300" w:lineRule="exact"/>
              <w:ind w:firstLine="0" w:firstLineChars="0"/>
              <w:rPr>
                <w:rFonts w:hint="default" w:ascii="Times New Roman Regular" w:hAnsi="Times New Roman Regular" w:eastAsia="方正仿宋_GBK" w:cs="Times New Roman Regular"/>
                <w:b w:val="0"/>
                <w:color w:val="auto"/>
                <w:sz w:val="21"/>
                <w:szCs w:val="21"/>
                <w:highlight w:val="none"/>
                <w:lang w:val="en-US" w:eastAsia="zh-CN" w:bidi="ar"/>
              </w:rPr>
            </w:pPr>
            <w:r>
              <w:rPr>
                <w:rFonts w:hint="default" w:ascii="Times New Roman Regular" w:hAnsi="Times New Roman Regular" w:eastAsia="方正仿宋_GBK" w:cs="Times New Roman Regular"/>
                <w:b w:val="0"/>
                <w:color w:val="auto"/>
                <w:sz w:val="21"/>
                <w:szCs w:val="21"/>
                <w:highlight w:val="none"/>
                <w:lang w:val="en-US" w:eastAsia="zh-CN" w:bidi="ar"/>
              </w:rPr>
              <w:t>固废综合利用率（%）</w:t>
            </w:r>
          </w:p>
        </w:tc>
        <w:tc>
          <w:tcPr>
            <w:tcW w:w="879" w:type="dxa"/>
            <w:tcBorders>
              <w:tl2br w:val="nil"/>
              <w:tr2bl w:val="nil"/>
            </w:tcBorders>
            <w:noWrap w:val="0"/>
            <w:vAlign w:val="center"/>
          </w:tcPr>
          <w:p w14:paraId="3413C213">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rPr>
            </w:pPr>
            <w:r>
              <w:rPr>
                <w:rFonts w:hint="default" w:ascii="Times New Roman Regular" w:hAnsi="Times New Roman Regular" w:eastAsia="方正仿宋_GBK" w:cs="Times New Roman Regular"/>
                <w:b w:val="0"/>
                <w:color w:val="auto"/>
                <w:sz w:val="21"/>
                <w:szCs w:val="21"/>
                <w:highlight w:val="none"/>
                <w:lang w:val="en-US" w:eastAsia="zh-CN"/>
              </w:rPr>
              <w:t>3.5</w:t>
            </w:r>
          </w:p>
        </w:tc>
        <w:tc>
          <w:tcPr>
            <w:tcW w:w="897" w:type="dxa"/>
            <w:tcBorders>
              <w:tl2br w:val="nil"/>
              <w:tr2bl w:val="nil"/>
            </w:tcBorders>
            <w:noWrap w:val="0"/>
            <w:vAlign w:val="center"/>
          </w:tcPr>
          <w:p w14:paraId="6AEF2E31">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rPr>
            </w:pPr>
            <w:r>
              <w:rPr>
                <w:rFonts w:hint="default" w:ascii="Times New Roman Regular" w:hAnsi="Times New Roman Regular" w:eastAsia="方正仿宋_GBK" w:cs="Times New Roman Regular"/>
                <w:b w:val="0"/>
                <w:color w:val="auto"/>
                <w:sz w:val="21"/>
                <w:szCs w:val="21"/>
                <w:highlight w:val="none"/>
                <w:lang w:val="en-US" w:eastAsia="zh-CN"/>
              </w:rPr>
              <w:t>12</w:t>
            </w:r>
          </w:p>
        </w:tc>
        <w:tc>
          <w:tcPr>
            <w:tcW w:w="1488" w:type="dxa"/>
            <w:tcBorders>
              <w:tl2br w:val="nil"/>
              <w:tr2bl w:val="nil"/>
            </w:tcBorders>
            <w:noWrap/>
            <w:vAlign w:val="center"/>
          </w:tcPr>
          <w:p w14:paraId="4C63A0F2">
            <w:pPr>
              <w:widowControl/>
              <w:adjustRightInd w:val="0"/>
              <w:snapToGrid w:val="0"/>
              <w:spacing w:line="240" w:lineRule="auto"/>
              <w:ind w:firstLine="0" w:firstLineChars="0"/>
              <w:jc w:val="center"/>
              <w:rPr>
                <w:rFonts w:hint="eastAsia" w:ascii="Times New Roman Regular" w:hAnsi="Times New Roman Regular" w:eastAsia="方正仿宋_GBK" w:cs="Times New Roman Regular"/>
                <w:b w:val="0"/>
                <w:color w:val="auto"/>
                <w:sz w:val="21"/>
                <w:szCs w:val="21"/>
                <w:highlight w:val="none"/>
                <w:lang w:val="en-US" w:eastAsia="zh-CN"/>
              </w:rPr>
            </w:pPr>
            <w:r>
              <w:rPr>
                <w:rFonts w:hint="default" w:ascii="Arial" w:hAnsi="Arial" w:eastAsia="方正仿宋_GBK" w:cs="Arial"/>
                <w:b w:val="0"/>
                <w:color w:val="auto"/>
                <w:sz w:val="21"/>
                <w:szCs w:val="21"/>
                <w:highlight w:val="none"/>
                <w:lang w:val="en-US" w:eastAsia="zh-CN"/>
              </w:rPr>
              <w:t>－</w:t>
            </w:r>
          </w:p>
        </w:tc>
        <w:tc>
          <w:tcPr>
            <w:tcW w:w="912" w:type="dxa"/>
            <w:tcBorders>
              <w:tl2br w:val="nil"/>
              <w:tr2bl w:val="nil"/>
            </w:tcBorders>
            <w:noWrap w:val="0"/>
            <w:vAlign w:val="center"/>
          </w:tcPr>
          <w:p w14:paraId="6473F53A">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rPr>
            </w:pPr>
            <w:r>
              <w:rPr>
                <w:rFonts w:hint="default" w:ascii="Times New Roman Regular" w:hAnsi="Times New Roman Regular" w:eastAsia="方正仿宋_GBK" w:cs="Times New Roman Regular"/>
                <w:b w:val="0"/>
                <w:color w:val="auto"/>
                <w:kern w:val="0"/>
                <w:sz w:val="21"/>
                <w:szCs w:val="21"/>
                <w:lang w:bidi="ar"/>
              </w:rPr>
              <w:t>预期性</w:t>
            </w:r>
          </w:p>
        </w:tc>
      </w:tr>
      <w:tr w14:paraId="1F9030EF">
        <w:trPr>
          <w:trHeight w:val="397" w:hRule="atLeast"/>
          <w:jc w:val="center"/>
        </w:trPr>
        <w:tc>
          <w:tcPr>
            <w:tcW w:w="8297" w:type="dxa"/>
            <w:gridSpan w:val="6"/>
            <w:tcBorders>
              <w:tl2br w:val="nil"/>
              <w:tr2bl w:val="nil"/>
            </w:tcBorders>
            <w:noWrap/>
            <w:vAlign w:val="center"/>
          </w:tcPr>
          <w:p w14:paraId="08EB0237">
            <w:pPr>
              <w:widowControl/>
              <w:adjustRightInd w:val="0"/>
              <w:snapToGrid w:val="0"/>
              <w:spacing w:line="240" w:lineRule="auto"/>
              <w:ind w:firstLine="0" w:firstLineChars="0"/>
              <w:jc w:val="both"/>
              <w:rPr>
                <w:rFonts w:hint="default" w:ascii="Times New Roman Regular" w:hAnsi="Times New Roman Regular" w:eastAsia="方正仿宋_GBK" w:cs="Times New Roman Regular"/>
                <w:b w:val="0"/>
                <w:color w:val="auto"/>
                <w:kern w:val="0"/>
                <w:sz w:val="21"/>
                <w:szCs w:val="21"/>
                <w:lang w:bidi="ar"/>
              </w:rPr>
            </w:pPr>
            <w:r>
              <w:rPr>
                <w:rFonts w:hint="default" w:ascii="Times New Roman Regular" w:hAnsi="Times New Roman Regular" w:eastAsia="方正仿宋_GBK" w:cs="Times New Roman Regular"/>
                <w:b/>
                <w:bCs w:val="0"/>
                <w:color w:val="auto"/>
                <w:sz w:val="21"/>
                <w:szCs w:val="21"/>
                <w:highlight w:val="none"/>
                <w:lang w:bidi="ar"/>
              </w:rPr>
              <w:t>六、安全保障（2个）</w:t>
            </w:r>
          </w:p>
        </w:tc>
      </w:tr>
      <w:tr w14:paraId="0285229D">
        <w:trPr>
          <w:trHeight w:val="397" w:hRule="atLeast"/>
          <w:jc w:val="center"/>
        </w:trPr>
        <w:tc>
          <w:tcPr>
            <w:tcW w:w="505" w:type="dxa"/>
            <w:tcBorders>
              <w:tl2br w:val="nil"/>
              <w:tr2bl w:val="nil"/>
            </w:tcBorders>
            <w:noWrap/>
            <w:vAlign w:val="center"/>
          </w:tcPr>
          <w:p w14:paraId="245209A9">
            <w:pPr>
              <w:spacing w:line="300" w:lineRule="exact"/>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bidi="ar"/>
              </w:rPr>
            </w:pPr>
            <w:r>
              <w:rPr>
                <w:rFonts w:hint="eastAsia" w:ascii="Times New Roman Regular" w:hAnsi="Times New Roman Regular" w:eastAsia="方正仿宋_GBK" w:cs="Times New Roman Regular"/>
                <w:b w:val="0"/>
                <w:color w:val="auto"/>
                <w:sz w:val="21"/>
                <w:szCs w:val="21"/>
                <w:highlight w:val="none"/>
                <w:lang w:val="en-US" w:eastAsia="zh-CN" w:bidi="ar"/>
              </w:rPr>
              <w:t>1</w:t>
            </w:r>
            <w:r>
              <w:rPr>
                <w:rFonts w:hint="default" w:ascii="Times New Roman Regular" w:hAnsi="Times New Roman Regular" w:eastAsia="方正仿宋_GBK" w:cs="Times New Roman Regular"/>
                <w:b w:val="0"/>
                <w:color w:val="auto"/>
                <w:sz w:val="21"/>
                <w:szCs w:val="21"/>
                <w:highlight w:val="none"/>
                <w:lang w:val="en-US" w:eastAsia="zh-CN" w:bidi="ar"/>
              </w:rPr>
              <w:t>8</w:t>
            </w:r>
          </w:p>
        </w:tc>
        <w:tc>
          <w:tcPr>
            <w:tcW w:w="3616" w:type="dxa"/>
            <w:tcBorders>
              <w:tl2br w:val="nil"/>
              <w:tr2bl w:val="nil"/>
            </w:tcBorders>
            <w:noWrap/>
            <w:vAlign w:val="center"/>
          </w:tcPr>
          <w:p w14:paraId="4DD46C7C">
            <w:pPr>
              <w:spacing w:line="300" w:lineRule="exact"/>
              <w:ind w:firstLine="0" w:firstLineChars="0"/>
              <w:rPr>
                <w:rFonts w:hint="default" w:ascii="Times New Roman Regular" w:hAnsi="Times New Roman Regular" w:eastAsia="方正仿宋_GBK" w:cs="Times New Roman Regular"/>
                <w:b w:val="0"/>
                <w:color w:val="auto"/>
                <w:sz w:val="21"/>
                <w:szCs w:val="21"/>
                <w:highlight w:val="none"/>
                <w:lang w:bidi="ar"/>
              </w:rPr>
            </w:pPr>
            <w:r>
              <w:rPr>
                <w:rFonts w:hint="default" w:ascii="Times New Roman Regular" w:hAnsi="Times New Roman Regular" w:eastAsia="方正仿宋_GBK" w:cs="Times New Roman Regular"/>
                <w:b w:val="0"/>
                <w:color w:val="auto"/>
                <w:sz w:val="21"/>
                <w:szCs w:val="21"/>
                <w:highlight w:val="none"/>
                <w:lang w:bidi="ar"/>
              </w:rPr>
              <w:t>粮食综合生产能力（万吨）</w:t>
            </w:r>
          </w:p>
        </w:tc>
        <w:tc>
          <w:tcPr>
            <w:tcW w:w="879" w:type="dxa"/>
            <w:tcBorders>
              <w:tl2br w:val="nil"/>
              <w:tr2bl w:val="nil"/>
            </w:tcBorders>
            <w:noWrap/>
            <w:vAlign w:val="center"/>
          </w:tcPr>
          <w:p w14:paraId="22D5AEFB">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bidi="ar"/>
              </w:rPr>
            </w:pPr>
            <w:r>
              <w:rPr>
                <w:rFonts w:hint="eastAsia" w:ascii="Times New Roman Regular" w:hAnsi="Times New Roman Regular" w:eastAsia="方正仿宋_GBK" w:cs="Times New Roman Regular"/>
                <w:b w:val="0"/>
                <w:color w:val="auto"/>
                <w:sz w:val="21"/>
                <w:szCs w:val="21"/>
                <w:highlight w:val="none"/>
                <w:lang w:val="en-US" w:eastAsia="zh-CN" w:bidi="ar"/>
              </w:rPr>
              <w:t>6.67</w:t>
            </w:r>
          </w:p>
        </w:tc>
        <w:tc>
          <w:tcPr>
            <w:tcW w:w="897" w:type="dxa"/>
            <w:tcBorders>
              <w:tl2br w:val="nil"/>
              <w:tr2bl w:val="nil"/>
            </w:tcBorders>
            <w:noWrap/>
            <w:vAlign w:val="center"/>
          </w:tcPr>
          <w:p w14:paraId="50D61CDB">
            <w:pPr>
              <w:widowControl/>
              <w:adjustRightInd w:val="0"/>
              <w:snapToGrid w:val="0"/>
              <w:spacing w:line="240" w:lineRule="auto"/>
              <w:ind w:firstLine="0" w:firstLineChars="0"/>
              <w:jc w:val="center"/>
              <w:rPr>
                <w:rFonts w:hint="eastAsia" w:ascii="Times New Roman Regular" w:hAnsi="Times New Roman Regular" w:eastAsia="方正仿宋_GBK" w:cs="Times New Roman Regular"/>
                <w:b w:val="0"/>
                <w:color w:val="auto"/>
                <w:sz w:val="21"/>
                <w:szCs w:val="21"/>
                <w:highlight w:val="none"/>
                <w:lang w:val="en-US" w:eastAsia="zh-CN" w:bidi="ar"/>
              </w:rPr>
            </w:pPr>
            <w:r>
              <w:rPr>
                <w:rFonts w:hint="eastAsia" w:ascii="Times New Roman Regular" w:hAnsi="Times New Roman Regular" w:eastAsia="方正仿宋_GBK" w:cs="Times New Roman Regular"/>
                <w:b w:val="0"/>
                <w:color w:val="auto"/>
                <w:sz w:val="21"/>
                <w:szCs w:val="21"/>
                <w:highlight w:val="none"/>
                <w:lang w:val="en-US" w:eastAsia="zh-CN" w:bidi="ar"/>
              </w:rPr>
              <w:t>9</w:t>
            </w:r>
          </w:p>
        </w:tc>
        <w:tc>
          <w:tcPr>
            <w:tcW w:w="1488" w:type="dxa"/>
            <w:tcBorders>
              <w:tl2br w:val="nil"/>
              <w:tr2bl w:val="nil"/>
            </w:tcBorders>
            <w:noWrap w:val="0"/>
            <w:vAlign w:val="center"/>
          </w:tcPr>
          <w:p w14:paraId="274B6086">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bidi="ar"/>
              </w:rPr>
            </w:pPr>
            <w:r>
              <w:rPr>
                <w:rFonts w:hint="default" w:ascii="Arial" w:hAnsi="Arial" w:eastAsia="方正仿宋_GBK" w:cs="Arial"/>
                <w:b w:val="0"/>
                <w:color w:val="auto"/>
                <w:sz w:val="21"/>
                <w:szCs w:val="21"/>
                <w:highlight w:val="none"/>
                <w:lang w:val="en-US" w:eastAsia="zh-CN"/>
              </w:rPr>
              <w:t>－</w:t>
            </w:r>
          </w:p>
        </w:tc>
        <w:tc>
          <w:tcPr>
            <w:tcW w:w="912" w:type="dxa"/>
            <w:tcBorders>
              <w:tl2br w:val="nil"/>
              <w:tr2bl w:val="nil"/>
            </w:tcBorders>
            <w:noWrap w:val="0"/>
            <w:vAlign w:val="center"/>
          </w:tcPr>
          <w:p w14:paraId="4B061635">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lang w:bidi="ar"/>
              </w:rPr>
            </w:pPr>
            <w:r>
              <w:rPr>
                <w:rFonts w:hint="default" w:ascii="Times New Roman Regular" w:hAnsi="Times New Roman Regular" w:eastAsia="方正仿宋_GBK" w:cs="Times New Roman Regular"/>
                <w:b w:val="0"/>
                <w:color w:val="auto"/>
                <w:kern w:val="0"/>
                <w:sz w:val="21"/>
                <w:szCs w:val="21"/>
                <w:lang w:bidi="ar"/>
              </w:rPr>
              <w:t>预期性</w:t>
            </w:r>
          </w:p>
        </w:tc>
      </w:tr>
      <w:tr w14:paraId="754131F7">
        <w:trPr>
          <w:trHeight w:val="397" w:hRule="atLeast"/>
          <w:jc w:val="center"/>
        </w:trPr>
        <w:tc>
          <w:tcPr>
            <w:tcW w:w="505" w:type="dxa"/>
            <w:tcBorders>
              <w:tl2br w:val="nil"/>
              <w:tr2bl w:val="nil"/>
            </w:tcBorders>
            <w:noWrap/>
            <w:vAlign w:val="center"/>
          </w:tcPr>
          <w:p w14:paraId="0B43E154">
            <w:pPr>
              <w:spacing w:line="300" w:lineRule="exact"/>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rPr>
            </w:pPr>
            <w:r>
              <w:rPr>
                <w:rFonts w:hint="eastAsia" w:ascii="Times New Roman Regular" w:hAnsi="Times New Roman Regular" w:eastAsia="方正仿宋_GBK" w:cs="Times New Roman Regular"/>
                <w:b w:val="0"/>
                <w:color w:val="auto"/>
                <w:sz w:val="21"/>
                <w:szCs w:val="21"/>
                <w:highlight w:val="none"/>
                <w:lang w:val="en-US" w:eastAsia="zh-CN" w:bidi="ar"/>
              </w:rPr>
              <w:t>1</w:t>
            </w:r>
            <w:r>
              <w:rPr>
                <w:rFonts w:hint="default" w:ascii="Times New Roman Regular" w:hAnsi="Times New Roman Regular" w:eastAsia="方正仿宋_GBK" w:cs="Times New Roman Regular"/>
                <w:b w:val="0"/>
                <w:color w:val="auto"/>
                <w:sz w:val="21"/>
                <w:szCs w:val="21"/>
                <w:highlight w:val="none"/>
                <w:lang w:val="en-US" w:eastAsia="zh-CN" w:bidi="ar"/>
              </w:rPr>
              <w:t>9</w:t>
            </w:r>
          </w:p>
        </w:tc>
        <w:tc>
          <w:tcPr>
            <w:tcW w:w="3616" w:type="dxa"/>
            <w:tcBorders>
              <w:tl2br w:val="nil"/>
              <w:tr2bl w:val="nil"/>
            </w:tcBorders>
            <w:noWrap/>
            <w:vAlign w:val="center"/>
          </w:tcPr>
          <w:p w14:paraId="4EB0FEF6">
            <w:pPr>
              <w:spacing w:line="300" w:lineRule="exact"/>
              <w:ind w:firstLine="0" w:firstLineChars="0"/>
              <w:rPr>
                <w:rFonts w:hint="default" w:ascii="Times New Roman Regular" w:hAnsi="Times New Roman Regular" w:eastAsia="方正仿宋_GBK" w:cs="Times New Roman Regular"/>
                <w:b w:val="0"/>
                <w:color w:val="auto"/>
                <w:sz w:val="21"/>
                <w:szCs w:val="21"/>
                <w:highlight w:val="none"/>
              </w:rPr>
            </w:pPr>
            <w:r>
              <w:rPr>
                <w:rFonts w:hint="default" w:ascii="Times New Roman Regular" w:hAnsi="Times New Roman Regular" w:eastAsia="方正仿宋_GBK" w:cs="Times New Roman Regular"/>
                <w:b w:val="0"/>
                <w:color w:val="auto"/>
                <w:sz w:val="21"/>
                <w:szCs w:val="21"/>
                <w:highlight w:val="none"/>
                <w:lang w:bidi="ar"/>
              </w:rPr>
              <w:t>能源综合生产能力（亿吨标准煤）</w:t>
            </w:r>
          </w:p>
        </w:tc>
        <w:tc>
          <w:tcPr>
            <w:tcW w:w="879" w:type="dxa"/>
            <w:tcBorders>
              <w:tl2br w:val="nil"/>
              <w:tr2bl w:val="nil"/>
            </w:tcBorders>
            <w:noWrap/>
            <w:vAlign w:val="center"/>
          </w:tcPr>
          <w:p w14:paraId="501E97D1">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bidi="ar"/>
              </w:rPr>
            </w:pPr>
            <w:r>
              <w:rPr>
                <w:rFonts w:hint="eastAsia" w:ascii="Times New Roman Regular" w:hAnsi="Times New Roman Regular" w:eastAsia="方正仿宋_GBK" w:cs="Times New Roman Regular"/>
                <w:b w:val="0"/>
                <w:color w:val="auto"/>
                <w:sz w:val="21"/>
                <w:szCs w:val="21"/>
                <w:highlight w:val="none"/>
                <w:lang w:val="en-US" w:eastAsia="zh-CN" w:bidi="ar"/>
              </w:rPr>
              <w:t>0.599</w:t>
            </w:r>
          </w:p>
        </w:tc>
        <w:tc>
          <w:tcPr>
            <w:tcW w:w="897" w:type="dxa"/>
            <w:tcBorders>
              <w:tl2br w:val="nil"/>
              <w:tr2bl w:val="nil"/>
            </w:tcBorders>
            <w:noWrap/>
            <w:vAlign w:val="center"/>
          </w:tcPr>
          <w:p w14:paraId="3D50BCFF">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lang w:val="en-US" w:eastAsia="zh-CN" w:bidi="ar"/>
              </w:rPr>
            </w:pPr>
            <w:r>
              <w:rPr>
                <w:rFonts w:hint="eastAsia" w:ascii="Times New Roman Regular" w:hAnsi="Times New Roman Regular" w:eastAsia="方正仿宋_GBK" w:cs="Times New Roman Regular"/>
                <w:b w:val="0"/>
                <w:color w:val="auto"/>
                <w:sz w:val="21"/>
                <w:szCs w:val="21"/>
                <w:highlight w:val="none"/>
                <w:lang w:val="en-US" w:eastAsia="zh-CN" w:bidi="ar"/>
              </w:rPr>
              <w:t>0.610</w:t>
            </w:r>
          </w:p>
        </w:tc>
        <w:tc>
          <w:tcPr>
            <w:tcW w:w="1488" w:type="dxa"/>
            <w:tcBorders>
              <w:tl2br w:val="nil"/>
              <w:tr2bl w:val="nil"/>
            </w:tcBorders>
            <w:noWrap w:val="0"/>
            <w:vAlign w:val="center"/>
          </w:tcPr>
          <w:p w14:paraId="237C72F7">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rPr>
            </w:pPr>
            <w:r>
              <w:rPr>
                <w:rFonts w:hint="default" w:ascii="Arial" w:hAnsi="Arial" w:eastAsia="方正仿宋_GBK" w:cs="Arial"/>
                <w:b w:val="0"/>
                <w:color w:val="auto"/>
                <w:sz w:val="21"/>
                <w:szCs w:val="21"/>
                <w:highlight w:val="none"/>
                <w:lang w:val="en-US" w:eastAsia="zh-CN"/>
              </w:rPr>
              <w:t>－</w:t>
            </w:r>
          </w:p>
        </w:tc>
        <w:tc>
          <w:tcPr>
            <w:tcW w:w="912" w:type="dxa"/>
            <w:tcBorders>
              <w:tl2br w:val="nil"/>
              <w:tr2bl w:val="nil"/>
            </w:tcBorders>
            <w:noWrap w:val="0"/>
            <w:vAlign w:val="center"/>
          </w:tcPr>
          <w:p w14:paraId="16A911AE">
            <w:pPr>
              <w:widowControl/>
              <w:adjustRightInd w:val="0"/>
              <w:snapToGrid w:val="0"/>
              <w:spacing w:line="240" w:lineRule="auto"/>
              <w:ind w:firstLine="0" w:firstLineChars="0"/>
              <w:jc w:val="center"/>
              <w:rPr>
                <w:rFonts w:hint="default" w:ascii="Times New Roman Regular" w:hAnsi="Times New Roman Regular" w:eastAsia="方正仿宋_GBK" w:cs="Times New Roman Regular"/>
                <w:b w:val="0"/>
                <w:color w:val="auto"/>
                <w:sz w:val="21"/>
                <w:szCs w:val="21"/>
                <w:highlight w:val="none"/>
              </w:rPr>
            </w:pPr>
            <w:r>
              <w:rPr>
                <w:rFonts w:hint="default" w:ascii="Times New Roman Regular" w:hAnsi="Times New Roman Regular" w:eastAsia="方正仿宋_GBK" w:cs="Times New Roman Regular"/>
                <w:b w:val="0"/>
                <w:color w:val="auto"/>
                <w:kern w:val="0"/>
                <w:sz w:val="21"/>
                <w:szCs w:val="21"/>
                <w:lang w:bidi="ar"/>
              </w:rPr>
              <w:t>预期性</w:t>
            </w:r>
          </w:p>
        </w:tc>
      </w:tr>
    </w:tbl>
    <w:p w14:paraId="3F66CC3B">
      <w:pPr>
        <w:snapToGrid w:val="0"/>
        <w:spacing w:line="580" w:lineRule="exact"/>
        <w:ind w:firstLine="0" w:firstLineChars="0"/>
        <w:rPr>
          <w:rFonts w:hint="eastAsia" w:eastAsia="方正仿宋_GBK" w:cs="Times New Roman"/>
          <w:color w:val="auto"/>
          <w:sz w:val="30"/>
          <w:szCs w:val="30"/>
          <w14:ligatures w14:val="standardContextual"/>
        </w:rPr>
        <w:sectPr>
          <w:headerReference r:id="rId21" w:type="default"/>
          <w:footerReference r:id="rId23" w:type="default"/>
          <w:headerReference r:id="rId22" w:type="even"/>
          <w:footerReference r:id="rId24" w:type="even"/>
          <w:pgSz w:w="11906" w:h="16838"/>
          <w:pgMar w:top="1440" w:right="1800" w:bottom="1440" w:left="1800" w:header="851" w:footer="992" w:gutter="0"/>
          <w:pgNumType w:fmt="decimal"/>
          <w:cols w:space="0" w:num="1"/>
          <w:rtlGutter w:val="0"/>
          <w:docGrid w:type="lines" w:linePitch="312" w:charSpace="0"/>
        </w:sectPr>
      </w:pPr>
    </w:p>
    <w:bookmarkEnd w:id="29"/>
    <w:bookmarkEnd w:id="30"/>
    <w:bookmarkEnd w:id="31"/>
    <w:bookmarkEnd w:id="32"/>
    <w:p w14:paraId="2DDB2538">
      <w:pPr>
        <w:pStyle w:val="61"/>
        <w:spacing w:before="156" w:beforeLines="50" w:after="156" w:afterLines="50" w:line="580" w:lineRule="exact"/>
        <w:ind w:firstLine="0" w:firstLineChars="0"/>
        <w:jc w:val="center"/>
        <w:rPr>
          <w:rFonts w:ascii="Times New Roman" w:hAnsi="Times New Roman" w:eastAsia="方正黑体_GBK" w:cs="方正黑体_GBK"/>
          <w:color w:val="auto"/>
        </w:rPr>
      </w:pPr>
      <w:bookmarkStart w:id="64" w:name="_Toc1463961548"/>
      <w:bookmarkStart w:id="65" w:name="_Toc2113811689"/>
      <w:bookmarkStart w:id="66" w:name="_Toc1484020158"/>
      <w:bookmarkStart w:id="67" w:name="_Toc215860779"/>
      <w:bookmarkStart w:id="68" w:name="_Toc1175594497"/>
      <w:bookmarkStart w:id="69" w:name="_Toc22432"/>
      <w:bookmarkStart w:id="70" w:name="_Toc29617"/>
      <w:bookmarkStart w:id="71" w:name="OLE_LINK33"/>
      <w:bookmarkStart w:id="72" w:name="OLE_LINK2"/>
      <w:r>
        <w:rPr>
          <w:rFonts w:hint="eastAsia" w:ascii="Times New Roman" w:hAnsi="Times New Roman" w:eastAsia="方正黑体_GBK" w:cs="方正黑体_GBK"/>
          <w:color w:val="auto"/>
        </w:rPr>
        <w:t>第二章 聚力推动能源转型 建设全省重要的综合能源基地</w:t>
      </w:r>
      <w:bookmarkEnd w:id="64"/>
      <w:bookmarkEnd w:id="65"/>
    </w:p>
    <w:p w14:paraId="7341F3BA">
      <w:pPr>
        <w:snapToGrid w:val="0"/>
        <w:spacing w:line="580" w:lineRule="exact"/>
        <w:ind w:firstLine="600"/>
        <w:rPr>
          <w:rFonts w:eastAsia="方正仿宋_GBK" w:cs="Times New Roman"/>
          <w:color w:val="auto"/>
          <w:sz w:val="30"/>
          <w:szCs w:val="30"/>
          <w14:ligatures w14:val="standardContextual"/>
        </w:rPr>
      </w:pPr>
      <w:r>
        <w:rPr>
          <w:rFonts w:hint="eastAsia" w:eastAsia="方正仿宋_GBK" w:cs="Times New Roman"/>
          <w:color w:val="auto"/>
          <w:sz w:val="30"/>
          <w:szCs w:val="30"/>
          <w14:ligatures w14:val="standardContextual"/>
        </w:rPr>
        <w:t>坚决扛牢能源保供和能源安全政治责任，持续深化能源革命，统筹推进煤炭生产方式转型、消费方式转型、发展动力转型，加快构建清洁低碳、安全高效的新型能源体系，着力打造全省重要的综合能源基地。</w:t>
      </w:r>
    </w:p>
    <w:p w14:paraId="76AADEE2">
      <w:pPr>
        <w:spacing w:line="580" w:lineRule="exact"/>
        <w:ind w:firstLine="0" w:firstLineChars="0"/>
        <w:jc w:val="center"/>
        <w:outlineLvl w:val="1"/>
        <w:rPr>
          <w:rFonts w:eastAsia="楷体" w:cs="Times New Roman"/>
          <w:color w:val="auto"/>
          <w:sz w:val="30"/>
          <w:szCs w:val="30"/>
        </w:rPr>
      </w:pPr>
      <w:bookmarkStart w:id="73" w:name="_Toc1081593557"/>
      <w:bookmarkStart w:id="74" w:name="_Toc2143769186"/>
      <w:bookmarkStart w:id="75" w:name="_Toc90251046"/>
      <w:bookmarkStart w:id="76" w:name="_Toc217274687"/>
      <w:bookmarkStart w:id="77" w:name="_Toc706379460"/>
      <w:bookmarkStart w:id="78" w:name="_Toc1011084702"/>
      <w:r>
        <w:rPr>
          <w:rFonts w:hint="eastAsia" w:eastAsia="楷体" w:cs="Times New Roman"/>
          <w:color w:val="auto"/>
          <w:sz w:val="30"/>
          <w:szCs w:val="30"/>
        </w:rPr>
        <w:t>第一节  保障能源安全稳定供应</w:t>
      </w:r>
      <w:bookmarkEnd w:id="73"/>
      <w:bookmarkEnd w:id="74"/>
      <w:bookmarkEnd w:id="75"/>
      <w:bookmarkEnd w:id="76"/>
      <w:bookmarkEnd w:id="77"/>
      <w:bookmarkEnd w:id="78"/>
    </w:p>
    <w:p w14:paraId="462339A7">
      <w:pPr>
        <w:snapToGrid w:val="0"/>
        <w:spacing w:line="580" w:lineRule="exact"/>
        <w:ind w:firstLine="602"/>
        <w:rPr>
          <w:rFonts w:eastAsia="方正仿宋_GBK" w:cs="Times New Roman"/>
          <w:b/>
          <w:bCs/>
          <w:color w:val="auto"/>
          <w:sz w:val="30"/>
          <w:szCs w:val="30"/>
          <w14:ligatures w14:val="standardContextual"/>
        </w:rPr>
      </w:pPr>
      <w:r>
        <w:rPr>
          <w:rFonts w:hint="eastAsia" w:eastAsia="方正仿宋_GBK"/>
          <w:b/>
          <w:bCs/>
          <w:color w:val="auto"/>
          <w:sz w:val="30"/>
          <w:szCs w:val="30"/>
          <w14:ligatures w14:val="standardContextual"/>
        </w:rPr>
        <w:t>持续提升能源资源保供能力。</w:t>
      </w:r>
      <w:r>
        <w:rPr>
          <w:rFonts w:hint="eastAsia" w:eastAsia="方正仿宋_GBK" w:cs="Times New Roman"/>
          <w:color w:val="auto"/>
          <w:sz w:val="30"/>
          <w:szCs w:val="30"/>
          <w14:ligatures w14:val="standardContextual"/>
        </w:rPr>
        <w:t>全力推进煤炭稳产保供，优先推动晋控塔山、青磁窑等煤矿技术改造，扩大煤炭先进产能占比。有序推进煤炭资源接续配置，推动具备条件的煤矿核增产能，力争到2030年核增煤矿稳产达产。持续推进煤矿机械化、自动化、信息化、智能化建设，为矿井安全生产、提质增效、转型升级提供支撑和保障。有序推进煤炭上大压小、增优汰劣，引导低效无效产能有序退出，支持储量资源不足矿井依法依规整合周边空白资源、边角资源，进一步延长矿井服务年限，推动煤炭新旧产能有序接替。持续优化煤炭生产开发布局和产能结构，扩大优质增量供给，保持煤炭产能平衡，构建煤电与新能源耦合发展模式。</w:t>
      </w:r>
    </w:p>
    <w:p w14:paraId="14A4CA7E">
      <w:pPr>
        <w:snapToGrid w:val="0"/>
        <w:spacing w:line="580" w:lineRule="exact"/>
        <w:ind w:firstLine="602"/>
        <w:rPr>
          <w:rFonts w:eastAsia="方正仿宋_GBK" w:cs="Times New Roman"/>
          <w:color w:val="auto"/>
          <w:sz w:val="30"/>
          <w:szCs w:val="30"/>
          <w14:ligatures w14:val="standardContextual"/>
        </w:rPr>
      </w:pPr>
      <w:r>
        <w:rPr>
          <w:rFonts w:hint="eastAsia" w:eastAsia="方正仿宋_GBK" w:cs="方正仿宋_GBK"/>
          <w:b/>
          <w:bCs/>
          <w:color w:val="auto"/>
          <w:sz w:val="30"/>
          <w:szCs w:val="30"/>
          <w14:ligatures w14:val="standardContextual"/>
        </w:rPr>
        <w:t>持续增强煤炭储备能力。</w:t>
      </w:r>
      <w:r>
        <w:rPr>
          <w:rFonts w:hint="eastAsia" w:eastAsia="方正仿宋_GBK" w:cs="Times New Roman"/>
          <w:color w:val="auto"/>
          <w:sz w:val="30"/>
          <w:szCs w:val="30"/>
          <w14:ligatures w14:val="standardContextual"/>
        </w:rPr>
        <w:t>统调燃煤电厂常态存煤水平达到国家要求天数，鼓励晋控塔山发电、苏晋塔山发电、云冈热电等企业新建扩建储煤场地，推动现有设施改造升级，进一步提高储煤能力。鼓励和支持煤炭企业、火电企业和重点用能企业通过自建、改扩建、租赁、购买服务等方式，在煤炭生产地、消费地建设若干储煤基地。严格落实最低库存和最高库存制度，确保形成一定程度的可调度煤炭储备能力体系，探索以市场化运营煤炭储备基地的商业模式，形成政府可调度、多维度协同的煤炭储备体系。</w:t>
      </w:r>
    </w:p>
    <w:p w14:paraId="4F9E065A">
      <w:pPr>
        <w:snapToGrid w:val="0"/>
        <w:spacing w:line="580" w:lineRule="exact"/>
        <w:ind w:firstLine="602"/>
        <w:rPr>
          <w:rFonts w:eastAsia="方正仿宋_GBK" w:cs="Times New Roman"/>
          <w:color w:val="auto"/>
          <w:sz w:val="30"/>
          <w:szCs w:val="30"/>
          <w14:ligatures w14:val="standardContextual"/>
        </w:rPr>
      </w:pPr>
      <w:r>
        <w:rPr>
          <w:rFonts w:hint="eastAsia" w:eastAsia="方正仿宋_GBK" w:cs="方正仿宋_GBK"/>
          <w:b/>
          <w:bCs/>
          <w:color w:val="auto"/>
          <w:sz w:val="30"/>
          <w:szCs w:val="30"/>
          <w14:ligatures w14:val="standardContextual"/>
        </w:rPr>
        <w:t>提高中长期合同签约履约水平。</w:t>
      </w:r>
      <w:r>
        <w:rPr>
          <w:rFonts w:eastAsia="方正仿宋_GBK" w:cs="Times New Roman"/>
          <w:color w:val="auto"/>
          <w:sz w:val="30"/>
          <w:szCs w:val="30"/>
          <w14:ligatures w14:val="standardContextual"/>
        </w:rPr>
        <w:t>严格落实国家和省市关于煤炭中长期合同管理的制度要求与监管标准，配合开展煤炭中长期合同签订、备案、执行等工作，推动煤电、煤化工等重点用煤企业与供应企业加强产销衔接、稳定供需预期。加强合同信用信息采集与日常管理，完善数据报送、统计监测和问题清单，协助推进合同履约信息归集和全过程监管。对履约偏离、异常波动等情形及时预警处置，</w:t>
      </w:r>
      <w:r>
        <w:rPr>
          <w:rFonts w:hint="eastAsia" w:eastAsia="方正仿宋_GBK" w:cs="Times New Roman"/>
          <w:b w:val="0"/>
          <w:bCs w:val="0"/>
          <w:color w:val="auto"/>
          <w:sz w:val="30"/>
          <w:szCs w:val="30"/>
          <w14:ligatures w14:val="standardContextual"/>
        </w:rPr>
        <w:t>督促产运需各方按期按量履行中长期合同</w:t>
      </w:r>
      <w:r>
        <w:rPr>
          <w:rFonts w:eastAsia="方正仿宋_GBK" w:cs="Times New Roman"/>
          <w:color w:val="auto"/>
          <w:sz w:val="30"/>
          <w:szCs w:val="30"/>
          <w14:ligatures w14:val="standardContextual"/>
        </w:rPr>
        <w:t>。</w:t>
      </w:r>
    </w:p>
    <w:p w14:paraId="2B595A8C">
      <w:pPr>
        <w:spacing w:line="580" w:lineRule="exact"/>
        <w:ind w:firstLine="0" w:firstLineChars="0"/>
        <w:jc w:val="center"/>
        <w:outlineLvl w:val="1"/>
        <w:rPr>
          <w:rFonts w:eastAsia="楷体" w:cs="Times New Roman"/>
          <w:color w:val="auto"/>
          <w:sz w:val="30"/>
          <w:szCs w:val="30"/>
        </w:rPr>
      </w:pPr>
      <w:bookmarkStart w:id="79" w:name="_Toc725875340"/>
      <w:bookmarkStart w:id="80" w:name="_Toc829983604"/>
      <w:bookmarkStart w:id="81" w:name="_Toc217274688"/>
      <w:bookmarkStart w:id="82" w:name="_Toc1995563383"/>
      <w:bookmarkStart w:id="83" w:name="_Toc2041324291"/>
      <w:bookmarkStart w:id="84" w:name="_Toc262487803"/>
      <w:r>
        <w:rPr>
          <w:rFonts w:hint="eastAsia" w:eastAsia="楷体" w:cs="Times New Roman"/>
          <w:color w:val="auto"/>
          <w:sz w:val="30"/>
          <w:szCs w:val="30"/>
        </w:rPr>
        <w:t xml:space="preserve">第二节  </w:t>
      </w:r>
      <w:bookmarkEnd w:id="79"/>
      <w:bookmarkEnd w:id="80"/>
      <w:bookmarkEnd w:id="81"/>
      <w:bookmarkEnd w:id="82"/>
      <w:r>
        <w:rPr>
          <w:rFonts w:hint="eastAsia" w:eastAsia="楷体" w:cs="Times New Roman"/>
          <w:color w:val="auto"/>
          <w:sz w:val="30"/>
          <w:szCs w:val="30"/>
        </w:rPr>
        <w:t>推动煤炭清洁高效利用</w:t>
      </w:r>
      <w:bookmarkEnd w:id="83"/>
      <w:bookmarkEnd w:id="84"/>
    </w:p>
    <w:p w14:paraId="76376358">
      <w:pPr>
        <w:snapToGrid w:val="0"/>
        <w:spacing w:line="580" w:lineRule="exact"/>
        <w:ind w:firstLine="602"/>
        <w:rPr>
          <w:rFonts w:eastAsia="方正仿宋_GBK" w:cs="方正仿宋_GBK"/>
          <w:b/>
          <w:bCs/>
          <w:color w:val="auto"/>
          <w:sz w:val="30"/>
          <w:szCs w:val="30"/>
        </w:rPr>
      </w:pPr>
      <w:bookmarkStart w:id="85" w:name="OLE_LINK4"/>
      <w:r>
        <w:rPr>
          <w:rFonts w:hint="eastAsia" w:eastAsia="方正仿宋_GBK" w:cs="方正仿宋_GBK"/>
          <w:b/>
          <w:bCs/>
          <w:color w:val="auto"/>
          <w:sz w:val="30"/>
          <w:szCs w:val="30"/>
          <w14:ligatures w14:val="standardContextual"/>
        </w:rPr>
        <w:t>促进煤矿清洁生产与循环发展。</w:t>
      </w:r>
      <w:r>
        <w:rPr>
          <w:rFonts w:hint="eastAsia" w:eastAsia="方正仿宋_GBK"/>
          <w:color w:val="auto"/>
          <w:sz w:val="30"/>
          <w:szCs w:val="30"/>
          <w14:ligatures w14:val="standardContextual"/>
        </w:rPr>
        <w:t>全面推行绿色开采技术，大力推广应用保水开采、充填开采和煤与瓦斯共采等核心技术，对矿井通风、排水、提升等主要耗能系统实施智能化节能改造。加强煤矸石、粉煤灰分质分类利用处置，推广煤矸石制建材、发电和化工原料技术，提高综合治理率并有序减少存量，实现资源化、减量化处置。健全煤矿节能降碳标准体系，深入挖掘煤矿生产系统节能潜力，合理降低煤矿生产能耗，创新矿井循环经济发展模式。</w:t>
      </w:r>
    </w:p>
    <w:bookmarkEnd w:id="85"/>
    <w:p w14:paraId="3656A972">
      <w:pPr>
        <w:snapToGrid w:val="0"/>
        <w:spacing w:line="580" w:lineRule="exact"/>
        <w:ind w:firstLine="602"/>
        <w:rPr>
          <w:rFonts w:eastAsia="方正仿宋_GBK" w:cs="方正仿宋_GBK"/>
          <w:b/>
          <w:bCs/>
          <w:color w:val="auto"/>
          <w:sz w:val="30"/>
          <w:szCs w:val="30"/>
        </w:rPr>
      </w:pPr>
      <w:r>
        <w:rPr>
          <w:rFonts w:hint="eastAsia" w:eastAsia="方正仿宋_GBK" w:cs="方正仿宋_GBK"/>
          <w:b/>
          <w:bCs/>
          <w:color w:val="auto"/>
          <w:sz w:val="30"/>
          <w:szCs w:val="30"/>
          <w14:ligatures w14:val="standardContextual"/>
        </w:rPr>
        <w:t>全面完成煤电机组“三改联动”。</w:t>
      </w:r>
      <w:r>
        <w:rPr>
          <w:rFonts w:hint="eastAsia" w:eastAsia="方正仿宋_GBK" w:cs="Times New Roman"/>
          <w:color w:val="auto"/>
          <w:sz w:val="30"/>
          <w:szCs w:val="30"/>
          <w14:ligatures w14:val="standardContextual"/>
        </w:rPr>
        <w:t>有序推进云冈区煤电“上大压小”项目，加快同热三期、晋控塔山三期等重点项目建设，按照国家和省市要求，有序推动30万千瓦级以下煤电机组淘汰落后和整合，推动新建大容量、高参数、低能耗机组。全面推进云冈热电等大型燃煤电厂通流改造、烟气余热深度利用和供热改造，统筹推进燃煤锅炉关停整合，实施工业窑炉清洁能源替代。鼓励燃煤工业锅炉向燃煤、煤矸石、生物质、半焦、天然气等多元燃料清洁燃烧技术转型。</w:t>
      </w:r>
    </w:p>
    <w:p w14:paraId="301AA4E0">
      <w:pPr>
        <w:snapToGrid w:val="0"/>
        <w:spacing w:line="580" w:lineRule="exact"/>
        <w:ind w:firstLine="602"/>
        <w:rPr>
          <w:rFonts w:eastAsia="方正仿宋_GBK"/>
          <w:color w:val="auto"/>
          <w:sz w:val="30"/>
          <w:szCs w:val="30"/>
          <w14:ligatures w14:val="standardContextual"/>
        </w:rPr>
      </w:pPr>
      <w:r>
        <w:rPr>
          <w:rFonts w:hint="eastAsia" w:eastAsia="方正仿宋_GBK"/>
          <w:b/>
          <w:bCs/>
          <w:color w:val="auto"/>
          <w:sz w:val="30"/>
          <w:szCs w:val="30"/>
          <w14:ligatures w14:val="standardContextual"/>
        </w:rPr>
        <w:t>推进煤炭分质分级高效利用。</w:t>
      </w:r>
      <w:r>
        <w:rPr>
          <w:rFonts w:hint="eastAsia" w:eastAsia="方正仿宋_GBK"/>
          <w:color w:val="auto"/>
          <w:sz w:val="30"/>
          <w:szCs w:val="30"/>
          <w14:ligatures w14:val="standardContextual"/>
        </w:rPr>
        <w:t>积极开展煤炭智能绿色开采和清洁高效转化的技术研发和技术攻关，推动高品质煤优先用于高端化工和新材料产业，推进以兴华联合为链主的煤炭分质分级高效利用取得新突破，加快推动煤炭洗选行业高质量发展。鼓励活性炭产业提质升级，增强市场竞争力。加强能源领域创新平台建设，依托中国科学院大同分所煤炭清洁利用试验基地，聚焦煤基精细化工和新材料方向，打造能源领域中试基地和成果转化基地。完善煤炭分级交易和质量溯源机制，鼓励企业提供绿色低碳认证产品，提升市场竞争力和附加值。</w:t>
      </w:r>
    </w:p>
    <w:p w14:paraId="4220EED3">
      <w:pPr>
        <w:pStyle w:val="14"/>
        <w:snapToGrid w:val="0"/>
        <w:spacing w:line="580" w:lineRule="exact"/>
        <w:ind w:firstLine="602"/>
        <w:rPr>
          <w:rFonts w:eastAsia="方正仿宋_GBK" w:cs="Times New Roman"/>
          <w:color w:val="auto"/>
          <w:sz w:val="30"/>
          <w:szCs w:val="30"/>
          <w14:ligatures w14:val="standardContextual"/>
        </w:rPr>
      </w:pPr>
      <w:r>
        <w:rPr>
          <w:rFonts w:hint="eastAsia" w:eastAsia="方正仿宋_GBK" w:cs="方正仿宋_GBK"/>
          <w:b/>
          <w:bCs/>
          <w:color w:val="auto"/>
          <w:sz w:val="30"/>
          <w:szCs w:val="30"/>
          <w14:ligatures w14:val="standardContextual"/>
        </w:rPr>
        <w:t>建设煤炭清洁运输体系。</w:t>
      </w:r>
      <w:r>
        <w:rPr>
          <w:rFonts w:hint="eastAsia" w:eastAsia="方正仿宋_GBK" w:cs="Times New Roman"/>
          <w:color w:val="auto"/>
          <w:sz w:val="30"/>
          <w:szCs w:val="30"/>
          <w14:ligatures w14:val="standardContextual"/>
        </w:rPr>
        <w:t>全面推进煤炭企业、大型物流园区和交易集散基地道路和铁路专线建设和扩能改造，开拓运煤专线公路运输绿色通道，加强矿区到交通主干道的道路建设，优化煤炭物流网络，提高大中型煤炭企业铁路专用线接入比例。</w:t>
      </w:r>
      <w:r>
        <w:rPr>
          <w:rFonts w:hint="eastAsia" w:eastAsia="方正仿宋_GBK"/>
          <w:color w:val="auto"/>
          <w:sz w:val="30"/>
          <w:szCs w:val="30"/>
          <w14:ligatures w14:val="standardContextual"/>
        </w:rPr>
        <w:t>推进绿色低碳运输方式转型，推广使用新能源或清洁能源重型卡车，探索物联网、移动互联等覆盖运输过程全链条。</w:t>
      </w:r>
      <w:r>
        <w:rPr>
          <w:rFonts w:hint="eastAsia" w:eastAsia="方正仿宋_GBK" w:cs="Times New Roman"/>
          <w:color w:val="auto"/>
          <w:sz w:val="30"/>
          <w:szCs w:val="30"/>
          <w14:ligatures w14:val="standardContextual"/>
        </w:rPr>
        <w:t>加强与铁路运输企业对接，强化运力统筹，强化“最先和最后一公里”的接驳和集散服务，培育一批绿色运输品牌企业，切实提高煤炭运输效率。</w:t>
      </w:r>
    </w:p>
    <w:p w14:paraId="6D23C309">
      <w:pPr>
        <w:spacing w:line="580" w:lineRule="exact"/>
        <w:ind w:firstLine="0" w:firstLineChars="0"/>
        <w:jc w:val="center"/>
        <w:outlineLvl w:val="1"/>
        <w:rPr>
          <w:rFonts w:eastAsia="楷体" w:cs="Times New Roman"/>
          <w:color w:val="auto"/>
          <w:sz w:val="30"/>
          <w:szCs w:val="30"/>
        </w:rPr>
      </w:pPr>
      <w:bookmarkStart w:id="86" w:name="_Toc217274689"/>
      <w:bookmarkStart w:id="87" w:name="_Toc1628145163"/>
      <w:bookmarkStart w:id="88" w:name="_Toc338614365"/>
      <w:bookmarkStart w:id="89" w:name="_Toc34179235"/>
      <w:bookmarkStart w:id="90" w:name="_Toc701094083"/>
      <w:bookmarkStart w:id="91" w:name="_Toc2079724420"/>
      <w:r>
        <w:rPr>
          <w:rFonts w:hint="eastAsia" w:eastAsia="楷体" w:cs="Times New Roman"/>
          <w:color w:val="auto"/>
          <w:sz w:val="30"/>
          <w:szCs w:val="30"/>
        </w:rPr>
        <w:t>第三节  培育壮大新能源产业集群</w:t>
      </w:r>
      <w:bookmarkEnd w:id="86"/>
      <w:bookmarkEnd w:id="87"/>
      <w:bookmarkEnd w:id="88"/>
      <w:bookmarkEnd w:id="89"/>
      <w:bookmarkEnd w:id="90"/>
      <w:bookmarkEnd w:id="91"/>
    </w:p>
    <w:p w14:paraId="0D5D202C">
      <w:pPr>
        <w:snapToGrid w:val="0"/>
        <w:spacing w:line="580" w:lineRule="exact"/>
        <w:ind w:firstLine="602"/>
        <w:rPr>
          <w:rFonts w:eastAsia="方正仿宋_GBK"/>
          <w:color w:val="auto"/>
          <w:sz w:val="30"/>
          <w:szCs w:val="30"/>
          <w14:ligatures w14:val="standardContextual"/>
        </w:rPr>
      </w:pPr>
      <w:r>
        <w:rPr>
          <w:rFonts w:hint="eastAsia" w:eastAsia="方正仿宋_GBK"/>
          <w:b/>
          <w:bCs/>
          <w:color w:val="auto"/>
          <w:sz w:val="30"/>
          <w:szCs w:val="30"/>
          <w14:ligatures w14:val="standardContextual"/>
        </w:rPr>
        <w:t>系统构建</w:t>
      </w:r>
      <w:r>
        <w:rPr>
          <w:rFonts w:hint="eastAsia" w:eastAsia="方正仿宋_GBK" w:cs="Times New Roman"/>
          <w:b/>
          <w:bCs/>
          <w:color w:val="auto"/>
          <w:sz w:val="30"/>
          <w:szCs w:val="30"/>
          <w14:ligatures w14:val="standardContextual"/>
        </w:rPr>
        <w:t>多能互补并举的新能源基地。</w:t>
      </w:r>
      <w:r>
        <w:rPr>
          <w:rFonts w:hint="eastAsia" w:eastAsia="方正仿宋_GBK"/>
          <w:color w:val="auto"/>
          <w:sz w:val="30"/>
          <w:szCs w:val="30"/>
          <w14:ligatures w14:val="standardContextual"/>
        </w:rPr>
        <w:t>加快推进晋北采煤沉陷区新能源基地建设，系统布局集中式光伏电</w:t>
      </w:r>
      <w:r>
        <w:rPr>
          <w:rFonts w:hint="eastAsia" w:eastAsia="方正仿宋_GBK" w:cs="Times New Roman"/>
          <w:color w:val="auto"/>
          <w:sz w:val="30"/>
          <w:szCs w:val="30"/>
          <w14:ligatures w14:val="standardContextual"/>
        </w:rPr>
        <w:t>站，合理安排项目建设时序。同步推进送出通道和区域电网建设，打造光伏就地消纳与外送并举的输配电网络。谋划布局飞轮、电化学等储能电站，形成多种储能形式并行的储能产业集群。积极促成飞轮储能、柔性储能系统集成、全钒液流储能等配套制造业项目落地，打造50亿级的储能上游制造产业集群，鼓励煤企与新能源企业合作建设储能电站。推动光伏电站与储能设施、智能微电网协同建设，鼓励沉陷区、厂房屋顶、城镇空闲地</w:t>
      </w:r>
      <w:r>
        <w:rPr>
          <w:rFonts w:hint="eastAsia" w:eastAsia="方正仿宋_GBK"/>
          <w:color w:val="auto"/>
          <w:sz w:val="30"/>
          <w:szCs w:val="30"/>
          <w14:ligatures w14:val="standardContextual"/>
        </w:rPr>
        <w:t>块全域化开发，逐步形成集中式与分布式协同、多能互补并举的新能源基地格局。</w:t>
      </w:r>
    </w:p>
    <w:p w14:paraId="0C0ECC2B">
      <w:pPr>
        <w:snapToGrid w:val="0"/>
        <w:spacing w:line="580" w:lineRule="exact"/>
        <w:ind w:firstLine="602"/>
        <w:rPr>
          <w:rFonts w:eastAsia="方正仿宋_GBK"/>
          <w:color w:val="auto"/>
          <w:sz w:val="30"/>
          <w:szCs w:val="30"/>
          <w14:ligatures w14:val="standardContextual"/>
        </w:rPr>
      </w:pPr>
      <w:r>
        <w:rPr>
          <w:rFonts w:hint="eastAsia" w:eastAsia="方正仿宋_GBK"/>
          <w:b/>
          <w:bCs/>
          <w:color w:val="auto"/>
          <w:sz w:val="30"/>
          <w:szCs w:val="30"/>
          <w14:ligatures w14:val="standardContextual"/>
        </w:rPr>
        <w:t>推动新能源产业链式发展。</w:t>
      </w:r>
      <w:r>
        <w:rPr>
          <w:rFonts w:hint="eastAsia" w:eastAsia="方正仿宋_GBK"/>
          <w:color w:val="auto"/>
          <w:sz w:val="30"/>
          <w:szCs w:val="30"/>
          <w14:ligatures w14:val="standardContextual"/>
        </w:rPr>
        <w:t>立足晋北能源基地战略定位，统筹推进新能源开发利用与产业链配套协同，加快推进新能源汇集站及送出通道建设，推动装备制造、储能电池制造、光伏组件装备制造和智慧运维等产业协同发展。强化龙头带动与链群协同，积极引进国内新能源装备制造、储能电池等领域龙头企业落地布局，推动新能源产业链上下游企业集聚发展。科学制定储能发展目标和时序，结合新能源大规模接入和电网调节需求，优化布局电网侧、用户侧和源网荷储一体化储能项目，提升新能源消纳与系统调节能力。</w:t>
      </w:r>
    </w:p>
    <w:p w14:paraId="166A4526">
      <w:pPr>
        <w:snapToGrid w:val="0"/>
        <w:spacing w:line="580" w:lineRule="exact"/>
        <w:ind w:firstLine="602"/>
        <w:rPr>
          <w:rFonts w:eastAsia="楷体" w:cs="Times New Roman"/>
          <w:color w:val="auto"/>
          <w:sz w:val="30"/>
          <w:szCs w:val="30"/>
        </w:rPr>
      </w:pPr>
      <w:r>
        <w:rPr>
          <w:rFonts w:hint="eastAsia" w:eastAsia="方正仿宋_GBK"/>
          <w:b/>
          <w:bCs/>
          <w:color w:val="auto"/>
          <w:sz w:val="30"/>
          <w:szCs w:val="30"/>
          <w14:ligatures w14:val="standardContextual"/>
        </w:rPr>
        <w:t>培育壮大新能源光伏产业链。</w:t>
      </w:r>
      <w:r>
        <w:rPr>
          <w:rFonts w:hint="eastAsia" w:eastAsia="方正仿宋_GBK"/>
          <w:color w:val="auto"/>
          <w:sz w:val="30"/>
          <w:szCs w:val="30"/>
          <w14:ligatures w14:val="standardContextual"/>
        </w:rPr>
        <w:t>统筹推进光伏及相关新能源产业集聚发展，重点引进光伏组件、风电叶片、逆变器等装备制造及组装项目，带动储能电池制造、光伏组件装备制造和智慧运维等产业协同发展。开展光伏高效运维及沉陷区适应性光伏设计等关键技术攻关，推广智能跟踪支架、高效组件、农光互补等新型应用模式，加快建设一批标志性、先导性</w:t>
      </w:r>
      <w:r>
        <w:rPr>
          <w:rFonts w:hint="eastAsia" w:eastAsia="方正仿宋_GBK"/>
          <w:color w:val="auto"/>
          <w:sz w:val="30"/>
          <w:szCs w:val="30"/>
          <w:lang w:val="en-US" w:eastAsia="zh-CN"/>
          <w14:ligatures w14:val="standardContextual"/>
        </w:rPr>
        <w:t>标杆</w:t>
      </w:r>
      <w:r>
        <w:rPr>
          <w:rFonts w:hint="eastAsia" w:eastAsia="方正仿宋_GBK"/>
          <w:color w:val="auto"/>
          <w:sz w:val="30"/>
          <w:szCs w:val="30"/>
          <w14:ligatures w14:val="standardContextual"/>
        </w:rPr>
        <w:t>工程。统筹生态修复治理与废弃煤矿资源利用，鼓励在采煤沉陷区及退出煤矿的工业广场、排土场、巷道等地上地下空间发展新能源、储能和林草碳汇，支持煤炭、煤电与新能源联营发展和优化组合，提升矿区多能互补水平和可持续发展能力。</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1E174806">
        <w:tc>
          <w:tcPr>
            <w:tcW w:w="8296" w:type="dxa"/>
          </w:tcPr>
          <w:p w14:paraId="4AEC7C72">
            <w:pPr>
              <w:widowControl/>
              <w:topLinePunct/>
              <w:adjustRightInd w:val="0"/>
              <w:snapToGrid w:val="0"/>
              <w:spacing w:line="500" w:lineRule="exact"/>
              <w:ind w:firstLine="0" w:firstLineChars="0"/>
              <w:jc w:val="center"/>
              <w:rPr>
                <w:rFonts w:eastAsia="Times New Roman" w:cs="Times New Roman"/>
                <w:color w:val="auto"/>
                <w:kern w:val="0"/>
                <w:sz w:val="28"/>
                <w:szCs w:val="28"/>
              </w:rPr>
            </w:pPr>
            <w:r>
              <w:rPr>
                <w:rFonts w:hint="eastAsia" w:eastAsia="方正黑体_GBK" w:cs="Times New Roman"/>
                <w:color w:val="auto"/>
                <w:kern w:val="0"/>
                <w:sz w:val="28"/>
                <w:szCs w:val="28"/>
              </w:rPr>
              <w:t>专栏1 储能项目建设</w:t>
            </w:r>
          </w:p>
          <w:p w14:paraId="536E9222">
            <w:pPr>
              <w:widowControl/>
              <w:spacing w:line="500" w:lineRule="exact"/>
              <w:ind w:firstLine="560"/>
              <w:rPr>
                <w:rFonts w:eastAsia="Times New Roman" w:cs="Times New Roman"/>
                <w:color w:val="auto"/>
                <w:kern w:val="0"/>
                <w:sz w:val="30"/>
                <w:szCs w:val="30"/>
              </w:rPr>
            </w:pPr>
            <w:r>
              <w:rPr>
                <w:rFonts w:hint="eastAsia" w:eastAsia="方正仿宋_GBK" w:cs="Times New Roman"/>
                <w:color w:val="auto"/>
                <w:kern w:val="0"/>
                <w:sz w:val="28"/>
                <w:szCs w:val="28"/>
                <w:lang w:bidi="ar"/>
              </w:rPr>
              <w:t>加快推动云冈合邦200MW/400MWh储能电站项目、碳达100MW/50.43MWh飞轮储能项目、华建泰合500MW/1000MWh电池储能系统项目、国宁时代华电大同热电储能工程</w:t>
            </w:r>
            <w:r>
              <w:rPr>
                <w:rFonts w:hint="eastAsia" w:eastAsia="方正仿宋_GBK" w:cs="Times New Roman"/>
                <w:color w:val="auto"/>
                <w:kern w:val="0"/>
                <w:sz w:val="28"/>
                <w:szCs w:val="28"/>
                <w:lang w:eastAsia="zh-CN" w:bidi="ar"/>
              </w:rPr>
              <w:t>（</w:t>
            </w:r>
            <w:r>
              <w:rPr>
                <w:rFonts w:hint="eastAsia" w:eastAsia="方正仿宋_GBK" w:cs="Times New Roman"/>
                <w:color w:val="auto"/>
                <w:kern w:val="0"/>
                <w:sz w:val="28"/>
                <w:szCs w:val="28"/>
                <w:lang w:val="en-US" w:eastAsia="zh-CN" w:bidi="ar"/>
              </w:rPr>
              <w:t>二期</w:t>
            </w:r>
            <w:r>
              <w:rPr>
                <w:rFonts w:hint="eastAsia" w:eastAsia="方正仿宋_GBK" w:cs="Times New Roman"/>
                <w:color w:val="auto"/>
                <w:kern w:val="0"/>
                <w:sz w:val="28"/>
                <w:szCs w:val="28"/>
                <w:lang w:eastAsia="zh-CN" w:bidi="ar"/>
              </w:rPr>
              <w:t>）</w:t>
            </w:r>
            <w:r>
              <w:rPr>
                <w:rFonts w:hint="eastAsia" w:eastAsia="方正仿宋_GBK" w:cs="Times New Roman"/>
                <w:color w:val="auto"/>
                <w:kern w:val="0"/>
                <w:sz w:val="28"/>
                <w:szCs w:val="28"/>
                <w:lang w:bidi="ar"/>
              </w:rPr>
              <w:t>。</w:t>
            </w:r>
          </w:p>
        </w:tc>
      </w:tr>
    </w:tbl>
    <w:p w14:paraId="26F8322E">
      <w:pPr>
        <w:pStyle w:val="14"/>
        <w:spacing w:line="240" w:lineRule="auto"/>
        <w:ind w:firstLine="480"/>
        <w:rPr>
          <w:color w:val="auto"/>
        </w:rPr>
      </w:pPr>
    </w:p>
    <w:p w14:paraId="0988171C">
      <w:pPr>
        <w:spacing w:line="580" w:lineRule="exact"/>
        <w:ind w:firstLine="0" w:firstLineChars="0"/>
        <w:jc w:val="center"/>
        <w:outlineLvl w:val="1"/>
        <w:rPr>
          <w:rFonts w:eastAsia="楷体" w:cs="Times New Roman"/>
          <w:color w:val="auto"/>
          <w:sz w:val="30"/>
          <w:szCs w:val="30"/>
        </w:rPr>
      </w:pPr>
      <w:bookmarkStart w:id="92" w:name="_Toc45481892"/>
      <w:bookmarkStart w:id="93" w:name="_Toc259968005"/>
      <w:r>
        <w:rPr>
          <w:rFonts w:hint="eastAsia" w:eastAsia="楷体" w:cs="Times New Roman"/>
          <w:color w:val="auto"/>
          <w:sz w:val="30"/>
          <w:szCs w:val="30"/>
        </w:rPr>
        <w:t>第四节  绿电赋能构建源荷直连的电力新生态</w:t>
      </w:r>
      <w:bookmarkEnd w:id="92"/>
      <w:bookmarkEnd w:id="93"/>
    </w:p>
    <w:p w14:paraId="6E3F4C6C">
      <w:pPr>
        <w:snapToGrid w:val="0"/>
        <w:spacing w:line="580" w:lineRule="exact"/>
        <w:ind w:firstLine="602"/>
        <w:rPr>
          <w:rFonts w:eastAsia="方正仿宋_GBK"/>
          <w:color w:val="auto"/>
          <w:sz w:val="30"/>
          <w:szCs w:val="30"/>
          <w14:ligatures w14:val="standardContextual"/>
        </w:rPr>
      </w:pPr>
      <w:r>
        <w:rPr>
          <w:rFonts w:hint="eastAsia" w:eastAsia="方正仿宋_GBK"/>
          <w:b/>
          <w:bCs/>
          <w:color w:val="auto"/>
          <w:sz w:val="30"/>
          <w:szCs w:val="30"/>
          <w14:ligatures w14:val="standardContextual"/>
        </w:rPr>
        <w:t>推动绿电直连与绿电园区建设。</w:t>
      </w:r>
      <w:r>
        <w:rPr>
          <w:rFonts w:hint="eastAsia" w:eastAsia="方正仿宋_GBK"/>
          <w:color w:val="auto"/>
          <w:sz w:val="30"/>
          <w:szCs w:val="30"/>
          <w14:ligatures w14:val="standardContextual"/>
        </w:rPr>
        <w:t>依托云冈区在风电、光伏、生物质能等领域资源优势，稳步扩大绿电供给规模，推动可再生能源清洁电力直接服务产业发展。</w:t>
      </w:r>
      <w:r>
        <w:rPr>
          <w:rFonts w:hint="eastAsia" w:eastAsia="方正仿宋_GBK"/>
          <w:color w:val="auto"/>
          <w:sz w:val="30"/>
          <w:szCs w:val="30"/>
          <w:lang w:val="en-US" w:eastAsia="zh-CN"/>
          <w14:ligatures w14:val="standardContextual"/>
        </w:rPr>
        <w:t>深化</w:t>
      </w:r>
      <w:r>
        <w:rPr>
          <w:rFonts w:hint="eastAsia" w:eastAsia="方正仿宋_GBK"/>
          <w:color w:val="auto"/>
          <w:sz w:val="30"/>
          <w:szCs w:val="30"/>
          <w14:ligatures w14:val="standardContextual"/>
        </w:rPr>
        <w:t>能源革命，持续推进电力市场化建设，以采煤沉陷区光伏基地为依托，统筹园区能源供给、产业集聚与空间承载，布局建设并网型、离网型绿电直连项目，率先在工业园区、数字产业园和重点负荷企业实现绿电直供。推进电、热、储能等多能互补的绿电园区建设，支持高耗能企业、数据中心和数字产业园率先打造零碳</w:t>
      </w:r>
      <w:r>
        <w:rPr>
          <w:rFonts w:hint="eastAsia" w:eastAsia="方正仿宋_GBK"/>
          <w:color w:val="auto"/>
          <w:sz w:val="30"/>
          <w:szCs w:val="30"/>
          <w:lang w:val="en-US" w:eastAsia="zh-CN"/>
          <w14:ligatures w14:val="standardContextual"/>
        </w:rPr>
        <w:t>园</w:t>
      </w:r>
      <w:r>
        <w:rPr>
          <w:rFonts w:hint="eastAsia" w:eastAsia="方正仿宋_GBK"/>
          <w:color w:val="auto"/>
          <w:sz w:val="30"/>
          <w:szCs w:val="30"/>
          <w14:ligatures w14:val="standardContextual"/>
        </w:rPr>
        <w:t>区，形成可复制可推广的低碳能源转型新模式。</w:t>
      </w:r>
    </w:p>
    <w:p w14:paraId="2ABEF5ED">
      <w:pPr>
        <w:snapToGrid w:val="0"/>
        <w:spacing w:line="580" w:lineRule="exact"/>
        <w:ind w:firstLine="602"/>
        <w:rPr>
          <w:rFonts w:eastAsia="方正仿宋_GBK"/>
          <w:color w:val="auto"/>
          <w:sz w:val="30"/>
          <w:szCs w:val="30"/>
          <w14:ligatures w14:val="standardContextual"/>
        </w:rPr>
      </w:pPr>
      <w:r>
        <w:rPr>
          <w:rFonts w:hint="eastAsia" w:eastAsia="方正仿宋_GBK"/>
          <w:b/>
          <w:bCs/>
          <w:color w:val="auto"/>
          <w:sz w:val="30"/>
          <w:szCs w:val="30"/>
          <w14:ligatures w14:val="standardContextual"/>
        </w:rPr>
        <w:t>打造多能互补的新型能源体系。</w:t>
      </w:r>
      <w:r>
        <w:rPr>
          <w:rFonts w:hint="eastAsia" w:eastAsia="方正仿宋_GBK"/>
          <w:color w:val="auto"/>
          <w:sz w:val="30"/>
          <w:szCs w:val="30"/>
          <w14:ligatures w14:val="standardContextual"/>
        </w:rPr>
        <w:t>依托晋北采煤沉陷区新能源基地和云冈合邦储能电站，统筹布局新能源发电、储能调节、电网支撑和负荷响应等环节，构建多能协同、高效运行的综合能源体系。推动园区级源网荷储一体化和微电网建设，探索多能互补、智能调度的运行机制。推动工程机械、园区物流车辆替代应用，提升新能源就地消纳与系统调节能力。</w:t>
      </w:r>
    </w:p>
    <w:p w14:paraId="46DA0C87">
      <w:pPr>
        <w:snapToGrid w:val="0"/>
        <w:spacing w:line="580" w:lineRule="exact"/>
        <w:ind w:firstLine="602"/>
        <w:rPr>
          <w:rFonts w:eastAsia="方正仿宋_GBK"/>
          <w:color w:val="auto"/>
          <w:sz w:val="30"/>
          <w:szCs w:val="30"/>
          <w14:ligatures w14:val="standardContextual"/>
        </w:rPr>
      </w:pPr>
      <w:r>
        <w:rPr>
          <w:rFonts w:hint="eastAsia" w:eastAsia="方正仿宋_GBK"/>
          <w:b/>
          <w:bCs/>
          <w:color w:val="auto"/>
          <w:sz w:val="30"/>
          <w:szCs w:val="30"/>
          <w14:ligatures w14:val="standardContextual"/>
        </w:rPr>
        <w:t>推动电算协同深度耦合。</w:t>
      </w:r>
      <w:r>
        <w:rPr>
          <w:rFonts w:hint="eastAsia" w:eastAsia="方正仿宋_GBK" w:cs="Times New Roman"/>
          <w:color w:val="auto"/>
          <w:sz w:val="30"/>
          <w:szCs w:val="30"/>
          <w14:ligatures w14:val="standardContextual"/>
        </w:rPr>
        <w:t>充分发挥风光绿电资源和优势，</w:t>
      </w:r>
      <w:r>
        <w:rPr>
          <w:rFonts w:hint="eastAsia" w:eastAsia="方正仿宋_GBK"/>
          <w:color w:val="auto"/>
          <w:sz w:val="30"/>
          <w:szCs w:val="30"/>
          <w14:ligatures w14:val="standardContextual"/>
        </w:rPr>
        <w:t>先导布局一批关联性强、带动作用大的关键项目，</w:t>
      </w:r>
      <w:r>
        <w:rPr>
          <w:rFonts w:hint="eastAsia" w:eastAsia="方正仿宋_GBK" w:cs="Times New Roman"/>
          <w:color w:val="auto"/>
          <w:sz w:val="30"/>
          <w:szCs w:val="30"/>
          <w14:ligatures w14:val="standardContextual"/>
        </w:rPr>
        <w:t>谋划布局低碳智算中心，优先服务AI训练、政务云和工业互联网等高算力需求场景。</w:t>
      </w:r>
      <w:r>
        <w:rPr>
          <w:rFonts w:hint="eastAsia" w:eastAsia="方正仿宋_GBK"/>
          <w:color w:val="auto"/>
          <w:sz w:val="30"/>
          <w:szCs w:val="30"/>
          <w14:ligatures w14:val="standardContextual"/>
        </w:rPr>
        <w:t>鼓励本地企业围绕服务器维护、数据标注、运维外包等发展算力配套服务，推动本地电力设备、储能系统企业与算力中心服务商协同研发，提供定制化能源装备和智能电网解决方案。探索与京津冀、长三角地区绿色制造企业合作，打造面向全国的零碳产业配套基地，提升云冈绿电在区域产业链中的影响力。</w:t>
      </w:r>
    </w:p>
    <w:p w14:paraId="5F91C6A4">
      <w:pPr>
        <w:pStyle w:val="14"/>
        <w:spacing w:line="580" w:lineRule="exact"/>
        <w:ind w:firstLine="602"/>
        <w:rPr>
          <w:rFonts w:eastAsia="方正仿宋_GBK"/>
          <w:color w:val="auto"/>
          <w:sz w:val="30"/>
          <w:szCs w:val="30"/>
          <w14:ligatures w14:val="standardContextual"/>
        </w:rPr>
      </w:pPr>
      <w:r>
        <w:rPr>
          <w:rFonts w:hint="eastAsia" w:eastAsia="方正仿宋_GBK"/>
          <w:b/>
          <w:bCs/>
          <w:color w:val="auto"/>
          <w:sz w:val="30"/>
          <w:szCs w:val="30"/>
          <w14:ligatures w14:val="standardContextual"/>
        </w:rPr>
        <w:t>拓展区域能源合作发展空间。</w:t>
      </w:r>
      <w:r>
        <w:rPr>
          <w:rFonts w:hint="eastAsia" w:eastAsia="方正仿宋_GBK"/>
          <w:color w:val="auto"/>
          <w:sz w:val="30"/>
          <w:szCs w:val="30"/>
          <w14:ligatures w14:val="standardContextual"/>
        </w:rPr>
        <w:t>依托新能源基地优势，推动与大同市主城区、经开区及周边县区在电网互联、绿电共享和储能调节方面协同联动。以大同特高压通道为核心，建设跨区输电通道和区域性绿电直供走廊，扩大同电外输规模，建立面向京津冀地区重点工业园区和公共服务领域绿电供应协调机制。加强与周边算力中心集聚区协作，加快</w:t>
      </w:r>
      <w:r>
        <w:rPr>
          <w:rFonts w:hint="eastAsia" w:eastAsia="方正仿宋_GBK" w:cs="Times New Roman"/>
          <w:color w:val="auto"/>
          <w:sz w:val="30"/>
          <w:szCs w:val="30"/>
          <w14:ligatures w14:val="standardContextual"/>
        </w:rPr>
        <w:t>5G</w:t>
      </w:r>
      <w:r>
        <w:rPr>
          <w:rFonts w:hint="eastAsia" w:eastAsia="方正仿宋_GBK"/>
          <w:color w:val="auto"/>
          <w:sz w:val="30"/>
          <w:szCs w:val="30"/>
          <w14:ligatures w14:val="standardContextual"/>
        </w:rPr>
        <w:t>网络、数据存储与传输设施建设，提升区域服务算力中心能力。</w:t>
      </w:r>
    </w:p>
    <w:p w14:paraId="53CC4729">
      <w:pPr>
        <w:spacing w:line="580" w:lineRule="exact"/>
        <w:ind w:firstLine="600"/>
        <w:rPr>
          <w:rFonts w:eastAsia="方正仿宋_GBK"/>
          <w:color w:val="auto"/>
          <w:sz w:val="30"/>
          <w:szCs w:val="30"/>
          <w14:ligatures w14:val="standardContextual"/>
        </w:rPr>
      </w:pPr>
      <w:r>
        <w:rPr>
          <w:rFonts w:hint="eastAsia" w:eastAsia="方正仿宋_GBK"/>
          <w:color w:val="auto"/>
          <w:sz w:val="30"/>
          <w:szCs w:val="30"/>
          <w14:ligatures w14:val="standardContextual"/>
        </w:rPr>
        <w:br w:type="page"/>
      </w:r>
    </w:p>
    <w:bookmarkEnd w:id="66"/>
    <w:bookmarkEnd w:id="67"/>
    <w:bookmarkEnd w:id="68"/>
    <w:p w14:paraId="6435551D">
      <w:pPr>
        <w:pStyle w:val="61"/>
        <w:spacing w:before="156" w:beforeLines="50" w:after="156" w:afterLines="50" w:line="580" w:lineRule="exact"/>
        <w:ind w:firstLine="0" w:firstLineChars="0"/>
        <w:jc w:val="center"/>
        <w:rPr>
          <w:rFonts w:ascii="Times New Roman" w:hAnsi="Times New Roman" w:eastAsia="方正黑体_GBK" w:cs="方正黑体_GBK"/>
          <w:color w:val="auto"/>
        </w:rPr>
      </w:pPr>
      <w:bookmarkStart w:id="94" w:name="_Toc1300522037"/>
      <w:bookmarkStart w:id="95" w:name="_Toc2057464159"/>
      <w:bookmarkStart w:id="96" w:name="_Toc718992464"/>
      <w:bookmarkStart w:id="97" w:name="_Toc366778941"/>
      <w:bookmarkStart w:id="98" w:name="_Toc2132622484"/>
      <w:bookmarkStart w:id="99" w:name="_Toc721064294"/>
      <w:bookmarkStart w:id="100" w:name="_Toc1367158679"/>
      <w:bookmarkStart w:id="101" w:name="_Toc872232870"/>
      <w:r>
        <w:rPr>
          <w:rFonts w:hint="eastAsia" w:ascii="Times New Roman" w:hAnsi="Times New Roman" w:eastAsia="方正黑体_GBK" w:cs="方正黑体_GBK"/>
          <w:color w:val="auto"/>
        </w:rPr>
        <w:t>第三章 持续推动产业升级 构建云冈特色优势产业集群</w:t>
      </w:r>
      <w:bookmarkEnd w:id="94"/>
      <w:bookmarkEnd w:id="95"/>
    </w:p>
    <w:p w14:paraId="318D845B">
      <w:pPr>
        <w:spacing w:line="580" w:lineRule="exact"/>
        <w:ind w:firstLine="600"/>
        <w:rPr>
          <w:rFonts w:eastAsia="方正仿宋_GBK" w:cs="方正仿宋_GBK"/>
          <w:color w:val="auto"/>
          <w:sz w:val="30"/>
          <w:szCs w:val="30"/>
        </w:rPr>
      </w:pPr>
      <w:r>
        <w:rPr>
          <w:rFonts w:hint="eastAsia" w:eastAsia="方正仿宋_GBK" w:cs="方正仿宋_GBK"/>
          <w:color w:val="auto"/>
          <w:sz w:val="30"/>
          <w:szCs w:val="30"/>
        </w:rPr>
        <w:t>立足云冈产业发展基础优势，坚持延链、补链、强链，加快推动关键核心技术研发、拳头产品培育和领军企业发展，协同推进传统产业转型升级、新兴产业扩容增量和未来产业前瞻布局，加快构建特色鲜明、优势突出、竞争力强、多元支撑的现代化产业集群，保持制造业合理比重，夯实全区经济高质量发展根基。</w:t>
      </w:r>
    </w:p>
    <w:p w14:paraId="62753A99">
      <w:pPr>
        <w:spacing w:line="580" w:lineRule="exact"/>
        <w:ind w:firstLine="0" w:firstLineChars="0"/>
        <w:jc w:val="center"/>
        <w:outlineLvl w:val="1"/>
        <w:rPr>
          <w:rFonts w:eastAsia="楷体"/>
          <w:color w:val="auto"/>
          <w:sz w:val="30"/>
          <w:szCs w:val="30"/>
        </w:rPr>
      </w:pPr>
      <w:bookmarkStart w:id="102" w:name="_Toc1006954849"/>
      <w:bookmarkStart w:id="103" w:name="_Toc1878092038"/>
      <w:bookmarkStart w:id="104" w:name="_Toc865505885"/>
      <w:bookmarkStart w:id="105" w:name="_Toc968469180"/>
      <w:bookmarkStart w:id="106" w:name="_Toc1018436319"/>
      <w:bookmarkStart w:id="107" w:name="_Toc785316693"/>
      <w:r>
        <w:rPr>
          <w:rFonts w:hint="eastAsia" w:eastAsia="楷体" w:cs="Times New Roman"/>
          <w:color w:val="auto"/>
          <w:sz w:val="30"/>
          <w:szCs w:val="30"/>
        </w:rPr>
        <w:t xml:space="preserve">第一节  </w:t>
      </w:r>
      <w:bookmarkEnd w:id="102"/>
      <w:bookmarkEnd w:id="103"/>
      <w:bookmarkEnd w:id="104"/>
      <w:bookmarkEnd w:id="105"/>
      <w:r>
        <w:rPr>
          <w:rFonts w:hint="eastAsia" w:eastAsia="楷体" w:cs="Times New Roman"/>
          <w:color w:val="auto"/>
          <w:sz w:val="30"/>
          <w:szCs w:val="30"/>
        </w:rPr>
        <w:t>改造提升传统产业</w:t>
      </w:r>
      <w:bookmarkEnd w:id="106"/>
      <w:bookmarkEnd w:id="107"/>
    </w:p>
    <w:p w14:paraId="5F19583F">
      <w:pPr>
        <w:spacing w:line="580" w:lineRule="exact"/>
        <w:ind w:firstLine="602"/>
        <w:rPr>
          <w:rFonts w:eastAsia="方正仿宋_GBK" w:cs="方正仿宋_GBK"/>
          <w:b/>
          <w:bCs/>
          <w:color w:val="auto"/>
          <w:sz w:val="30"/>
          <w:szCs w:val="30"/>
        </w:rPr>
      </w:pPr>
      <w:r>
        <w:rPr>
          <w:rFonts w:hint="eastAsia" w:eastAsia="方正仿宋_GBK" w:cs="方正仿宋_GBK"/>
          <w:b/>
          <w:bCs/>
          <w:color w:val="auto"/>
          <w:sz w:val="30"/>
          <w:szCs w:val="30"/>
        </w:rPr>
        <w:t>以智能化改造提升传统产业。</w:t>
      </w:r>
      <w:r>
        <w:rPr>
          <w:rFonts w:hint="eastAsia" w:eastAsia="方正仿宋_GBK" w:cs="方正仿宋_GBK"/>
          <w:color w:val="auto"/>
          <w:sz w:val="30"/>
          <w:szCs w:val="30"/>
        </w:rPr>
        <w:t>发展智能制造、绿色制造、服务型制造，实施大同北方天力增压技术有限公司智能化生产线升级、大同市正和能源有限公司重介选煤技术改造、山西柴油机工业有限公司矿卡动力研发等重点项目，推动生产线智能化升级，建设一批数字车间与智能工厂。以绿色制造为导向，加快山西大同千万吨级煤矸石综合利用、粉煤灰系列综合利用、云冈经开区绿电园区等项目建设，打造绿色工厂和绿色园区。夯实工业互联网基础，推进矿井生产视频全覆盖安全管控、煤矿智能化建设、“双碳中心”碳资产管理平台等项目实施，推动企业上云用数。拓展服务型制造，依托山西海信产业园赋能平台等项目，发展网络化协同与服务化延伸。通过项目带动、平台赋能，推动大中小企业融通发展，培育更多专精特新企业，构建智能制造、绿色制造与服务型制造融合发展的产业升级体系。</w:t>
      </w:r>
    </w:p>
    <w:p w14:paraId="24921022">
      <w:pPr>
        <w:spacing w:line="580" w:lineRule="exact"/>
        <w:ind w:firstLine="602"/>
        <w:rPr>
          <w:rFonts w:eastAsia="方正仿宋_GBK" w:cs="方正仿宋_GBK"/>
          <w:color w:val="auto"/>
          <w:sz w:val="30"/>
          <w:szCs w:val="30"/>
        </w:rPr>
      </w:pPr>
      <w:r>
        <w:rPr>
          <w:rFonts w:hint="eastAsia" w:eastAsia="方正仿宋_GBK" w:cs="方正仿宋_GBK"/>
          <w:b/>
          <w:bCs/>
          <w:color w:val="auto"/>
          <w:sz w:val="30"/>
          <w:szCs w:val="30"/>
        </w:rPr>
        <w:t>推动煤机产业迈向价值链中高端。</w:t>
      </w:r>
      <w:r>
        <w:rPr>
          <w:rFonts w:hint="eastAsia" w:eastAsia="方正仿宋_GBK" w:cs="方正仿宋_GBK"/>
          <w:color w:val="auto"/>
          <w:sz w:val="30"/>
          <w:szCs w:val="30"/>
        </w:rPr>
        <w:t>立足服务晋陕蒙能源“金三角”广阔市场，推动煤机装备向智能化、成套化、服务化升级。加快突破大型露天矿山和深井采矿装备前沿技术，重点发展智能综采工作面成套设备、快速智能掘进系统、矿用防爆新能源车辆、矿山机器人等。支持企业开展</w:t>
      </w:r>
      <w:r>
        <w:rPr>
          <w:rFonts w:hint="eastAsia" w:eastAsia="方正仿宋_GBK" w:cs="Times New Roman"/>
          <w:color w:val="auto"/>
          <w:sz w:val="30"/>
          <w:szCs w:val="30"/>
        </w:rPr>
        <w:t>5G</w:t>
      </w:r>
      <w:r>
        <w:rPr>
          <w:rFonts w:hint="eastAsia" w:eastAsia="方正仿宋_GBK" w:cs="方正仿宋_GBK"/>
          <w:color w:val="auto"/>
          <w:sz w:val="30"/>
          <w:szCs w:val="30"/>
        </w:rPr>
        <w:t>+智能煤机应用</w:t>
      </w:r>
      <w:r>
        <w:rPr>
          <w:rFonts w:hint="eastAsia" w:eastAsia="方正仿宋_GBK" w:cs="方正仿宋_GBK"/>
          <w:color w:val="auto"/>
          <w:sz w:val="30"/>
          <w:szCs w:val="30"/>
          <w:lang w:val="en-US" w:eastAsia="zh-CN"/>
        </w:rPr>
        <w:t>探索</w:t>
      </w:r>
      <w:r>
        <w:rPr>
          <w:rFonts w:hint="eastAsia" w:eastAsia="方正仿宋_GBK" w:cs="方正仿宋_GBK"/>
          <w:color w:val="auto"/>
          <w:sz w:val="30"/>
          <w:szCs w:val="30"/>
        </w:rPr>
        <w:t>，开发具备自主导航、智能感知、远程遥控功能的无人化采矿装备，突破精准地质探测、惯导定位、自动支护、智能掘进、远程操控等关键技术。积极发展服务型制造，拓展智能运维、远程诊断、系统集成等增值服务，实现从“卖产品”到“卖解决方案”的转变。</w:t>
      </w:r>
    </w:p>
    <w:p w14:paraId="28A5B393">
      <w:pPr>
        <w:snapToGrid w:val="0"/>
        <w:spacing w:line="580" w:lineRule="exact"/>
        <w:ind w:firstLine="602"/>
        <w:jc w:val="left"/>
        <w:rPr>
          <w:rFonts w:eastAsia="方正仿宋_GBK" w:cs="Times New Roman"/>
          <w:color w:val="auto"/>
          <w:sz w:val="30"/>
          <w:szCs w:val="30"/>
          <w14:ligatures w14:val="standardContextual"/>
        </w:rPr>
      </w:pPr>
      <w:r>
        <w:rPr>
          <w:rFonts w:hint="eastAsia" w:eastAsia="方正仿宋_GBK" w:cs="Times New Roman"/>
          <w:b/>
          <w:bCs/>
          <w:color w:val="auto"/>
          <w:sz w:val="30"/>
          <w:szCs w:val="30"/>
          <w14:ligatures w14:val="standardContextual"/>
        </w:rPr>
        <w:t>推动活性炭产业高端化发展。</w:t>
      </w:r>
      <w:r>
        <w:rPr>
          <w:rFonts w:hint="eastAsia" w:eastAsia="方正仿宋_GBK" w:cs="Times New Roman"/>
          <w:color w:val="auto"/>
          <w:sz w:val="30"/>
          <w:szCs w:val="30"/>
          <w14:ligatures w14:val="standardContextual"/>
        </w:rPr>
        <w:t>以产品高端化、产业集群化为目标，推动活性炭产业从传统吸附材料向高性能、功能化、专用化的高端炭材料领域拓展延伸。重点支持骨干企业研发超级电容炭、高性能煤基活性炭、特种浸渍炭等高端产品，推动活性炭从传统吸附材料向新能源、环保、医疗等高附加值领域延伸。鼓励企业对接科研院所，共建研发平台，攻关室内空气净化、VOCs治理、水处理专用炭等细分市场，形成差异化、功能化产品体系。积极延长产业链条，向高端装备制造、</w:t>
      </w:r>
      <w:r>
        <w:rPr>
          <w:rFonts w:eastAsia="方正仿宋_GBK" w:cs="Times New Roman"/>
          <w:color w:val="auto"/>
          <w:sz w:val="30"/>
          <w:szCs w:val="30"/>
          <w14:ligatures w14:val="standardContextual"/>
        </w:rPr>
        <w:t>VOCs</w:t>
      </w:r>
      <w:r>
        <w:rPr>
          <w:rFonts w:hint="eastAsia" w:eastAsia="方正仿宋_GBK" w:cs="Times New Roman"/>
          <w:color w:val="auto"/>
          <w:sz w:val="30"/>
          <w:szCs w:val="30"/>
          <w14:ligatures w14:val="standardContextual"/>
        </w:rPr>
        <w:t>治理整体解决方案、废弃活性炭资源化回收等服务环节拓展，探索构建“生产－使用－再生”的闭环产业链。</w:t>
      </w:r>
    </w:p>
    <w:p w14:paraId="281C3527">
      <w:pPr>
        <w:widowControl/>
        <w:spacing w:line="580" w:lineRule="exact"/>
        <w:ind w:firstLine="602"/>
        <w:jc w:val="left"/>
        <w:rPr>
          <w:rFonts w:eastAsia="方正仿宋_GBK" w:cs="方正仿宋_GBK"/>
          <w:color w:val="auto"/>
          <w:sz w:val="30"/>
          <w:szCs w:val="30"/>
        </w:rPr>
      </w:pPr>
      <w:r>
        <w:rPr>
          <w:rFonts w:hint="eastAsia" w:eastAsia="方正仿宋_GBK" w:cs="方正仿宋_GBK"/>
          <w:b/>
          <w:bCs/>
          <w:color w:val="auto"/>
          <w:sz w:val="30"/>
          <w:szCs w:val="30"/>
        </w:rPr>
        <w:t>促进传统建材绿色低碳转型。</w:t>
      </w:r>
      <w:r>
        <w:rPr>
          <w:rFonts w:ascii="方正仿宋_GBK" w:hAnsi="方正仿宋_GBK" w:eastAsia="方正仿宋_GBK" w:cs="方正仿宋_GBK"/>
          <w:color w:val="auto"/>
          <w:kern w:val="0"/>
          <w:sz w:val="32"/>
          <w:szCs w:val="32"/>
          <w:shd w:val="clear" w:color="auto" w:fill="FFFFFF"/>
          <w:lang w:bidi="ar"/>
        </w:rPr>
        <w:t>推动水泥产业实施清洁生产与节能降碳改造，</w:t>
      </w:r>
      <w:r>
        <w:rPr>
          <w:rFonts w:hint="eastAsia" w:eastAsia="方正仿宋_GBK" w:cs="方正仿宋_GBK"/>
          <w:color w:val="auto"/>
          <w:sz w:val="30"/>
          <w:szCs w:val="30"/>
        </w:rPr>
        <w:t>支持冀东水泥等企业推广水泥窑协同处置技术，提升高标号、低能耗水泥产品比重。依托山西华瑞建材等龙头企业，重点发展高端纸面石膏板、轻质抹灰石膏等优势产品，逐步向石膏基自流平砂浆、新型墙体材料等多元化、高附加值产品拓展。支持企业开展生产工艺绿色化、智能化改造，推动传统建材向绿色化、高端化、制品化方向发展。</w:t>
      </w:r>
    </w:p>
    <w:p w14:paraId="6927E545">
      <w:pPr>
        <w:spacing w:line="580" w:lineRule="exact"/>
        <w:ind w:firstLine="0" w:firstLineChars="0"/>
        <w:jc w:val="center"/>
        <w:outlineLvl w:val="1"/>
        <w:rPr>
          <w:rFonts w:eastAsia="楷体" w:cs="Times New Roman"/>
          <w:color w:val="auto"/>
          <w:sz w:val="30"/>
          <w:szCs w:val="30"/>
        </w:rPr>
      </w:pPr>
      <w:bookmarkStart w:id="108" w:name="_Toc383164789"/>
      <w:bookmarkStart w:id="109" w:name="_Toc1414546843"/>
      <w:bookmarkStart w:id="110" w:name="_Toc2144164980"/>
      <w:bookmarkStart w:id="111" w:name="_Toc21469148"/>
      <w:bookmarkStart w:id="112" w:name="_Toc1206836641"/>
      <w:r>
        <w:rPr>
          <w:rFonts w:hint="eastAsia" w:eastAsia="楷体" w:cs="Times New Roman"/>
          <w:color w:val="auto"/>
          <w:sz w:val="30"/>
          <w:szCs w:val="30"/>
        </w:rPr>
        <w:t>第二节  做大做强新兴产业</w:t>
      </w:r>
      <w:bookmarkEnd w:id="108"/>
      <w:bookmarkEnd w:id="109"/>
    </w:p>
    <w:p w14:paraId="103F9ACA">
      <w:pPr>
        <w:spacing w:line="580" w:lineRule="exact"/>
        <w:ind w:firstLine="602"/>
        <w:jc w:val="left"/>
        <w:rPr>
          <w:rFonts w:eastAsia="方正仿宋_GBK" w:cs="Times New Roman"/>
          <w:color w:val="auto"/>
          <w:sz w:val="30"/>
          <w:szCs w:val="30"/>
        </w:rPr>
      </w:pPr>
      <w:r>
        <w:rPr>
          <w:rFonts w:hint="eastAsia" w:eastAsia="方正仿宋_GBK" w:cs="Times New Roman"/>
          <w:b/>
          <w:bCs/>
          <w:color w:val="auto"/>
          <w:sz w:val="30"/>
          <w:szCs w:val="30"/>
        </w:rPr>
        <w:t>打造碳基新材料全产业链。</w:t>
      </w:r>
      <w:r>
        <w:rPr>
          <w:rFonts w:hint="eastAsia" w:eastAsia="方正仿宋_GBK" w:cs="Times New Roman"/>
          <w:color w:val="auto"/>
          <w:sz w:val="30"/>
          <w:szCs w:val="30"/>
        </w:rPr>
        <w:t>以高性能碳纤维、新型碳材料等为重点，支持华阳碳纤维做大做强，建设碳纤维产学研中试基地，攻克关键制备技术和应用技术，构建从原料处理到终端制品应用的完整产业链。拓展新材料应用领域，以高性能碳纤维、高端复合材料为主攻方向，开展精准产业链招商，重点引进和培育碳纤维织物编织、预浸料生产、复合材料制品设计制造等环节的企业，构建“原丝</w:t>
      </w:r>
      <w:r>
        <w:rPr>
          <w:rFonts w:hint="eastAsia" w:eastAsia="方正仿宋_GBK" w:cs="Times New Roman"/>
          <w:color w:val="auto"/>
          <w:sz w:val="30"/>
          <w:szCs w:val="30"/>
          <w:lang w:eastAsia="zh-CN"/>
        </w:rPr>
        <w:t>—</w:t>
      </w:r>
      <w:r>
        <w:rPr>
          <w:rFonts w:hint="eastAsia" w:eastAsia="方正仿宋_GBK" w:cs="Times New Roman"/>
          <w:color w:val="auto"/>
          <w:sz w:val="30"/>
          <w:szCs w:val="30"/>
        </w:rPr>
        <w:t>碳化</w:t>
      </w:r>
      <w:r>
        <w:rPr>
          <w:rFonts w:hint="eastAsia" w:eastAsia="方正仿宋_GBK" w:cs="Times New Roman"/>
          <w:color w:val="auto"/>
          <w:sz w:val="30"/>
          <w:szCs w:val="30"/>
          <w:lang w:eastAsia="zh-CN"/>
        </w:rPr>
        <w:t>—</w:t>
      </w:r>
      <w:r>
        <w:rPr>
          <w:rFonts w:hint="eastAsia" w:eastAsia="方正仿宋_GBK" w:cs="Times New Roman"/>
          <w:color w:val="auto"/>
          <w:sz w:val="30"/>
          <w:szCs w:val="30"/>
        </w:rPr>
        <w:t>复材</w:t>
      </w:r>
      <w:r>
        <w:rPr>
          <w:rFonts w:hint="eastAsia" w:eastAsia="方正仿宋_GBK" w:cs="Times New Roman"/>
          <w:color w:val="auto"/>
          <w:sz w:val="30"/>
          <w:szCs w:val="30"/>
          <w:lang w:eastAsia="zh-CN"/>
        </w:rPr>
        <w:t>—</w:t>
      </w:r>
      <w:r>
        <w:rPr>
          <w:rFonts w:hint="eastAsia" w:eastAsia="方正仿宋_GBK" w:cs="Times New Roman"/>
          <w:color w:val="auto"/>
          <w:sz w:val="30"/>
          <w:szCs w:val="30"/>
        </w:rPr>
        <w:t>终端产品”一体化产业链。推动碳纤维在新能源汽车轻量化部件、风力发电叶片、军用无人机壳体、高端体育器材等领域的规模化应用。</w:t>
      </w:r>
    </w:p>
    <w:p w14:paraId="20A72731">
      <w:pPr>
        <w:spacing w:line="580" w:lineRule="exact"/>
        <w:ind w:firstLine="602"/>
        <w:rPr>
          <w:rFonts w:eastAsia="方正仿宋_GBK" w:cs="方正仿宋_GBK"/>
          <w:color w:val="auto"/>
          <w:sz w:val="30"/>
          <w:szCs w:val="30"/>
        </w:rPr>
      </w:pPr>
      <w:r>
        <w:rPr>
          <w:rFonts w:hint="eastAsia" w:eastAsia="方正仿宋_GBK" w:cs="Times New Roman"/>
          <w:b/>
          <w:bCs/>
          <w:color w:val="auto"/>
          <w:sz w:val="30"/>
          <w:szCs w:val="30"/>
        </w:rPr>
        <w:t>做强高端装备制造业。</w:t>
      </w:r>
      <w:r>
        <w:rPr>
          <w:rFonts w:hint="eastAsia" w:eastAsia="方正仿宋_GBK" w:cs="方正仿宋_GBK"/>
          <w:color w:val="auto"/>
          <w:sz w:val="30"/>
          <w:szCs w:val="30"/>
        </w:rPr>
        <w:t>借鉴贝利科技发展模式，完善铸造产业体系，充分发挥中兵铸造龙头项目在精密铸造技术、军工标准等领域的优势，发展无人机、航空航天、轨道交通等高端领域所需的核心部件与结构件。积极引进硅溶胶精密铸造、定向凝固、热等静压等先进工艺，推动钛合金、高温合金、铝合金等特种材料在发动机壳体、涡轮叶片等复杂结构件上的应用与产业化进程。立足云冈对重型运输装备的迫切需求，聚焦需求频次高的零部件品类，提升驱动电机、减速器、控制系统等关键零部件的研制水平。</w:t>
      </w:r>
    </w:p>
    <w:p w14:paraId="234F8F70">
      <w:pPr>
        <w:spacing w:line="580" w:lineRule="exact"/>
        <w:ind w:firstLine="602"/>
        <w:jc w:val="left"/>
        <w:rPr>
          <w:rFonts w:eastAsia="方正仿宋_GBK" w:cs="Times New Roman"/>
          <w:color w:val="auto"/>
          <w:sz w:val="30"/>
          <w:szCs w:val="30"/>
        </w:rPr>
      </w:pPr>
      <w:r>
        <w:rPr>
          <w:rFonts w:hint="eastAsia" w:eastAsia="方正仿宋_GBK" w:cs="Times New Roman"/>
          <w:b/>
          <w:bCs/>
          <w:color w:val="auto"/>
          <w:sz w:val="30"/>
          <w:szCs w:val="30"/>
        </w:rPr>
        <w:t>做精特色消费品工业。</w:t>
      </w:r>
      <w:r>
        <w:rPr>
          <w:rFonts w:hint="eastAsia" w:eastAsia="方正仿宋_GBK" w:cs="Times New Roman"/>
          <w:color w:val="auto"/>
          <w:sz w:val="30"/>
          <w:szCs w:val="30"/>
        </w:rPr>
        <w:t>以“实尚云冈”区域公用品牌为引领，持续开展增品种、提品质、创品牌行动，培育形成一批新品、名品、精品，推动乳制品、醋、油脂等传统食品加工业提质增效。支持牧同乳业、口泉醋业、华建油脂等本地骨干企业开发高端、健康新产品，加强全程质量管控。大力发展“互联网</w:t>
      </w:r>
      <w:r>
        <w:rPr>
          <w:rFonts w:eastAsia="方正仿宋_GBK" w:cs="Times New Roman"/>
          <w:color w:val="auto"/>
          <w:sz w:val="30"/>
          <w:szCs w:val="30"/>
        </w:rPr>
        <w:t>+</w:t>
      </w:r>
      <w:r>
        <w:rPr>
          <w:rFonts w:hint="eastAsia" w:eastAsia="方正仿宋_GBK" w:cs="Times New Roman"/>
          <w:color w:val="auto"/>
          <w:sz w:val="30"/>
          <w:szCs w:val="30"/>
        </w:rPr>
        <w:t>”营销，拓展电商直播、社群营销等新模式，推动农产品由初加工向品牌化、精品化的消费终端产品转变，全面提升产业附加值与市场竞争力。</w:t>
      </w:r>
    </w:p>
    <w:p w14:paraId="77F1BFDD">
      <w:pPr>
        <w:spacing w:line="580" w:lineRule="exact"/>
        <w:ind w:firstLine="0" w:firstLineChars="0"/>
        <w:jc w:val="center"/>
        <w:outlineLvl w:val="1"/>
        <w:rPr>
          <w:rFonts w:eastAsia="楷体" w:cs="Times New Roman"/>
          <w:color w:val="auto"/>
          <w:sz w:val="30"/>
          <w:szCs w:val="30"/>
        </w:rPr>
      </w:pPr>
      <w:bookmarkStart w:id="113" w:name="_Toc1644818011"/>
      <w:bookmarkStart w:id="114" w:name="_Toc1694635017"/>
      <w:r>
        <w:rPr>
          <w:rFonts w:hint="eastAsia" w:eastAsia="楷体" w:cs="Times New Roman"/>
          <w:color w:val="auto"/>
          <w:sz w:val="30"/>
          <w:szCs w:val="30"/>
        </w:rPr>
        <w:t xml:space="preserve">第三节  </w:t>
      </w:r>
      <w:bookmarkEnd w:id="110"/>
      <w:bookmarkEnd w:id="111"/>
      <w:bookmarkEnd w:id="112"/>
      <w:bookmarkStart w:id="115" w:name="OLE_LINK46"/>
      <w:r>
        <w:rPr>
          <w:rFonts w:hint="eastAsia" w:eastAsia="楷体" w:cs="Times New Roman"/>
          <w:color w:val="auto"/>
          <w:sz w:val="30"/>
          <w:szCs w:val="30"/>
        </w:rPr>
        <w:t>发展固废资源利用产业</w:t>
      </w:r>
      <w:bookmarkEnd w:id="113"/>
      <w:bookmarkEnd w:id="114"/>
      <w:bookmarkEnd w:id="115"/>
    </w:p>
    <w:p w14:paraId="4D9E3842">
      <w:pPr>
        <w:spacing w:line="580" w:lineRule="exact"/>
        <w:ind w:firstLine="602"/>
        <w:rPr>
          <w:rFonts w:eastAsia="方正仿宋_GBK" w:cs="方正仿宋_GBK"/>
          <w:color w:val="auto"/>
          <w:sz w:val="30"/>
          <w:szCs w:val="30"/>
        </w:rPr>
      </w:pPr>
      <w:bookmarkStart w:id="116" w:name="OLE_LINK6"/>
      <w:r>
        <w:rPr>
          <w:rFonts w:hint="eastAsia" w:eastAsia="方正仿宋_GBK" w:cs="方正仿宋_GBK"/>
          <w:b/>
          <w:bCs/>
          <w:color w:val="auto"/>
          <w:sz w:val="30"/>
          <w:szCs w:val="30"/>
        </w:rPr>
        <w:t>构建协同高效的固废高值化利用产业链。</w:t>
      </w:r>
      <w:r>
        <w:rPr>
          <w:rFonts w:hint="eastAsia" w:eastAsia="方正仿宋_GBK" w:cs="方正仿宋_GBK"/>
          <w:color w:val="auto"/>
          <w:sz w:val="30"/>
          <w:szCs w:val="30"/>
        </w:rPr>
        <w:t>系统规划固废“开采/收集</w:t>
      </w:r>
      <w:r>
        <w:rPr>
          <w:rFonts w:hint="eastAsia" w:eastAsia="方正仿宋_GBK" w:cs="方正仿宋_GBK"/>
          <w:color w:val="auto"/>
          <w:sz w:val="30"/>
          <w:szCs w:val="30"/>
          <w:lang w:eastAsia="zh-CN"/>
        </w:rPr>
        <w:t>—</w:t>
      </w:r>
      <w:r>
        <w:rPr>
          <w:rFonts w:hint="eastAsia" w:eastAsia="方正仿宋_GBK" w:cs="方正仿宋_GBK"/>
          <w:color w:val="auto"/>
          <w:sz w:val="30"/>
          <w:szCs w:val="30"/>
        </w:rPr>
        <w:t>预处理</w:t>
      </w:r>
      <w:r>
        <w:rPr>
          <w:rFonts w:hint="eastAsia" w:eastAsia="方正仿宋_GBK" w:cs="方正仿宋_GBK"/>
          <w:color w:val="auto"/>
          <w:sz w:val="30"/>
          <w:szCs w:val="30"/>
          <w:lang w:eastAsia="zh-CN"/>
        </w:rPr>
        <w:t>—</w:t>
      </w:r>
      <w:r>
        <w:rPr>
          <w:rFonts w:hint="eastAsia" w:eastAsia="方正仿宋_GBK" w:cs="方正仿宋_GBK"/>
          <w:color w:val="auto"/>
          <w:sz w:val="30"/>
          <w:szCs w:val="30"/>
        </w:rPr>
        <w:t>精深加工</w:t>
      </w:r>
      <w:r>
        <w:rPr>
          <w:rFonts w:hint="eastAsia" w:eastAsia="方正仿宋_GBK" w:cs="方正仿宋_GBK"/>
          <w:color w:val="auto"/>
          <w:sz w:val="30"/>
          <w:szCs w:val="30"/>
          <w:lang w:eastAsia="zh-CN"/>
        </w:rPr>
        <w:t>—</w:t>
      </w:r>
      <w:r>
        <w:rPr>
          <w:rFonts w:hint="eastAsia" w:eastAsia="方正仿宋_GBK" w:cs="方正仿宋_GBK"/>
          <w:color w:val="auto"/>
          <w:sz w:val="30"/>
          <w:szCs w:val="30"/>
        </w:rPr>
        <w:t>高值应用”全链条路径，重点构建煤矸石“开采</w:t>
      </w:r>
      <w:r>
        <w:rPr>
          <w:rFonts w:hint="eastAsia" w:eastAsia="方正仿宋_GBK" w:cs="方正仿宋_GBK"/>
          <w:color w:val="auto"/>
          <w:sz w:val="30"/>
          <w:szCs w:val="30"/>
          <w:lang w:eastAsia="zh-CN"/>
        </w:rPr>
        <w:t>—</w:t>
      </w:r>
      <w:r>
        <w:rPr>
          <w:rFonts w:hint="eastAsia" w:eastAsia="方正仿宋_GBK" w:cs="方正仿宋_GBK"/>
          <w:color w:val="auto"/>
          <w:sz w:val="30"/>
          <w:szCs w:val="30"/>
        </w:rPr>
        <w:t>预处理</w:t>
      </w:r>
      <w:r>
        <w:rPr>
          <w:rFonts w:hint="eastAsia" w:eastAsia="方正仿宋_GBK" w:cs="方正仿宋_GBK"/>
          <w:color w:val="auto"/>
          <w:sz w:val="30"/>
          <w:szCs w:val="30"/>
          <w:lang w:eastAsia="zh-CN"/>
        </w:rPr>
        <w:t>—</w:t>
      </w:r>
      <w:r>
        <w:rPr>
          <w:rFonts w:hint="eastAsia" w:eastAsia="方正仿宋_GBK" w:cs="方正仿宋_GBK"/>
          <w:color w:val="auto"/>
          <w:sz w:val="30"/>
          <w:szCs w:val="30"/>
        </w:rPr>
        <w:t>加工</w:t>
      </w:r>
      <w:r>
        <w:rPr>
          <w:rFonts w:hint="eastAsia" w:eastAsia="方正仿宋_GBK" w:cs="方正仿宋_GBK"/>
          <w:color w:val="auto"/>
          <w:sz w:val="30"/>
          <w:szCs w:val="30"/>
          <w:lang w:eastAsia="zh-CN"/>
        </w:rPr>
        <w:t>—</w:t>
      </w:r>
      <w:r>
        <w:rPr>
          <w:rFonts w:hint="eastAsia" w:eastAsia="方正仿宋_GBK" w:cs="方正仿宋_GBK"/>
          <w:color w:val="auto"/>
          <w:sz w:val="30"/>
          <w:szCs w:val="30"/>
        </w:rPr>
        <w:t>应用”、粉煤灰“收集</w:t>
      </w:r>
      <w:r>
        <w:rPr>
          <w:rFonts w:hint="eastAsia" w:eastAsia="方正仿宋_GBK" w:cs="方正仿宋_GBK"/>
          <w:color w:val="auto"/>
          <w:sz w:val="30"/>
          <w:szCs w:val="30"/>
          <w:lang w:eastAsia="zh-CN"/>
        </w:rPr>
        <w:t>—</w:t>
      </w:r>
      <w:r>
        <w:rPr>
          <w:rFonts w:hint="eastAsia" w:eastAsia="方正仿宋_GBK" w:cs="方正仿宋_GBK"/>
          <w:color w:val="auto"/>
          <w:sz w:val="30"/>
          <w:szCs w:val="30"/>
        </w:rPr>
        <w:t>加工</w:t>
      </w:r>
      <w:r>
        <w:rPr>
          <w:rFonts w:hint="eastAsia" w:eastAsia="方正仿宋_GBK" w:cs="方正仿宋_GBK"/>
          <w:color w:val="auto"/>
          <w:sz w:val="30"/>
          <w:szCs w:val="30"/>
          <w:lang w:eastAsia="zh-CN"/>
        </w:rPr>
        <w:t>—</w:t>
      </w:r>
      <w:r>
        <w:rPr>
          <w:rFonts w:hint="eastAsia" w:eastAsia="方正仿宋_GBK" w:cs="方正仿宋_GBK"/>
          <w:color w:val="auto"/>
          <w:sz w:val="30"/>
          <w:szCs w:val="30"/>
        </w:rPr>
        <w:t>高值化应用”、脱硫石膏“回收</w:t>
      </w:r>
      <w:r>
        <w:rPr>
          <w:rFonts w:hint="eastAsia" w:eastAsia="方正仿宋_GBK" w:cs="方正仿宋_GBK"/>
          <w:color w:val="auto"/>
          <w:sz w:val="30"/>
          <w:szCs w:val="30"/>
          <w:lang w:eastAsia="zh-CN"/>
        </w:rPr>
        <w:t>—</w:t>
      </w:r>
      <w:r>
        <w:rPr>
          <w:rFonts w:hint="eastAsia" w:eastAsia="方正仿宋_GBK" w:cs="方正仿宋_GBK"/>
          <w:color w:val="auto"/>
          <w:sz w:val="30"/>
          <w:szCs w:val="30"/>
        </w:rPr>
        <w:t>加工</w:t>
      </w:r>
      <w:r>
        <w:rPr>
          <w:rFonts w:hint="eastAsia" w:eastAsia="方正仿宋_GBK" w:cs="方正仿宋_GBK"/>
          <w:color w:val="auto"/>
          <w:sz w:val="30"/>
          <w:szCs w:val="30"/>
          <w:lang w:eastAsia="zh-CN"/>
        </w:rPr>
        <w:t>—</w:t>
      </w:r>
      <w:r>
        <w:rPr>
          <w:rFonts w:hint="eastAsia" w:eastAsia="方正仿宋_GBK" w:cs="方正仿宋_GBK"/>
          <w:color w:val="auto"/>
          <w:sz w:val="30"/>
          <w:szCs w:val="30"/>
        </w:rPr>
        <w:t>应用”等完整产业链。做强资源化处理环节，重点引进和培育煤矸石制备陶粒、超细粉煤灰、高纯度石膏等高值化利用技术项目，加快推进中能建煤矸石、富凯鸿资源化利用等重点项目建成达效。完善产业配套体系，鼓励固废产生企业与利用企业建立长期稳定的供应合作机制，培育专业化固废物流运输团队，确保原料稳定供应与高效流转。</w:t>
      </w:r>
    </w:p>
    <w:bookmarkEnd w:id="116"/>
    <w:p w14:paraId="19997F07">
      <w:pPr>
        <w:spacing w:line="580" w:lineRule="exact"/>
        <w:ind w:firstLine="602"/>
        <w:rPr>
          <w:rFonts w:eastAsia="方正仿宋_GBK" w:cs="方正仿宋_GBK"/>
          <w:color w:val="auto"/>
          <w:sz w:val="30"/>
          <w:szCs w:val="30"/>
        </w:rPr>
      </w:pPr>
      <w:r>
        <w:rPr>
          <w:rFonts w:hint="eastAsia" w:eastAsia="方正仿宋_GBK" w:cs="方正仿宋_GBK"/>
          <w:b/>
          <w:bCs/>
          <w:color w:val="auto"/>
          <w:sz w:val="30"/>
          <w:szCs w:val="30"/>
        </w:rPr>
        <w:t>打造绿色低碳集聚高效的固废利用产业园区。</w:t>
      </w:r>
      <w:r>
        <w:rPr>
          <w:rFonts w:hint="eastAsia" w:eastAsia="方正仿宋_GBK" w:cs="方正仿宋_GBK"/>
          <w:color w:val="auto"/>
          <w:sz w:val="30"/>
          <w:szCs w:val="30"/>
        </w:rPr>
        <w:t>统筹各类固体废弃物资源化利用项目空间布局，引导固废项目向园区集中，形成“资源</w:t>
      </w:r>
      <w:r>
        <w:rPr>
          <w:rFonts w:hint="eastAsia" w:eastAsia="方正仿宋_GBK" w:cs="方正仿宋_GBK"/>
          <w:color w:val="auto"/>
          <w:sz w:val="30"/>
          <w:szCs w:val="30"/>
          <w:lang w:eastAsia="zh-CN"/>
        </w:rPr>
        <w:t>—</w:t>
      </w:r>
      <w:r>
        <w:rPr>
          <w:rFonts w:hint="eastAsia" w:eastAsia="方正仿宋_GBK" w:cs="方正仿宋_GBK"/>
          <w:color w:val="auto"/>
          <w:sz w:val="30"/>
          <w:szCs w:val="30"/>
        </w:rPr>
        <w:t>产品</w:t>
      </w:r>
      <w:r>
        <w:rPr>
          <w:rFonts w:hint="eastAsia" w:eastAsia="方正仿宋_GBK" w:cs="方正仿宋_GBK"/>
          <w:color w:val="auto"/>
          <w:sz w:val="30"/>
          <w:szCs w:val="30"/>
          <w:lang w:eastAsia="zh-CN"/>
        </w:rPr>
        <w:t>—</w:t>
      </w:r>
      <w:r>
        <w:rPr>
          <w:rFonts w:hint="eastAsia" w:eastAsia="方正仿宋_GBK" w:cs="方正仿宋_GBK"/>
          <w:color w:val="auto"/>
          <w:sz w:val="30"/>
          <w:szCs w:val="30"/>
        </w:rPr>
        <w:t>再生资源”的闭环循环，将云冈经开区打造为固废产业园，推动产业集聚化、园区化发展，实现跨区域、跨产业的协同处理。完善园区内水、气、热等资源循环利用网络，鼓励企业实施余热回收、中水回用、清洁能源替代等节能改造，支持骨干企业</w:t>
      </w:r>
      <w:r>
        <w:rPr>
          <w:rFonts w:hint="eastAsia" w:eastAsia="方正仿宋_GBK" w:cs="方正仿宋_GBK"/>
          <w:color w:val="auto"/>
          <w:sz w:val="30"/>
          <w:szCs w:val="30"/>
          <w:lang w:val="en-US" w:eastAsia="zh-CN"/>
        </w:rPr>
        <w:t>建设</w:t>
      </w:r>
      <w:r>
        <w:rPr>
          <w:rFonts w:hint="eastAsia" w:eastAsia="方正仿宋_GBK" w:cs="方正仿宋_GBK"/>
          <w:color w:val="auto"/>
          <w:sz w:val="30"/>
          <w:szCs w:val="30"/>
        </w:rPr>
        <w:t>国家级绿色工厂。强化技术研发平台支撑，建设固废资源化利用中试基地和技术创新平台，提升园区产业创新与绿色发展能力。</w:t>
      </w:r>
    </w:p>
    <w:p w14:paraId="020193DC">
      <w:pPr>
        <w:spacing w:line="580" w:lineRule="exact"/>
        <w:ind w:firstLine="602"/>
        <w:rPr>
          <w:rFonts w:eastAsia="方正仿宋_GBK" w:cs="方正仿宋_GBK"/>
          <w:color w:val="auto"/>
          <w:sz w:val="30"/>
          <w:szCs w:val="30"/>
        </w:rPr>
      </w:pPr>
      <w:r>
        <w:rPr>
          <w:rFonts w:hint="eastAsia" w:eastAsia="方正仿宋_GBK" w:cs="方正仿宋_GBK"/>
          <w:b/>
          <w:bCs/>
          <w:color w:val="auto"/>
          <w:sz w:val="30"/>
          <w:szCs w:val="30"/>
        </w:rPr>
        <w:t>拓展固废资源化利用产品应用场景</w:t>
      </w:r>
      <w:r>
        <w:rPr>
          <w:rFonts w:hint="eastAsia" w:eastAsia="方正仿宋_GBK" w:cs="方正仿宋_GBK"/>
          <w:color w:val="auto"/>
          <w:sz w:val="30"/>
          <w:szCs w:val="30"/>
        </w:rPr>
        <w:t>。突破固废产品主要依赖建材领域的传统路径，立足本地需求与资源禀赋，开拓多元化、高附加值的市场应用。大力拓展生态修复与农业应用场景，重点推动煤矸石资源化消纳与生态修复工程结合，支持采用先进分质转化技术，将煤矸石制备成生态功能土，规模化用于采煤沉陷区、荒沟荒坡等生态修复治理。审慎拓展粉煤灰的高值化农业应用，在严格评估和环境风险管控的前提下，支持利用富硒粉煤灰等特色资源制备富硒营养土、土壤改良剂等产品，服务特色生态农业。提质发展绿色建材与新型材料场景，推动煤矸石陶粒、粉煤灰超细粉、脱硫石膏基建材等产品在绿色建筑、装配式建筑、市政工程中的规模化应用。积极引入固废基</w:t>
      </w:r>
      <w:r>
        <w:rPr>
          <w:rFonts w:hint="eastAsia" w:eastAsia="方正仿宋_GBK" w:cs="Times New Roman"/>
          <w:color w:val="auto"/>
          <w:sz w:val="30"/>
          <w:szCs w:val="30"/>
        </w:rPr>
        <w:t>3D</w:t>
      </w:r>
      <w:r>
        <w:rPr>
          <w:rFonts w:hint="eastAsia" w:eastAsia="方正仿宋_GBK" w:cs="方正仿宋_GBK"/>
          <w:color w:val="auto"/>
          <w:sz w:val="30"/>
          <w:szCs w:val="30"/>
        </w:rPr>
        <w:t>打印材料、新型耐火材料、陶瓷纤维等高端产品。</w:t>
      </w:r>
    </w:p>
    <w:p w14:paraId="6A4D29B6">
      <w:pPr>
        <w:spacing w:line="580" w:lineRule="exact"/>
        <w:ind w:firstLine="0" w:firstLineChars="0"/>
        <w:jc w:val="center"/>
        <w:outlineLvl w:val="1"/>
        <w:rPr>
          <w:rFonts w:eastAsia="楷体" w:cs="Times New Roman"/>
          <w:color w:val="auto"/>
          <w:sz w:val="30"/>
          <w:szCs w:val="30"/>
        </w:rPr>
      </w:pPr>
      <w:bookmarkStart w:id="117" w:name="_Toc1696210638"/>
      <w:bookmarkStart w:id="118" w:name="_Toc1802604205"/>
      <w:bookmarkStart w:id="119" w:name="_Toc1041350441"/>
      <w:bookmarkStart w:id="120" w:name="_Toc2046806693"/>
      <w:bookmarkStart w:id="121" w:name="_Toc208568714"/>
      <w:r>
        <w:rPr>
          <w:rFonts w:hint="eastAsia" w:eastAsia="楷体" w:cs="Times New Roman"/>
          <w:color w:val="auto"/>
          <w:sz w:val="30"/>
          <w:szCs w:val="30"/>
        </w:rPr>
        <w:t xml:space="preserve">第四节 </w:t>
      </w:r>
      <w:bookmarkStart w:id="122" w:name="_Toc245878356"/>
      <w:r>
        <w:rPr>
          <w:rFonts w:hint="eastAsia" w:eastAsia="楷体" w:cs="Times New Roman"/>
          <w:color w:val="auto"/>
          <w:sz w:val="30"/>
          <w:szCs w:val="30"/>
        </w:rPr>
        <w:t xml:space="preserve"> </w:t>
      </w:r>
      <w:bookmarkStart w:id="123" w:name="OLE_LINK5"/>
      <w:r>
        <w:rPr>
          <w:rFonts w:hint="eastAsia" w:eastAsia="楷体" w:cs="Times New Roman"/>
          <w:color w:val="auto"/>
          <w:sz w:val="30"/>
          <w:szCs w:val="30"/>
        </w:rPr>
        <w:t>前瞻布局未来先导产业</w:t>
      </w:r>
      <w:bookmarkEnd w:id="117"/>
      <w:bookmarkEnd w:id="118"/>
      <w:bookmarkEnd w:id="119"/>
      <w:bookmarkEnd w:id="120"/>
      <w:bookmarkEnd w:id="121"/>
      <w:bookmarkEnd w:id="122"/>
      <w:bookmarkEnd w:id="123"/>
    </w:p>
    <w:p w14:paraId="4D0C4158">
      <w:pPr>
        <w:pStyle w:val="65"/>
        <w:spacing w:line="580" w:lineRule="exact"/>
        <w:ind w:firstLine="602"/>
        <w:rPr>
          <w:rFonts w:eastAsia="方正仿宋_GBK"/>
          <w:color w:val="auto"/>
          <w:sz w:val="30"/>
          <w:szCs w:val="30"/>
        </w:rPr>
      </w:pPr>
      <w:r>
        <w:rPr>
          <w:rFonts w:hint="eastAsia" w:eastAsia="方正仿宋_GBK" w:cs="Times New Roman"/>
          <w:b/>
          <w:bCs/>
          <w:color w:val="auto"/>
          <w:sz w:val="30"/>
          <w:szCs w:val="30"/>
        </w:rPr>
        <w:t>做强数据标注产业。</w:t>
      </w:r>
      <w:r>
        <w:rPr>
          <w:rFonts w:hint="eastAsia" w:eastAsia="方正仿宋_GBK"/>
          <w:color w:val="auto"/>
          <w:sz w:val="30"/>
          <w:szCs w:val="30"/>
        </w:rPr>
        <w:t>以数据标注产业为突破口，积极融入全市“算力之城”建设，大力发展数据呼叫、内容审核等数据服务业，构建大数据服务外包及呼叫产业基地。</w:t>
      </w:r>
      <w:bookmarkStart w:id="124" w:name="OLE_LINK49"/>
      <w:r>
        <w:rPr>
          <w:rFonts w:hint="eastAsia" w:eastAsia="方正仿宋_GBK"/>
          <w:color w:val="auto"/>
          <w:sz w:val="30"/>
          <w:szCs w:val="30"/>
        </w:rPr>
        <w:t>推动数据呼叫标注产业迭代升级</w:t>
      </w:r>
      <w:bookmarkEnd w:id="124"/>
      <w:r>
        <w:rPr>
          <w:rFonts w:hint="eastAsia" w:eastAsia="方正仿宋_GBK"/>
          <w:color w:val="auto"/>
          <w:sz w:val="30"/>
          <w:szCs w:val="30"/>
        </w:rPr>
        <w:t>，拓展产业链向高附加值环节延伸，构建集数据采集、清洗、标注、交易、应用为一体的基础数据服务体系，推动向知识图谱、内容理解等环节延伸，</w:t>
      </w:r>
      <w:bookmarkStart w:id="125" w:name="OLE_LINK50"/>
      <w:r>
        <w:rPr>
          <w:rFonts w:hint="eastAsia" w:eastAsia="方正仿宋_GBK"/>
          <w:color w:val="auto"/>
          <w:sz w:val="30"/>
          <w:szCs w:val="30"/>
        </w:rPr>
        <w:t>重点提升智慧能源、智能驾驶、数字文创等特色领域的专业化数据服务能力。</w:t>
      </w:r>
      <w:bookmarkEnd w:id="125"/>
      <w:r>
        <w:rPr>
          <w:rFonts w:hint="eastAsia" w:eastAsia="方正仿宋_GBK"/>
          <w:color w:val="auto"/>
          <w:sz w:val="30"/>
          <w:szCs w:val="30"/>
        </w:rPr>
        <w:t>加大数据标注产业支持力度，强化数据标注企业引培力度，引导人工智能产业头部企业落地，强化市场开拓、人才培训、平台建设等方面支持力度。加大数据人才培养力度，更好支撑大同市建设国家级数据标注基地。</w:t>
      </w:r>
    </w:p>
    <w:p w14:paraId="7FBBB64F">
      <w:pPr>
        <w:pStyle w:val="65"/>
        <w:spacing w:line="580" w:lineRule="exact"/>
        <w:ind w:firstLine="602"/>
        <w:rPr>
          <w:rFonts w:eastAsia="方正仿宋_GBK"/>
          <w:color w:val="auto"/>
          <w:sz w:val="30"/>
          <w:szCs w:val="30"/>
        </w:rPr>
      </w:pPr>
      <w:r>
        <w:rPr>
          <w:rFonts w:hint="eastAsia" w:eastAsia="方正仿宋_GBK" w:cs="Times New Roman"/>
          <w:b/>
          <w:bCs/>
          <w:color w:val="auto"/>
          <w:sz w:val="30"/>
          <w:szCs w:val="30"/>
        </w:rPr>
        <w:t>着力开辟智算创新应用新场景。</w:t>
      </w:r>
      <w:r>
        <w:rPr>
          <w:rFonts w:hint="eastAsia" w:eastAsia="方正仿宋_GBK"/>
          <w:color w:val="auto"/>
          <w:sz w:val="30"/>
          <w:szCs w:val="30"/>
        </w:rPr>
        <w:t>构建能源数据赋能体系，建设区域性煤炭行业数据资源平台，深化“大数据+能源”特色应用，培育智能煤矿、智慧电厂等</w:t>
      </w:r>
      <w:r>
        <w:rPr>
          <w:rFonts w:hint="eastAsia" w:eastAsia="方正仿宋_GBK"/>
          <w:color w:val="auto"/>
          <w:sz w:val="30"/>
          <w:szCs w:val="30"/>
          <w:lang w:val="en-US" w:eastAsia="zh-CN"/>
        </w:rPr>
        <w:t>应用</w:t>
      </w:r>
      <w:r>
        <w:rPr>
          <w:rFonts w:hint="eastAsia" w:eastAsia="方正仿宋_GBK"/>
          <w:color w:val="auto"/>
          <w:sz w:val="30"/>
          <w:szCs w:val="30"/>
        </w:rPr>
        <w:t>项目，推动能源产业数字化升级。围绕新材料、铸造等特色制造业，释放工业数据要素价值，优化生产资源配置与工艺流程，全面提升制造业生产效率与竞争力。深化文旅融合智慧应用，支持云冈石窟、</w:t>
      </w:r>
      <w:r>
        <w:rPr>
          <w:rFonts w:hint="cs" w:eastAsia="方正仿宋_GBK"/>
          <w:color w:val="auto"/>
          <w:sz w:val="30"/>
          <w:szCs w:val="30"/>
        </w:rPr>
        <w:t>‌</w:t>
      </w:r>
      <w:r>
        <w:rPr>
          <w:rFonts w:hint="eastAsia" w:eastAsia="方正仿宋_GBK"/>
          <w:color w:val="auto"/>
          <w:sz w:val="30"/>
          <w:szCs w:val="30"/>
        </w:rPr>
        <w:t>焦山石窟寺</w:t>
      </w:r>
      <w:r>
        <w:rPr>
          <w:rFonts w:hint="eastAsia" w:eastAsia="方正仿宋_GBK" w:cstheme="minorBidi"/>
          <w:color w:val="auto"/>
          <w:sz w:val="30"/>
          <w:szCs w:val="30"/>
        </w:rPr>
        <w:t>‌</w:t>
      </w:r>
      <w:r>
        <w:rPr>
          <w:rFonts w:hint="eastAsia" w:eastAsia="方正仿宋_GBK"/>
          <w:color w:val="auto"/>
          <w:sz w:val="30"/>
          <w:szCs w:val="30"/>
        </w:rPr>
        <w:t>、</w:t>
      </w:r>
      <w:r>
        <w:rPr>
          <w:rFonts w:hint="cs" w:eastAsia="方正仿宋_GBK"/>
          <w:color w:val="auto"/>
          <w:sz w:val="30"/>
          <w:szCs w:val="30"/>
        </w:rPr>
        <w:t>‌</w:t>
      </w:r>
      <w:r>
        <w:rPr>
          <w:rFonts w:hint="eastAsia" w:eastAsia="方正仿宋_GBK"/>
          <w:color w:val="auto"/>
          <w:sz w:val="30"/>
          <w:szCs w:val="30"/>
        </w:rPr>
        <w:t>高山古城等景区引入人工智能导览、智能票务与人流监测系统，打造沉浸式、个性化旅游体验，彰显文化遗产数字化魅力。鼓励在农田测土配方、病虫害智能防治等领域开展人工智能技术应用，探索建设智能化农田牧场，助力农业农村现代化。</w:t>
      </w:r>
    </w:p>
    <w:p w14:paraId="482703BD">
      <w:pPr>
        <w:spacing w:line="580" w:lineRule="exact"/>
        <w:ind w:firstLine="602"/>
        <w:jc w:val="left"/>
        <w:rPr>
          <w:color w:val="auto"/>
        </w:rPr>
      </w:pPr>
      <w:r>
        <w:rPr>
          <w:rFonts w:hint="eastAsia" w:eastAsia="方正仿宋_GBK" w:cs="Times New Roman"/>
          <w:b/>
          <w:bCs/>
          <w:color w:val="auto"/>
          <w:sz w:val="30"/>
          <w:szCs w:val="30"/>
        </w:rPr>
        <w:t>培育低空经济新业态。</w:t>
      </w:r>
      <w:r>
        <w:rPr>
          <w:rFonts w:hint="eastAsia" w:eastAsia="方正仿宋_GBK" w:cs="Times New Roman"/>
          <w:color w:val="auto"/>
          <w:sz w:val="30"/>
          <w:szCs w:val="30"/>
        </w:rPr>
        <w:t>积极拓展多元应用场景，重点发展“低空+生产”“低空+文旅”，</w:t>
      </w:r>
      <w:r>
        <w:rPr>
          <w:rFonts w:hint="eastAsia" w:eastAsia="方正仿宋_GBK" w:cs="Times New Roman"/>
          <w:color w:val="auto"/>
          <w:sz w:val="30"/>
          <w:szCs w:val="30"/>
          <w:lang w:val="en-US" w:eastAsia="zh-CN"/>
        </w:rPr>
        <w:t>加强</w:t>
      </w:r>
      <w:r>
        <w:rPr>
          <w:rFonts w:hint="eastAsia" w:eastAsia="方正仿宋_GBK" w:cs="Times New Roman"/>
          <w:color w:val="auto"/>
          <w:sz w:val="30"/>
          <w:szCs w:val="30"/>
        </w:rPr>
        <w:t>矿区安全巡检、地质灾害监测、电力线路巡查、新能源设施维护、环保执法监测等专业化服务，积极向物流配送、应急救援、城市管理等领域拓展。支持建设起降场、通信网络、监管平台等低空飞行服务保障体系，积极引进和培育无人机研发设计、总装制造、无人机驾驶培训、数据加工处理等企业。</w:t>
      </w:r>
    </w:p>
    <w:p w14:paraId="26C469EE">
      <w:pPr>
        <w:spacing w:line="580" w:lineRule="exact"/>
        <w:ind w:firstLine="600"/>
        <w:jc w:val="center"/>
        <w:outlineLvl w:val="1"/>
        <w:rPr>
          <w:rFonts w:eastAsia="楷体" w:cs="Times New Roman"/>
          <w:color w:val="auto"/>
          <w:sz w:val="30"/>
          <w:szCs w:val="30"/>
        </w:rPr>
      </w:pPr>
      <w:bookmarkStart w:id="126" w:name="_Toc1817065206"/>
      <w:bookmarkStart w:id="127" w:name="_Toc139547958"/>
      <w:r>
        <w:rPr>
          <w:rFonts w:hint="eastAsia" w:eastAsia="楷体" w:cs="Times New Roman"/>
          <w:color w:val="auto"/>
          <w:sz w:val="30"/>
          <w:szCs w:val="30"/>
        </w:rPr>
        <w:t>第五节  促进现代服务业提质增效</w:t>
      </w:r>
      <w:bookmarkEnd w:id="126"/>
      <w:bookmarkEnd w:id="127"/>
    </w:p>
    <w:p w14:paraId="2468D07A">
      <w:pPr>
        <w:spacing w:line="580" w:lineRule="exact"/>
        <w:ind w:firstLine="602"/>
        <w:jc w:val="left"/>
        <w:rPr>
          <w:rFonts w:eastAsia="方正仿宋_GBK" w:cs="Times New Roman"/>
          <w:color w:val="auto"/>
          <w:sz w:val="30"/>
          <w:szCs w:val="30"/>
        </w:rPr>
      </w:pPr>
      <w:r>
        <w:rPr>
          <w:rFonts w:hint="eastAsia" w:eastAsia="方正仿宋_GBK" w:cs="Times New Roman"/>
          <w:b/>
          <w:bCs/>
          <w:color w:val="auto"/>
          <w:sz w:val="30"/>
          <w:szCs w:val="30"/>
        </w:rPr>
        <w:t>推动商贸服务业提质升级。</w:t>
      </w:r>
      <w:r>
        <w:rPr>
          <w:rFonts w:hint="eastAsia" w:eastAsia="方正仿宋_GBK" w:cs="Times New Roman"/>
          <w:color w:val="auto"/>
          <w:sz w:val="30"/>
          <w:szCs w:val="30"/>
        </w:rPr>
        <w:t>以提质扩容和结构优化为核心，推动商贸服务业向高品质、多样化升级。结合城市更新与人口分布，科学规划建设城市核心商圈、社区商业中心和乡镇商贸中心，形成层级清晰、功能互补的商业网点体系。谋划布局一批高端星级酒店，提升中高端接待能力。积极培育服务业新增长点，大力发展首发经济、银发经济、冰雪经济等特色业态，加快培育在线服务、智慧服务等数字服务新业态，实施消费场景提质、消费扩围惠民、城市商圈升级、商贸供应链协同、农村消费挖潜等提振消费行动。规划建设新能源汽车园中园和一批汽车展示销售4S店。支持发展直播电商、即时零售、内容电商、兴趣电商、社交电商等电商新业态，鼓励电商链接本地生活服务。</w:t>
      </w:r>
    </w:p>
    <w:p w14:paraId="5987A6A0">
      <w:pPr>
        <w:spacing w:line="580" w:lineRule="exact"/>
        <w:ind w:firstLine="602"/>
        <w:jc w:val="left"/>
        <w:rPr>
          <w:rFonts w:eastAsia="方正仿宋_GBK" w:cs="Times New Roman"/>
          <w:color w:val="auto"/>
          <w:sz w:val="30"/>
          <w:szCs w:val="30"/>
        </w:rPr>
      </w:pPr>
      <w:r>
        <w:rPr>
          <w:rFonts w:hint="eastAsia" w:eastAsia="方正仿宋_GBK" w:cs="Times New Roman"/>
          <w:b/>
          <w:bCs/>
          <w:color w:val="auto"/>
          <w:sz w:val="30"/>
          <w:szCs w:val="30"/>
        </w:rPr>
        <w:t>建设高效智慧物流枢纽。</w:t>
      </w:r>
      <w:r>
        <w:rPr>
          <w:rFonts w:hint="eastAsia" w:eastAsia="方正仿宋_GBK" w:cs="Times New Roman"/>
          <w:color w:val="auto"/>
          <w:sz w:val="30"/>
          <w:szCs w:val="30"/>
        </w:rPr>
        <w:t>立足物流运输枢纽和冷链物流中心区定位，全面提升物流运行效率和服务水平，为产业发展和民生保障提供坚实支撑。完善物流基础设施网络，优化物流枢纽、园区、配送中心三级节点布局。加强铁路、公路等运输方式衔接，发展多式联运，提升物流集疏运能力。支持企业推广应用物联网、大数据等技术和物流机器人、快递无人机、自动分拣机器人、无人驾驶设备等先进智能装备，建设智能仓储系统和智慧物流信息平台。全面推广新能源物流车、绿色包装和循环共用托盘，</w:t>
      </w:r>
      <w:r>
        <w:rPr>
          <w:rFonts w:hint="eastAsia" w:eastAsia="方正仿宋_GBK" w:cs="Times New Roman"/>
          <w:color w:val="auto"/>
          <w:sz w:val="30"/>
          <w:szCs w:val="30"/>
          <w:lang w:val="en-US" w:eastAsia="zh-CN"/>
        </w:rPr>
        <w:t>推动</w:t>
      </w:r>
      <w:r>
        <w:rPr>
          <w:rFonts w:hint="eastAsia" w:eastAsia="方正仿宋_GBK" w:cs="Times New Roman"/>
          <w:color w:val="auto"/>
          <w:sz w:val="30"/>
          <w:szCs w:val="30"/>
        </w:rPr>
        <w:t>绿色货运配送工程建设，打造绿色物流园区。</w:t>
      </w:r>
    </w:p>
    <w:p w14:paraId="2DD89CEB">
      <w:pPr>
        <w:spacing w:line="580" w:lineRule="exact"/>
        <w:ind w:firstLine="602"/>
        <w:jc w:val="left"/>
        <w:rPr>
          <w:rFonts w:eastAsia="方正仿宋_GBK" w:cs="Times New Roman"/>
          <w:color w:val="auto"/>
          <w:sz w:val="30"/>
          <w:szCs w:val="30"/>
        </w:rPr>
      </w:pPr>
      <w:r>
        <w:rPr>
          <w:rFonts w:hint="eastAsia" w:eastAsia="方正仿宋_GBK" w:cs="Times New Roman"/>
          <w:b/>
          <w:bCs/>
          <w:color w:val="auto"/>
          <w:sz w:val="30"/>
          <w:szCs w:val="30"/>
        </w:rPr>
        <w:t>构建多元化金融服务体系。</w:t>
      </w:r>
      <w:r>
        <w:rPr>
          <w:rFonts w:hint="eastAsia" w:eastAsia="方正仿宋_GBK" w:cs="Times New Roman"/>
          <w:color w:val="auto"/>
          <w:sz w:val="30"/>
          <w:szCs w:val="30"/>
        </w:rPr>
        <w:t>围绕全区产业转型与科技创新需求，强化金融对能源革命、制造业升级、中小微企业成长及城乡融合发展的支撑作用。聚焦煤炭清洁高效利用、碳基新材料、高端装备制造等新兴产业，创新发展科技金融、绿色金融和供应链金融。鼓励金融机构开发针对技术研发、设备更新、产业升级的专项信贷产品。鼓励金融产品与服务创新，规范发展地方金融组织，增强金融服务普惠性。引进和培育金融租赁、融资担保、产业基金等一批专业的金融服务机构。加强金融风险监测预警，牢牢守住不发生系统性金融风险的底线。</w:t>
      </w:r>
    </w:p>
    <w:p w14:paraId="595128A8">
      <w:pPr>
        <w:spacing w:line="580" w:lineRule="exact"/>
        <w:ind w:firstLine="602"/>
        <w:jc w:val="left"/>
        <w:rPr>
          <w:rFonts w:eastAsia="方正仿宋_GBK" w:cs="Times New Roman"/>
          <w:color w:val="auto"/>
          <w:sz w:val="30"/>
          <w:szCs w:val="30"/>
        </w:rPr>
      </w:pPr>
      <w:r>
        <w:rPr>
          <w:rFonts w:hint="eastAsia" w:eastAsia="方正仿宋_GBK" w:cs="Times New Roman"/>
          <w:b/>
          <w:bCs/>
          <w:color w:val="auto"/>
          <w:sz w:val="30"/>
          <w:szCs w:val="30"/>
        </w:rPr>
        <w:t>提升发展高品质多样化生活服务业。</w:t>
      </w:r>
      <w:r>
        <w:rPr>
          <w:rFonts w:hint="eastAsia" w:eastAsia="方正仿宋_GBK" w:cs="Times New Roman"/>
          <w:color w:val="auto"/>
          <w:sz w:val="30"/>
          <w:szCs w:val="30"/>
        </w:rPr>
        <w:t>立足满足人民日益增长的美好生活需要，以提升便利度、改善服务体验为导向，促进康养、家政、体育、养老、助残、育幼等生活性服务业高品质、多样化、便利化发展，构建优质高效、布局合理的生活性服务业体系。优化社区生活服务网络，合理布局社区便民服务中心，支持发展社区超市、生鲜电商、餐饮配送等便民业态，鼓励建设集养老、托育、家政、文体等功能于一体的社区服务综合体。培育特色消费场景，打造特色商业街区和夜间经济集聚区，发展品牌连锁经营，引进培育文化创意、休闲娱乐等体验式消费业态，提升生活服务品质和供给能力。促进线上线下融合，推动购物、餐饮、娱乐等体验式业态发展。</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1AB9118">
        <w:tc>
          <w:tcPr>
            <w:tcW w:w="8522" w:type="dxa"/>
          </w:tcPr>
          <w:p w14:paraId="24FD12C5">
            <w:pPr>
              <w:spacing w:line="500" w:lineRule="exact"/>
              <w:ind w:firstLine="560"/>
              <w:jc w:val="center"/>
              <w:rPr>
                <w:rFonts w:eastAsia="方正黑体_GBK" w:cs="Times New Roman"/>
                <w:color w:val="auto"/>
                <w:sz w:val="28"/>
                <w:szCs w:val="28"/>
              </w:rPr>
            </w:pPr>
            <w:r>
              <w:rPr>
                <w:rFonts w:hint="eastAsia" w:eastAsia="方正黑体_GBK" w:cs="Times New Roman"/>
                <w:color w:val="auto"/>
                <w:sz w:val="28"/>
                <w:szCs w:val="28"/>
              </w:rPr>
              <w:t>专栏2 特色优势产业重点项目</w:t>
            </w:r>
          </w:p>
          <w:p w14:paraId="10407B2E">
            <w:pPr>
              <w:pStyle w:val="14"/>
              <w:spacing w:after="0" w:line="500" w:lineRule="exact"/>
              <w:ind w:firstLine="562" w:firstLineChars="200"/>
              <w:jc w:val="left"/>
              <w:rPr>
                <w:rFonts w:eastAsia="方正仿宋_GBK" w:cs="Times New Roman"/>
                <w:color w:val="auto"/>
                <w:sz w:val="28"/>
                <w:szCs w:val="28"/>
              </w:rPr>
            </w:pPr>
            <w:r>
              <w:rPr>
                <w:rFonts w:hint="eastAsia" w:eastAsia="方正仿宋_GBK" w:cs="Times New Roman"/>
                <w:b/>
                <w:bCs/>
                <w:color w:val="auto"/>
                <w:sz w:val="28"/>
                <w:szCs w:val="28"/>
              </w:rPr>
              <w:t>高端煤机装备制造基地项目。</w:t>
            </w:r>
            <w:r>
              <w:rPr>
                <w:rFonts w:hint="eastAsia" w:eastAsia="方正仿宋_GBK" w:cs="Times New Roman"/>
                <w:color w:val="auto"/>
                <w:sz w:val="28"/>
                <w:szCs w:val="28"/>
              </w:rPr>
              <w:t>布局智能采煤机、掘锚一体机，配套建设煤机检测检验中心。建设智能化掘进机、重型刮板输送机等成套装备生产线，发展设备健康管理与远程运维服务。实施大同北方天力增压器和电控系统核心零部件智能化生产线升级项目。</w:t>
            </w:r>
          </w:p>
          <w:p w14:paraId="026195F0">
            <w:pPr>
              <w:spacing w:line="500" w:lineRule="exact"/>
              <w:ind w:firstLine="562"/>
              <w:jc w:val="left"/>
              <w:rPr>
                <w:rFonts w:eastAsia="方正仿宋_GBK" w:cs="Times New Roman"/>
                <w:color w:val="auto"/>
                <w:sz w:val="28"/>
                <w:szCs w:val="28"/>
              </w:rPr>
            </w:pPr>
            <w:r>
              <w:rPr>
                <w:rFonts w:hint="eastAsia" w:eastAsia="方正仿宋_GBK" w:cs="Times New Roman"/>
                <w:b/>
                <w:bCs/>
                <w:color w:val="auto"/>
                <w:sz w:val="28"/>
                <w:szCs w:val="28"/>
              </w:rPr>
              <w:t>建材绿色低碳转型项目。</w:t>
            </w:r>
            <w:r>
              <w:rPr>
                <w:rFonts w:hint="eastAsia" w:eastAsia="方正仿宋_GBK" w:cs="Times New Roman"/>
                <w:color w:val="auto"/>
                <w:sz w:val="28"/>
                <w:szCs w:val="28"/>
              </w:rPr>
              <w:t>实施大同冀东水泥用石灰岩矿项目，推动华瑞建设高附加值产品研发。</w:t>
            </w:r>
          </w:p>
          <w:p w14:paraId="799B9613">
            <w:pPr>
              <w:spacing w:line="500" w:lineRule="exact"/>
              <w:ind w:firstLine="562"/>
              <w:rPr>
                <w:rFonts w:eastAsia="Times New Roman"/>
                <w:color w:val="auto"/>
                <w:sz w:val="28"/>
                <w:szCs w:val="28"/>
              </w:rPr>
            </w:pPr>
            <w:r>
              <w:rPr>
                <w:rFonts w:hint="eastAsia" w:eastAsia="方正仿宋_GBK" w:cs="Times New Roman"/>
                <w:b/>
                <w:bCs/>
                <w:color w:val="auto"/>
                <w:sz w:val="28"/>
                <w:szCs w:val="28"/>
              </w:rPr>
              <w:t>碳纤维产业发展项目。</w:t>
            </w:r>
            <w:r>
              <w:rPr>
                <w:rFonts w:hint="eastAsia" w:eastAsia="方正仿宋_GBK" w:cs="Times New Roman"/>
                <w:color w:val="auto"/>
                <w:sz w:val="28"/>
                <w:szCs w:val="28"/>
              </w:rPr>
              <w:t>推进山西华阳碳材科技有限公司千吨级高性能碳纤维项目二期建设。</w:t>
            </w:r>
          </w:p>
          <w:p w14:paraId="5FB0CBE1">
            <w:pPr>
              <w:spacing w:line="500" w:lineRule="exact"/>
              <w:ind w:firstLine="562"/>
              <w:jc w:val="left"/>
              <w:rPr>
                <w:rFonts w:eastAsia="方正仿宋_GBK" w:cs="Times New Roman"/>
                <w:color w:val="auto"/>
                <w:sz w:val="28"/>
                <w:szCs w:val="28"/>
              </w:rPr>
            </w:pPr>
            <w:r>
              <w:rPr>
                <w:rFonts w:hint="eastAsia" w:eastAsia="方正仿宋_GBK" w:cs="Times New Roman"/>
                <w:b/>
                <w:bCs/>
                <w:color w:val="auto"/>
                <w:sz w:val="28"/>
                <w:szCs w:val="28"/>
              </w:rPr>
              <w:t>高端精密铸造产业园项目。</w:t>
            </w:r>
            <w:r>
              <w:rPr>
                <w:rFonts w:hint="eastAsia" w:eastAsia="方正仿宋_GBK" w:cs="Times New Roman"/>
                <w:color w:val="auto"/>
                <w:sz w:val="28"/>
                <w:szCs w:val="28"/>
              </w:rPr>
              <w:t>建设高端铝合金精密部件产业一体化项目。</w:t>
            </w:r>
          </w:p>
          <w:p w14:paraId="08C18F0B">
            <w:pPr>
              <w:spacing w:line="500" w:lineRule="exact"/>
              <w:ind w:firstLine="562"/>
              <w:rPr>
                <w:rFonts w:eastAsia="方正仿宋_GBK" w:cs="Times New Roman"/>
                <w:color w:val="auto"/>
                <w:sz w:val="28"/>
                <w:szCs w:val="28"/>
              </w:rPr>
            </w:pPr>
            <w:r>
              <w:rPr>
                <w:rFonts w:hint="eastAsia" w:eastAsia="方正仿宋_GBK" w:cs="Times New Roman"/>
                <w:b/>
                <w:bCs/>
                <w:color w:val="auto"/>
                <w:sz w:val="28"/>
                <w:szCs w:val="28"/>
              </w:rPr>
              <w:t>煤矸石综合治理和资源化利用工程。</w:t>
            </w:r>
            <w:r>
              <w:rPr>
                <w:rFonts w:hint="eastAsia" w:eastAsia="方正仿宋_GBK" w:cs="Times New Roman"/>
                <w:color w:val="auto"/>
                <w:sz w:val="28"/>
                <w:szCs w:val="28"/>
              </w:rPr>
              <w:t>山西大同千万吨级煤矸石综合利用项目（一期、二期）、煤矸石综合利用建材制造项目、煤矸石热能利用发电项目、煤矸石高岭土提炼生产项目、煤矸石有价元素回收利用项目、煤矸石膏体、浆体填充材料生产项目。</w:t>
            </w:r>
          </w:p>
          <w:p w14:paraId="1C2F004A">
            <w:pPr>
              <w:spacing w:line="500" w:lineRule="exact"/>
              <w:ind w:firstLine="562"/>
              <w:jc w:val="left"/>
              <w:rPr>
                <w:rFonts w:eastAsia="Times New Roman" w:cs="Times New Roman"/>
                <w:b/>
                <w:bCs/>
                <w:color w:val="auto"/>
                <w:sz w:val="28"/>
                <w:szCs w:val="28"/>
              </w:rPr>
            </w:pPr>
            <w:r>
              <w:rPr>
                <w:rFonts w:hint="eastAsia" w:eastAsia="方正仿宋_GBK" w:cs="Times New Roman"/>
                <w:b/>
                <w:bCs/>
                <w:color w:val="auto"/>
                <w:sz w:val="28"/>
                <w:szCs w:val="28"/>
              </w:rPr>
              <w:t>粉煤灰资源化利用工程。</w:t>
            </w:r>
            <w:r>
              <w:rPr>
                <w:rFonts w:hint="eastAsia" w:eastAsia="方正仿宋_GBK" w:cs="Times New Roman"/>
                <w:color w:val="auto"/>
                <w:sz w:val="28"/>
                <w:szCs w:val="28"/>
              </w:rPr>
              <w:t>大同市云冈区龙鑫环保材料加工有限公司建设原料储库、干粉库、生产车间、成品库及配套设施为主的年产15万吨粉煤灰超细粉生产项目。</w:t>
            </w:r>
          </w:p>
          <w:p w14:paraId="3174E836">
            <w:pPr>
              <w:spacing w:line="500" w:lineRule="exact"/>
              <w:ind w:firstLine="560"/>
              <w:jc w:val="left"/>
              <w:rPr>
                <w:rFonts w:eastAsia="方正仿宋_GBK"/>
                <w:color w:val="auto"/>
              </w:rPr>
            </w:pPr>
            <w:r>
              <w:rPr>
                <w:rFonts w:hint="eastAsia" w:ascii="方正仿宋_GB18030" w:hAnsi="方正仿宋_GB18030" w:eastAsia="方正仿宋_GB18030" w:cs="方正仿宋_GB18030"/>
                <w:b/>
                <w:bCs/>
                <w:color w:val="auto"/>
                <w:sz w:val="28"/>
                <w:szCs w:val="28"/>
              </w:rPr>
              <w:t>现代服务业重点项目。</w:t>
            </w:r>
            <w:r>
              <w:rPr>
                <w:rFonts w:hint="eastAsia" w:eastAsia="方正仿宋_GBK" w:cs="Times New Roman"/>
                <w:color w:val="auto"/>
                <w:sz w:val="28"/>
                <w:szCs w:val="28"/>
              </w:rPr>
              <w:t>建设综合性大型物流园区；王家园快递集散中心项目，建设中型快递集散中心。天福美域商业综合体。大同云冈未来礼宴艺术酒店项目。</w:t>
            </w:r>
          </w:p>
        </w:tc>
      </w:tr>
      <w:bookmarkEnd w:id="96"/>
      <w:bookmarkEnd w:id="97"/>
      <w:bookmarkEnd w:id="98"/>
      <w:bookmarkEnd w:id="99"/>
    </w:tbl>
    <w:p w14:paraId="5DC78687">
      <w:pPr>
        <w:spacing w:before="156" w:beforeLines="50" w:after="156" w:afterLines="50" w:line="580" w:lineRule="exact"/>
        <w:ind w:firstLineChars="0"/>
        <w:jc w:val="center"/>
        <w:rPr>
          <w:rFonts w:eastAsia="方正黑体_GBK" w:cs="方正黑体_GBK"/>
          <w:color w:val="auto"/>
        </w:rPr>
      </w:pPr>
      <w:r>
        <w:rPr>
          <w:rFonts w:hint="eastAsia" w:eastAsia="方正黑体_GBK" w:cs="方正黑体_GBK"/>
          <w:color w:val="auto"/>
        </w:rPr>
        <w:br w:type="page"/>
      </w:r>
    </w:p>
    <w:p w14:paraId="2593C7E5">
      <w:pPr>
        <w:pStyle w:val="61"/>
        <w:spacing w:before="156" w:beforeLines="50" w:after="156" w:afterLines="50" w:line="580" w:lineRule="exact"/>
        <w:ind w:firstLine="0" w:firstLineChars="0"/>
        <w:jc w:val="center"/>
        <w:rPr>
          <w:rFonts w:ascii="Times New Roman" w:hAnsi="Times New Roman" w:eastAsia="方正黑体_GBK" w:cs="方正黑体_GBK"/>
          <w:color w:val="auto"/>
        </w:rPr>
      </w:pPr>
      <w:bookmarkStart w:id="128" w:name="_Toc330387582"/>
      <w:bookmarkStart w:id="129" w:name="_Toc49973255"/>
      <w:r>
        <w:rPr>
          <w:rFonts w:hint="eastAsia" w:ascii="Times New Roman" w:hAnsi="Times New Roman" w:eastAsia="方正黑体_GBK" w:cs="方正黑体_GBK"/>
          <w:color w:val="auto"/>
        </w:rPr>
        <w:t>第四章 强化科技创新引领 提速培育发展新质生产力</w:t>
      </w:r>
      <w:bookmarkEnd w:id="128"/>
      <w:bookmarkEnd w:id="129"/>
    </w:p>
    <w:p w14:paraId="6159DE14">
      <w:pPr>
        <w:pStyle w:val="65"/>
        <w:spacing w:line="580" w:lineRule="exact"/>
        <w:ind w:firstLine="600"/>
        <w:rPr>
          <w:rFonts w:eastAsia="楷体"/>
          <w:color w:val="auto"/>
          <w:sz w:val="30"/>
          <w:szCs w:val="30"/>
        </w:rPr>
      </w:pPr>
      <w:r>
        <w:rPr>
          <w:rFonts w:hint="eastAsia" w:eastAsia="方正仿宋_GBK" w:cs="方正仿宋_GBK"/>
          <w:color w:val="auto"/>
          <w:sz w:val="30"/>
          <w:szCs w:val="30"/>
        </w:rPr>
        <w:t>以科技创新引领产业创新，以数字赋能和智能升级为主线，立足国家“双碳”目标与资源型地区转型攻坚期</w:t>
      </w:r>
      <w:r>
        <w:rPr>
          <w:rFonts w:hint="eastAsia" w:eastAsia="方正仿宋_GBK"/>
          <w:color w:val="auto"/>
          <w:sz w:val="30"/>
          <w:szCs w:val="30"/>
        </w:rPr>
        <w:t>，推动科技创新和产业创新深度融合，推动发展新质生产力，以科技创新支撑引领经济社会高质量发展。</w:t>
      </w:r>
    </w:p>
    <w:p w14:paraId="18CED9D7">
      <w:pPr>
        <w:spacing w:line="580" w:lineRule="exact"/>
        <w:ind w:firstLine="0" w:firstLineChars="0"/>
        <w:jc w:val="center"/>
        <w:outlineLvl w:val="1"/>
        <w:rPr>
          <w:rFonts w:eastAsia="楷体"/>
          <w:color w:val="auto"/>
          <w:sz w:val="30"/>
          <w:szCs w:val="30"/>
        </w:rPr>
      </w:pPr>
      <w:bookmarkStart w:id="130" w:name="_Toc234390808"/>
      <w:bookmarkStart w:id="131" w:name="_Toc1578863179"/>
      <w:r>
        <w:rPr>
          <w:rFonts w:hint="eastAsia" w:eastAsia="楷体"/>
          <w:color w:val="auto"/>
          <w:sz w:val="30"/>
          <w:szCs w:val="30"/>
        </w:rPr>
        <w:t>第一节  促进科技创新和产业创新深度融合</w:t>
      </w:r>
      <w:bookmarkEnd w:id="130"/>
      <w:bookmarkEnd w:id="131"/>
    </w:p>
    <w:p w14:paraId="2EA2683D">
      <w:pPr>
        <w:pStyle w:val="65"/>
        <w:spacing w:line="580" w:lineRule="exact"/>
        <w:ind w:firstLine="602"/>
        <w:rPr>
          <w:rFonts w:eastAsia="方正仿宋_GBK"/>
          <w:color w:val="auto"/>
          <w:sz w:val="30"/>
          <w:szCs w:val="30"/>
        </w:rPr>
      </w:pPr>
      <w:r>
        <w:rPr>
          <w:rFonts w:hint="eastAsia" w:eastAsia="方正仿宋_GBK" w:cs="方正仿宋_GBK"/>
          <w:b/>
          <w:bCs/>
          <w:color w:val="auto"/>
          <w:sz w:val="30"/>
          <w:szCs w:val="30"/>
        </w:rPr>
        <w:t>加强关键核心技术突破。</w:t>
      </w:r>
      <w:r>
        <w:rPr>
          <w:rFonts w:hint="eastAsia" w:eastAsia="方正仿宋_GBK" w:cs="方正仿宋_GBK"/>
          <w:color w:val="auto"/>
          <w:sz w:val="30"/>
          <w:szCs w:val="30"/>
        </w:rPr>
        <w:t>立足全区能源结构优化与产业升级需求，用好山西省内燃机高增压技术创新中心、山西省矿区综合监测与应急减灾技术创新中心等省级技术创新中心，推动重点领域创新升级。加强重点领域技术攻关支持，固废资源化利用领域重点突破固废高值化利用技术，煤炭开发利用领域重点突破绿色开发与煤基新材料技术，储能领域重点突破多元化储能技术路线。</w:t>
      </w:r>
    </w:p>
    <w:p w14:paraId="53BABFBE">
      <w:pPr>
        <w:snapToGrid w:val="0"/>
        <w:spacing w:line="580" w:lineRule="exact"/>
        <w:ind w:firstLine="602"/>
        <w:rPr>
          <w:rFonts w:eastAsia="方正仿宋_GBK"/>
          <w:color w:val="auto"/>
          <w:sz w:val="30"/>
          <w:szCs w:val="30"/>
        </w:rPr>
      </w:pPr>
      <w:r>
        <w:rPr>
          <w:rFonts w:hint="eastAsia" w:eastAsia="方正仿宋_GBK"/>
          <w:b/>
          <w:bCs/>
          <w:color w:val="auto"/>
          <w:sz w:val="30"/>
          <w:szCs w:val="30"/>
        </w:rPr>
        <w:t>强化企业创新主体地位。</w:t>
      </w:r>
      <w:r>
        <w:rPr>
          <w:rFonts w:hint="eastAsia" w:eastAsia="方正仿宋_GBK"/>
          <w:color w:val="auto"/>
          <w:sz w:val="30"/>
          <w:szCs w:val="30"/>
        </w:rPr>
        <w:t>强化企业在科技创新中的主体地位，支持企业开展小试中试，共建高水平重点实验室。推动中能建工程技术研究中心等一批关联性强、带动作用大的关键项目，实现科研成果的有效转化。梯度培育创新企业集群，培育壮大科技领军企业，支持高新技术企业和科技型中小企业发展，做好高新技术企业和科技计划项目的推荐申报工作。围绕国家、省、市重大战略科技任务和重点产业技术创新需求，支持中兵铸造等企业采取“揭榜挂帅”的方式承接关键核心技术攻关任务。</w:t>
      </w:r>
    </w:p>
    <w:p w14:paraId="3C13502A">
      <w:pPr>
        <w:pStyle w:val="65"/>
        <w:spacing w:line="580" w:lineRule="exact"/>
        <w:ind w:firstLine="602"/>
        <w:rPr>
          <w:rFonts w:eastAsia="方正仿宋_GBK"/>
          <w:b/>
          <w:bCs/>
          <w:color w:val="auto"/>
          <w:sz w:val="30"/>
          <w:szCs w:val="30"/>
        </w:rPr>
      </w:pPr>
      <w:r>
        <w:rPr>
          <w:rFonts w:hint="eastAsia" w:eastAsia="方正仿宋_GBK"/>
          <w:b/>
          <w:bCs/>
          <w:color w:val="auto"/>
          <w:sz w:val="30"/>
          <w:szCs w:val="30"/>
        </w:rPr>
        <w:t>推进产学研用深度融合。</w:t>
      </w:r>
      <w:r>
        <w:rPr>
          <w:rFonts w:hint="eastAsia" w:eastAsia="方正仿宋_GBK"/>
          <w:color w:val="auto"/>
          <w:sz w:val="30"/>
          <w:szCs w:val="30"/>
        </w:rPr>
        <w:t>建立“企业出题</w:t>
      </w:r>
      <w:r>
        <w:rPr>
          <w:rFonts w:hint="eastAsia" w:eastAsia="方正仿宋_GBK"/>
          <w:color w:val="auto"/>
          <w:sz w:val="30"/>
          <w:szCs w:val="30"/>
          <w:lang w:eastAsia="zh-CN"/>
        </w:rPr>
        <w:t>—</w:t>
      </w:r>
      <w:r>
        <w:rPr>
          <w:rFonts w:hint="eastAsia" w:eastAsia="方正仿宋_GBK"/>
          <w:color w:val="auto"/>
          <w:sz w:val="30"/>
          <w:szCs w:val="30"/>
        </w:rPr>
        <w:t>高校解题</w:t>
      </w:r>
      <w:r>
        <w:rPr>
          <w:rFonts w:hint="eastAsia" w:eastAsia="方正仿宋_GBK"/>
          <w:color w:val="auto"/>
          <w:sz w:val="30"/>
          <w:szCs w:val="30"/>
          <w:lang w:eastAsia="zh-CN"/>
        </w:rPr>
        <w:t>—</w:t>
      </w:r>
      <w:r>
        <w:rPr>
          <w:rFonts w:hint="eastAsia" w:eastAsia="方正仿宋_GBK"/>
          <w:color w:val="auto"/>
          <w:sz w:val="30"/>
          <w:szCs w:val="30"/>
        </w:rPr>
        <w:t>政府助题”机制，推动高校科研优势与企业产业发展需求精准对接。加强与西北工业大学、武汉大学、山</w:t>
      </w:r>
      <w:bookmarkStart w:id="389" w:name="_GoBack"/>
      <w:bookmarkEnd w:id="389"/>
      <w:r>
        <w:rPr>
          <w:rFonts w:hint="eastAsia" w:eastAsia="方正仿宋_GBK"/>
          <w:color w:val="auto"/>
          <w:sz w:val="30"/>
          <w:szCs w:val="30"/>
        </w:rPr>
        <w:t>西煤化所、怀柔实验室等高校和科研机构的合作，通过联合项目攻关、技术转化、成果推广等方式，实现企业、高校与科研机构三方资源共享和优势互补。积极对接山西煤化所、中国科学院</w:t>
      </w:r>
      <w:r>
        <w:rPr>
          <w:rFonts w:hint="eastAsia" w:eastAsia="方正仿宋_GBK"/>
          <w:color w:val="auto"/>
          <w:sz w:val="30"/>
          <w:szCs w:val="30"/>
          <w:shd w:val="clear" w:color="auto" w:fill="FFFFFF"/>
        </w:rPr>
        <w:t>过程</w:t>
      </w:r>
      <w:r>
        <w:rPr>
          <w:rFonts w:hint="eastAsia" w:eastAsia="方正仿宋_GBK"/>
          <w:color w:val="auto"/>
          <w:sz w:val="30"/>
          <w:szCs w:val="30"/>
        </w:rPr>
        <w:t>工程研究所，争取共建固废利用资源化省级重点实验室。推动校地企联合建设新型研发机构、中试基地和技术验证基地，助力关键技术成果转化与产业化发展。支持山西煤化所建设碳纤维产学研中试基地，支持中能建、华阳碳纤维等企业争创省级中试基地。探索开展“先使用后付费”机制和模式，提高科技成果转化效率。</w:t>
      </w:r>
    </w:p>
    <w:p w14:paraId="4CEC8884">
      <w:pPr>
        <w:pStyle w:val="65"/>
        <w:spacing w:line="580" w:lineRule="exact"/>
        <w:ind w:firstLine="602"/>
        <w:rPr>
          <w:rFonts w:hint="eastAsia" w:eastAsia="方正仿宋_GBK"/>
          <w:color w:val="auto"/>
          <w:sz w:val="30"/>
          <w:szCs w:val="30"/>
        </w:rPr>
      </w:pPr>
      <w:r>
        <w:rPr>
          <w:rFonts w:hint="eastAsia" w:eastAsia="方正仿宋_GBK"/>
          <w:b/>
          <w:bCs/>
          <w:color w:val="auto"/>
          <w:sz w:val="30"/>
          <w:szCs w:val="30"/>
        </w:rPr>
        <w:t>完善创新孵化体系。</w:t>
      </w:r>
      <w:r>
        <w:rPr>
          <w:rFonts w:hint="eastAsia" w:eastAsia="方正仿宋_GBK"/>
          <w:color w:val="auto"/>
          <w:sz w:val="30"/>
          <w:szCs w:val="30"/>
        </w:rPr>
        <w:t>探索引入晋创谷创新驱动平台，促进创新资源开放共享和京津科技成果就地转化。建立科技型中小企业知识产权质押贷款、股权质押贷款和信用贷款的损失风险分担机制，对其融资成本进行补助。建设“云冈科创服务驿站”，为科技成果转化提供技术咨询、成果转化、融资担保等一站式服务。健全专利技术转化服务体系，加快培育一批科技成果转移转化企业和市场化运作的技术转移机构，强化科技成果转化的市场化手段支撑。</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82A4FAF">
        <w:tc>
          <w:tcPr>
            <w:tcW w:w="8522" w:type="dxa"/>
            <w:tcBorders>
              <w:top w:val="single" w:color="auto" w:sz="4" w:space="0"/>
              <w:left w:val="single" w:color="auto" w:sz="4" w:space="0"/>
              <w:bottom w:val="single" w:color="auto" w:sz="4" w:space="0"/>
              <w:right w:val="single" w:color="auto" w:sz="4" w:space="0"/>
            </w:tcBorders>
          </w:tcPr>
          <w:p w14:paraId="0C774FAD">
            <w:pPr>
              <w:widowControl/>
              <w:spacing w:line="500" w:lineRule="exact"/>
              <w:ind w:firstLine="0" w:firstLineChars="0"/>
              <w:jc w:val="center"/>
              <w:rPr>
                <w:rFonts w:eastAsia="Times New Roman" w:cs="Times New Roman"/>
                <w:color w:val="auto"/>
                <w:sz w:val="28"/>
                <w:szCs w:val="28"/>
              </w:rPr>
            </w:pPr>
            <w:r>
              <w:rPr>
                <w:rFonts w:hint="eastAsia" w:eastAsia="方正黑体_GBK" w:cs="Times New Roman"/>
                <w:color w:val="auto"/>
                <w:sz w:val="28"/>
                <w:szCs w:val="28"/>
              </w:rPr>
              <w:t>专栏3 重点领域技术攻关重点方向</w:t>
            </w:r>
          </w:p>
          <w:p w14:paraId="1F30975B">
            <w:pPr>
              <w:spacing w:line="500" w:lineRule="exact"/>
              <w:ind w:firstLine="562"/>
              <w:jc w:val="left"/>
              <w:rPr>
                <w:rFonts w:eastAsia="Times New Roman" w:cs="Times New Roman"/>
                <w:color w:val="auto"/>
                <w:kern w:val="0"/>
                <w:sz w:val="28"/>
                <w:szCs w:val="28"/>
              </w:rPr>
            </w:pPr>
            <w:r>
              <w:rPr>
                <w:rFonts w:hint="eastAsia" w:eastAsia="方正仿宋_GBK" w:cs="Times New Roman"/>
                <w:b/>
                <w:bCs/>
                <w:color w:val="auto"/>
                <w:kern w:val="0"/>
                <w:sz w:val="28"/>
                <w:szCs w:val="28"/>
              </w:rPr>
              <w:t>固废资源化利用领域。</w:t>
            </w:r>
            <w:r>
              <w:rPr>
                <w:rFonts w:hint="eastAsia" w:eastAsia="方正仿宋_GBK" w:cs="Times New Roman"/>
                <w:color w:val="auto"/>
                <w:kern w:val="0"/>
                <w:sz w:val="28"/>
                <w:szCs w:val="28"/>
              </w:rPr>
              <w:t>重点突破粉煤灰提取稀有金属、煤矸石建材化等高值化利用技术，推动建设产业化</w:t>
            </w:r>
            <w:r>
              <w:rPr>
                <w:rFonts w:hint="eastAsia" w:eastAsia="方正仿宋_GBK" w:cs="Times New Roman"/>
                <w:color w:val="auto"/>
                <w:kern w:val="0"/>
                <w:sz w:val="28"/>
                <w:szCs w:val="28"/>
                <w:lang w:val="en-US" w:eastAsia="zh-CN"/>
              </w:rPr>
              <w:t>重点</w:t>
            </w:r>
            <w:r>
              <w:rPr>
                <w:rFonts w:hint="eastAsia" w:eastAsia="方正仿宋_GBK" w:cs="Times New Roman"/>
                <w:color w:val="auto"/>
                <w:kern w:val="0"/>
                <w:sz w:val="28"/>
                <w:szCs w:val="28"/>
              </w:rPr>
              <w:t>项目。</w:t>
            </w:r>
          </w:p>
          <w:p w14:paraId="59494F0C">
            <w:pPr>
              <w:spacing w:line="500" w:lineRule="exact"/>
              <w:ind w:firstLine="562"/>
              <w:jc w:val="left"/>
              <w:rPr>
                <w:rFonts w:eastAsia="Times New Roman" w:cs="Times New Roman"/>
                <w:color w:val="auto"/>
                <w:kern w:val="0"/>
                <w:sz w:val="28"/>
                <w:szCs w:val="28"/>
              </w:rPr>
            </w:pPr>
            <w:r>
              <w:rPr>
                <w:rFonts w:hint="eastAsia" w:eastAsia="方正仿宋_GBK" w:cs="Times New Roman"/>
                <w:b/>
                <w:bCs/>
                <w:color w:val="auto"/>
                <w:kern w:val="0"/>
                <w:sz w:val="28"/>
                <w:szCs w:val="28"/>
              </w:rPr>
              <w:t>煤炭开发利用领域。</w:t>
            </w:r>
            <w:r>
              <w:rPr>
                <w:rFonts w:hint="eastAsia" w:eastAsia="方正仿宋_GBK" w:cs="Times New Roman"/>
                <w:color w:val="auto"/>
                <w:kern w:val="0"/>
                <w:sz w:val="28"/>
                <w:szCs w:val="28"/>
              </w:rPr>
              <w:t>着力攻关煤炭绿色开发与煤基新材料技术，提升煤炭智能开采装备与工艺，推进煤基碳纤维等高端碳材料的制备技术研发与中试转化。</w:t>
            </w:r>
          </w:p>
          <w:p w14:paraId="117FD382">
            <w:pPr>
              <w:spacing w:line="500" w:lineRule="exact"/>
              <w:ind w:firstLine="562"/>
              <w:jc w:val="left"/>
              <w:rPr>
                <w:rFonts w:eastAsia="Times New Roman"/>
                <w:color w:val="auto"/>
                <w:kern w:val="0"/>
              </w:rPr>
            </w:pPr>
            <w:r>
              <w:rPr>
                <w:rFonts w:hint="eastAsia" w:eastAsia="方正仿宋_GBK" w:cs="Times New Roman"/>
                <w:b/>
                <w:bCs/>
                <w:color w:val="auto"/>
                <w:kern w:val="0"/>
                <w:sz w:val="28"/>
                <w:szCs w:val="28"/>
              </w:rPr>
              <w:t>储能领域。</w:t>
            </w:r>
            <w:r>
              <w:rPr>
                <w:rFonts w:hint="eastAsia" w:eastAsia="方正仿宋_GBK" w:cs="Times New Roman"/>
                <w:color w:val="auto"/>
                <w:kern w:val="0"/>
                <w:sz w:val="28"/>
                <w:szCs w:val="28"/>
              </w:rPr>
              <w:t>积极布局电化学储能、飞轮储能等多技术路线，开展大容量、长周期储能系统集成与智能调控技术研究。</w:t>
            </w:r>
          </w:p>
        </w:tc>
      </w:tr>
    </w:tbl>
    <w:p w14:paraId="1B933B70">
      <w:pPr>
        <w:pStyle w:val="65"/>
        <w:spacing w:line="580" w:lineRule="exact"/>
        <w:ind w:firstLine="0" w:firstLineChars="0"/>
        <w:rPr>
          <w:rFonts w:hint="eastAsia" w:eastAsia="方正仿宋_GBK"/>
          <w:color w:val="auto"/>
          <w:sz w:val="30"/>
          <w:szCs w:val="30"/>
        </w:rPr>
      </w:pPr>
    </w:p>
    <w:p w14:paraId="33807A0F">
      <w:pPr>
        <w:spacing w:line="580" w:lineRule="exact"/>
        <w:ind w:firstLine="0" w:firstLineChars="0"/>
        <w:jc w:val="center"/>
        <w:outlineLvl w:val="1"/>
        <w:rPr>
          <w:rFonts w:eastAsia="方正仿宋_GBK"/>
          <w:b/>
          <w:bCs/>
          <w:color w:val="auto"/>
          <w:sz w:val="30"/>
          <w:szCs w:val="30"/>
        </w:rPr>
      </w:pPr>
      <w:bookmarkStart w:id="132" w:name="_Toc1645507121"/>
      <w:bookmarkStart w:id="133" w:name="_Toc921301458"/>
      <w:r>
        <w:rPr>
          <w:rFonts w:hint="eastAsia" w:eastAsia="楷体"/>
          <w:color w:val="auto"/>
          <w:sz w:val="30"/>
          <w:szCs w:val="30"/>
        </w:rPr>
        <w:t>第二节  一体推动教育科技人才发展</w:t>
      </w:r>
      <w:bookmarkEnd w:id="132"/>
      <w:bookmarkEnd w:id="133"/>
    </w:p>
    <w:p w14:paraId="0013D68E">
      <w:pPr>
        <w:pStyle w:val="65"/>
        <w:spacing w:line="580" w:lineRule="exact"/>
        <w:ind w:firstLine="602"/>
        <w:rPr>
          <w:rFonts w:eastAsia="方正仿宋_GBK"/>
          <w:color w:val="auto"/>
          <w:sz w:val="30"/>
          <w:szCs w:val="30"/>
        </w:rPr>
      </w:pPr>
      <w:r>
        <w:rPr>
          <w:rFonts w:hint="eastAsia" w:eastAsia="方正仿宋_GBK"/>
          <w:b/>
          <w:bCs/>
          <w:color w:val="auto"/>
          <w:sz w:val="30"/>
          <w:szCs w:val="30"/>
        </w:rPr>
        <w:t>靶向精准引育高层次人才。</w:t>
      </w:r>
      <w:r>
        <w:rPr>
          <w:rFonts w:hint="eastAsia" w:eastAsia="方正仿宋_GBK"/>
          <w:color w:val="auto"/>
          <w:sz w:val="30"/>
          <w:szCs w:val="30"/>
        </w:rPr>
        <w:t>深入实施人才强区战略，严格落实“双十六条”人才政策。贯彻落实省、市人才政策，积极组织并支持符合条件的高层次人才参与“三晋英才”计划、高层次人才认定等各类人才申报工作。完善全区人才数据库，实现人才信息动态管理与高效调用，夯实靶向引才数据基础。围绕产业升级、教育医疗、乡村振兴等重点领域，统筹制定涵盖高层次人才、急需紧缺人才、产业领军人才等各类人才专项引进计划，构建多层次人才队伍体系。创新人才引进模式，通过顾问指导、兼职服务、“候鸟式”聘任、</w:t>
      </w:r>
      <w:r>
        <w:rPr>
          <w:rFonts w:hint="eastAsia" w:eastAsia="方正仿宋_GBK"/>
          <w:color w:val="auto"/>
          <w:sz w:val="30"/>
          <w:szCs w:val="30"/>
          <w:lang w:eastAsia="zh-CN"/>
        </w:rPr>
        <w:t>“</w:t>
      </w:r>
      <w:r>
        <w:rPr>
          <w:rFonts w:hint="eastAsia" w:eastAsia="方正仿宋_GBK"/>
          <w:color w:val="auto"/>
          <w:sz w:val="30"/>
          <w:szCs w:val="30"/>
        </w:rPr>
        <w:t>星期天工程师</w:t>
      </w:r>
      <w:r>
        <w:rPr>
          <w:rFonts w:hint="eastAsia" w:eastAsia="方正仿宋_GBK"/>
          <w:color w:val="auto"/>
          <w:sz w:val="30"/>
          <w:szCs w:val="30"/>
          <w:lang w:eastAsia="zh-CN"/>
        </w:rPr>
        <w:t>”</w:t>
      </w:r>
      <w:r>
        <w:rPr>
          <w:rFonts w:hint="eastAsia" w:eastAsia="方正仿宋_GBK"/>
          <w:color w:val="auto"/>
          <w:sz w:val="30"/>
          <w:szCs w:val="30"/>
        </w:rPr>
        <w:t>等多元方式，实施柔性引才。组织各领域专家人才开展国情研修，加强对人才的政治引领和政治吸纳。</w:t>
      </w:r>
    </w:p>
    <w:p w14:paraId="0B6AF335">
      <w:pPr>
        <w:pStyle w:val="65"/>
        <w:spacing w:line="580" w:lineRule="exact"/>
        <w:ind w:firstLine="602"/>
        <w:rPr>
          <w:rFonts w:eastAsia="方正仿宋_GBK"/>
          <w:color w:val="auto"/>
          <w:sz w:val="30"/>
          <w:szCs w:val="30"/>
        </w:rPr>
      </w:pPr>
      <w:r>
        <w:rPr>
          <w:rFonts w:hint="eastAsia" w:eastAsia="方正仿宋_GBK"/>
          <w:b/>
          <w:bCs/>
          <w:color w:val="auto"/>
          <w:sz w:val="30"/>
          <w:szCs w:val="30"/>
        </w:rPr>
        <w:t>构建产教协同的实用型人才培养体系。</w:t>
      </w:r>
      <w:r>
        <w:rPr>
          <w:rFonts w:hint="eastAsia" w:eastAsia="方正仿宋_GBK"/>
          <w:color w:val="auto"/>
          <w:sz w:val="30"/>
          <w:szCs w:val="30"/>
        </w:rPr>
        <w:t>完善人才自主培养机制，加强本土人才培养与青年人才梯队建设，壮大高技能人才队伍。全力支持山西大学大同校区建设，围绕煤炭清洁高效利用、储能、智能制造等重点产业方向，动态优化专业设置。高水平搭建产教融合信息公共平台，推动校企合作共建实训基地，推行“订单式”培养与现代学徒制，定向培育大批实用型技术技能人才。</w:t>
      </w:r>
    </w:p>
    <w:p w14:paraId="66315AE3">
      <w:pPr>
        <w:spacing w:line="580" w:lineRule="exact"/>
        <w:ind w:firstLine="602"/>
        <w:rPr>
          <w:rFonts w:eastAsia="楷体_GB2312" w:cs="楷体_GB2312"/>
          <w:b/>
          <w:bCs/>
          <w:color w:val="auto"/>
          <w:sz w:val="32"/>
          <w:szCs w:val="32"/>
        </w:rPr>
      </w:pPr>
      <w:r>
        <w:rPr>
          <w:rFonts w:hint="eastAsia" w:eastAsia="方正仿宋_GBK"/>
          <w:b/>
          <w:bCs/>
          <w:color w:val="auto"/>
          <w:sz w:val="30"/>
          <w:szCs w:val="30"/>
        </w:rPr>
        <w:t>推动有利于干事创业的制度改革。</w:t>
      </w:r>
      <w:r>
        <w:rPr>
          <w:rFonts w:hint="eastAsia" w:eastAsia="方正仿宋_GBK"/>
          <w:color w:val="auto"/>
          <w:sz w:val="30"/>
          <w:szCs w:val="30"/>
        </w:rPr>
        <w:t>深化科研领域“放管服”改革，探索实施“包干</w:t>
      </w:r>
      <w:r>
        <w:rPr>
          <w:rFonts w:hint="eastAsia" w:eastAsia="方正仿宋_GBK" w:cs="方正仿宋_GBK"/>
          <w:color w:val="auto"/>
          <w:sz w:val="30"/>
          <w:szCs w:val="30"/>
        </w:rPr>
        <w:t>+</w:t>
      </w:r>
      <w:r>
        <w:rPr>
          <w:rFonts w:hint="eastAsia" w:eastAsia="方正仿宋_GBK"/>
          <w:color w:val="auto"/>
          <w:sz w:val="30"/>
          <w:szCs w:val="30"/>
        </w:rPr>
        <w:t>负面清单”制度，赋予科研人员更大的技术路线决定权、科研经费自主支配权、资源调度权。聚焦科技成果转化关键环节，深化职务科技成果权属改革，健全职务科技成果收益分配机制。推进人才管理体制改革，进一步破除人才引进、培养、使用、评价、流动、激励等方面的体制机制障碍，实行更加积极开放的人才政策。健全符合教育科研活动和人才成长规律的分类评价体系和考核机制，完善以创新能力、质量、实效、贡献为导向的评价激励机制。优化人才服务体系，强化人才待遇保障，充分激发人才创新创造活力。</w:t>
      </w:r>
    </w:p>
    <w:p w14:paraId="0A00E22B">
      <w:pPr>
        <w:spacing w:line="580" w:lineRule="exact"/>
        <w:ind w:firstLine="0" w:firstLineChars="0"/>
        <w:jc w:val="center"/>
        <w:outlineLvl w:val="1"/>
        <w:rPr>
          <w:rFonts w:eastAsia="楷体"/>
          <w:color w:val="auto"/>
          <w:sz w:val="30"/>
          <w:szCs w:val="30"/>
        </w:rPr>
      </w:pPr>
      <w:bookmarkStart w:id="134" w:name="_Toc956509736"/>
      <w:bookmarkStart w:id="135" w:name="_Toc743776581"/>
      <w:r>
        <w:rPr>
          <w:rFonts w:hint="eastAsia" w:eastAsia="楷体"/>
          <w:color w:val="auto"/>
          <w:sz w:val="30"/>
          <w:szCs w:val="30"/>
        </w:rPr>
        <w:t>第三节  实施“人工智能+”赋能行动</w:t>
      </w:r>
      <w:bookmarkEnd w:id="134"/>
      <w:bookmarkEnd w:id="135"/>
    </w:p>
    <w:p w14:paraId="2DB8B1DC">
      <w:pPr>
        <w:pStyle w:val="26"/>
        <w:widowControl/>
        <w:spacing w:line="580" w:lineRule="exact"/>
        <w:ind w:firstLine="602"/>
        <w:rPr>
          <w:rFonts w:eastAsia="方正仿宋_GBK"/>
          <w:color w:val="auto"/>
          <w:sz w:val="30"/>
          <w:szCs w:val="30"/>
        </w:rPr>
      </w:pPr>
      <w:r>
        <w:rPr>
          <w:rFonts w:hint="eastAsia" w:eastAsia="方正仿宋_GBK"/>
          <w:b/>
          <w:bCs/>
          <w:color w:val="auto"/>
          <w:sz w:val="30"/>
          <w:szCs w:val="30"/>
        </w:rPr>
        <w:t>推动“人工智能+产业”深度融合。</w:t>
      </w:r>
      <w:r>
        <w:rPr>
          <w:rFonts w:hint="eastAsia" w:eastAsia="方正仿宋_GBK"/>
          <w:color w:val="auto"/>
          <w:sz w:val="30"/>
          <w:szCs w:val="30"/>
        </w:rPr>
        <w:t>推进工业互联网与人工智能一体化部署，加快新型工业网络基础设施建设，系统规划并建设覆盖全区的工业互联网标识解析节点与平台，构建低时延、高可靠、广覆盖的新型工业网络基础设施。推动典型应用场景的规模化落地，重点在煤炭、储能、新能源及装备制造等优势产业，推广机器视觉质量检测、设备预测性维护、远程智能操控、智能巡检与安全生产管理等解决方案，提升生产自动化水平。梯度培育一批智能工厂，鼓励重点企业建设数字化车间和智能生产线，推动设计、生产、管理、服务全流程智能化改造。</w:t>
      </w:r>
    </w:p>
    <w:p w14:paraId="06BBE2C7">
      <w:pPr>
        <w:pStyle w:val="65"/>
        <w:spacing w:line="580" w:lineRule="exact"/>
        <w:ind w:firstLine="602"/>
        <w:rPr>
          <w:rFonts w:eastAsia="方正仿宋_GBK"/>
          <w:color w:val="auto"/>
          <w:sz w:val="30"/>
          <w:szCs w:val="30"/>
        </w:rPr>
      </w:pPr>
      <w:r>
        <w:rPr>
          <w:rFonts w:hint="eastAsia" w:eastAsia="方正仿宋_GBK" w:cs="方正仿宋_GBK"/>
          <w:b/>
          <w:bCs/>
          <w:color w:val="auto"/>
          <w:sz w:val="30"/>
          <w:szCs w:val="30"/>
        </w:rPr>
        <w:t>拓展“人工智能+民生”服务场景。</w:t>
      </w:r>
      <w:r>
        <w:rPr>
          <w:rFonts w:hint="eastAsia" w:eastAsia="方正仿宋_GBK"/>
          <w:color w:val="auto"/>
          <w:sz w:val="30"/>
          <w:szCs w:val="30"/>
        </w:rPr>
        <w:t>发展智慧教育，建设“智慧校园”，推动AI助教、个性化学习、智慧评测等应用。构建区域智慧健康平台，推广</w:t>
      </w:r>
      <w:r>
        <w:rPr>
          <w:rFonts w:hint="eastAsia" w:eastAsia="方正仿宋_GBK" w:cs="方正仿宋_GBK"/>
          <w:color w:val="auto"/>
          <w:sz w:val="30"/>
          <w:szCs w:val="30"/>
        </w:rPr>
        <w:t>AI</w:t>
      </w:r>
      <w:r>
        <w:rPr>
          <w:rFonts w:hint="eastAsia" w:eastAsia="方正仿宋_GBK"/>
          <w:color w:val="auto"/>
          <w:sz w:val="30"/>
          <w:szCs w:val="30"/>
        </w:rPr>
        <w:t>辅助诊疗、医学影像分析、慢性病智能管理等服务，提升基层医疗服务能力与效率。构建智能养老体系，发展智能康养设备、居家养老监护系统、老年人情感陪护机器人等，实现对特殊情况的主动预警与快速响应。探索运用</w:t>
      </w:r>
      <w:r>
        <w:rPr>
          <w:rFonts w:hint="eastAsia" w:eastAsia="方正仿宋_GBK" w:cs="方正仿宋_GBK"/>
          <w:color w:val="auto"/>
          <w:sz w:val="30"/>
          <w:szCs w:val="30"/>
        </w:rPr>
        <w:t>AI</w:t>
      </w:r>
      <w:r>
        <w:rPr>
          <w:rFonts w:hint="eastAsia" w:eastAsia="方正仿宋_GBK"/>
          <w:color w:val="auto"/>
          <w:sz w:val="30"/>
          <w:szCs w:val="30"/>
        </w:rPr>
        <w:t>进行安全看护、健康监测与早期启蒙，缓解家庭照护压力。利用人工智能技术精准匹配就业供需，提供个性化职业技能培训推荐。</w:t>
      </w:r>
    </w:p>
    <w:p w14:paraId="5DCDE959">
      <w:pPr>
        <w:pStyle w:val="65"/>
        <w:spacing w:line="580" w:lineRule="exact"/>
        <w:ind w:firstLine="602"/>
        <w:rPr>
          <w:rFonts w:eastAsia="方正仿宋_GBK" w:cs="方正仿宋_GBK"/>
          <w:color w:val="auto"/>
          <w:sz w:val="30"/>
          <w:szCs w:val="30"/>
        </w:rPr>
      </w:pPr>
      <w:r>
        <w:rPr>
          <w:rFonts w:hint="eastAsia" w:eastAsia="方正仿宋_GBK" w:cs="方正仿宋_GBK"/>
          <w:b/>
          <w:bCs/>
          <w:color w:val="auto"/>
          <w:sz w:val="30"/>
          <w:szCs w:val="30"/>
        </w:rPr>
        <w:t>提升“人工智能+治理”效能。</w:t>
      </w:r>
      <w:r>
        <w:rPr>
          <w:rFonts w:hint="eastAsia" w:eastAsia="方正仿宋_GBK" w:cs="方正仿宋_GBK"/>
          <w:color w:val="auto"/>
          <w:sz w:val="30"/>
          <w:szCs w:val="30"/>
        </w:rPr>
        <w:t>以人工智能技术为核心驱动，推动城市治理模式由被动处置向主动预见、精准高效转变。筑牢智慧治理数字基底，深化城市信息模型（CIM）平台建设，构建高精度、全要素的城市三维数字孪生体，整合城市部件、建筑、管网等数据，实现对物理城市的精准映射与动态仿真。强化城市运行智能感知与调度，应用AI视频监控与多源数据分析，实现对大气污染、水污染的实时溯源与精准治理。构建智慧水利系统，加强对雨情、水情、汛情的智能预测与调度。建立智能监测预警与指挥救援体系，提升对自然灾害、生产安全事故的响应效率。推动AI技术在交通疏导、市容管理、治安防控、市场监管等领域的深度应用，实现主动感知、智能派单、高效处置的管理闭环。</w:t>
      </w:r>
    </w:p>
    <w:p w14:paraId="3E8853EA">
      <w:pPr>
        <w:pStyle w:val="65"/>
        <w:spacing w:line="580" w:lineRule="exact"/>
        <w:ind w:firstLine="0" w:firstLineChars="0"/>
        <w:rPr>
          <w:rFonts w:eastAsia="方正仿宋_GBK" w:cs="方正仿宋_GBK"/>
          <w:color w:val="auto"/>
          <w:sz w:val="30"/>
          <w:szCs w:val="30"/>
        </w:rPr>
      </w:pPr>
    </w:p>
    <w:bookmarkEnd w:id="69"/>
    <w:bookmarkEnd w:id="70"/>
    <w:bookmarkEnd w:id="71"/>
    <w:bookmarkEnd w:id="100"/>
    <w:bookmarkEnd w:id="101"/>
    <w:p w14:paraId="43BD2634">
      <w:pPr>
        <w:spacing w:line="580" w:lineRule="exact"/>
        <w:ind w:firstLine="480"/>
        <w:rPr>
          <w:rFonts w:eastAsia="方正黑体_GBK" w:cs="方正黑体_GBK"/>
          <w:color w:val="auto"/>
        </w:rPr>
      </w:pPr>
      <w:bookmarkStart w:id="136" w:name="_Toc1918709620"/>
      <w:bookmarkStart w:id="137" w:name="_Toc1038606106"/>
      <w:bookmarkStart w:id="138" w:name="_Toc1739274570"/>
      <w:bookmarkStart w:id="139" w:name="_Toc2064030746"/>
      <w:bookmarkStart w:id="140" w:name="_Toc760105807"/>
      <w:bookmarkStart w:id="141" w:name="_Toc184070778"/>
      <w:bookmarkStart w:id="142" w:name="_Toc1382019519"/>
      <w:bookmarkStart w:id="143" w:name="_Toc1831869245"/>
      <w:r>
        <w:rPr>
          <w:rFonts w:hint="eastAsia" w:eastAsia="方正黑体_GBK" w:cs="方正黑体_GBK"/>
          <w:color w:val="auto"/>
        </w:rPr>
        <w:br w:type="page"/>
      </w:r>
    </w:p>
    <w:bookmarkEnd w:id="136"/>
    <w:bookmarkEnd w:id="137"/>
    <w:p w14:paraId="46825415">
      <w:pPr>
        <w:pStyle w:val="61"/>
        <w:spacing w:before="156" w:beforeLines="50" w:after="156" w:afterLines="50" w:line="580" w:lineRule="exact"/>
        <w:ind w:firstLine="0" w:firstLineChars="0"/>
        <w:jc w:val="center"/>
        <w:rPr>
          <w:rFonts w:hint="eastAsia" w:ascii="Times New Roman" w:hAnsi="Times New Roman" w:eastAsia="方正黑体_GBK" w:cs="方正黑体_GBK"/>
          <w:color w:val="auto"/>
        </w:rPr>
      </w:pPr>
      <w:bookmarkStart w:id="144" w:name="_Toc2144035157"/>
      <w:bookmarkStart w:id="145" w:name="_Toc150687680"/>
      <w:r>
        <w:rPr>
          <w:rFonts w:hint="eastAsia" w:ascii="Times New Roman" w:hAnsi="Times New Roman" w:eastAsia="方正黑体_GBK" w:cs="方正黑体_GBK"/>
          <w:color w:val="auto"/>
          <w:lang w:val="en-US" w:eastAsia="zh-CN"/>
        </w:rPr>
        <w:t xml:space="preserve">  </w:t>
      </w:r>
      <w:r>
        <w:rPr>
          <w:rFonts w:hint="eastAsia" w:ascii="Times New Roman" w:hAnsi="Times New Roman" w:eastAsia="方正黑体_GBK" w:cs="方正黑体_GBK"/>
          <w:color w:val="auto"/>
        </w:rPr>
        <w:t xml:space="preserve">第五章 </w:t>
      </w:r>
      <w:bookmarkStart w:id="146" w:name="OLE_LINK37"/>
      <w:r>
        <w:rPr>
          <w:rFonts w:hint="eastAsia" w:ascii="Times New Roman" w:hAnsi="Times New Roman" w:eastAsia="方正黑体_GBK" w:cs="方正黑体_GBK"/>
          <w:color w:val="auto"/>
        </w:rPr>
        <w:t>挖掘文化创新潜能 绘就云冈大景区全域旅游</w:t>
      </w:r>
    </w:p>
    <w:p w14:paraId="62476152">
      <w:pPr>
        <w:pStyle w:val="61"/>
        <w:spacing w:before="156" w:beforeLines="50" w:after="156" w:afterLines="50" w:line="580" w:lineRule="exact"/>
        <w:ind w:firstLine="0" w:firstLineChars="0"/>
        <w:jc w:val="center"/>
        <w:rPr>
          <w:rFonts w:ascii="Times New Roman" w:hAnsi="Times New Roman" w:eastAsia="方正黑体_GBK" w:cs="方正黑体_GBK"/>
          <w:color w:val="auto"/>
        </w:rPr>
      </w:pPr>
      <w:r>
        <w:rPr>
          <w:rFonts w:hint="eastAsia" w:ascii="Times New Roman" w:hAnsi="Times New Roman" w:eastAsia="方正黑体_GBK" w:cs="方正黑体_GBK"/>
          <w:color w:val="auto"/>
        </w:rPr>
        <w:t>新画卷</w:t>
      </w:r>
      <w:bookmarkEnd w:id="144"/>
      <w:bookmarkEnd w:id="145"/>
      <w:bookmarkEnd w:id="146"/>
    </w:p>
    <w:p w14:paraId="27DEBB48">
      <w:pPr>
        <w:pStyle w:val="65"/>
        <w:spacing w:line="580" w:lineRule="exact"/>
        <w:ind w:firstLine="600"/>
        <w:rPr>
          <w:rFonts w:eastAsia="方正仿宋_GBK" w:cs="方正仿宋_GBK"/>
          <w:color w:val="auto"/>
          <w:sz w:val="30"/>
          <w:szCs w:val="30"/>
        </w:rPr>
      </w:pPr>
      <w:r>
        <w:rPr>
          <w:rFonts w:hint="eastAsia" w:eastAsia="方正仿宋_GBK" w:cs="方正仿宋_GBK"/>
          <w:color w:val="auto"/>
          <w:sz w:val="30"/>
          <w:szCs w:val="30"/>
        </w:rPr>
        <w:t>坚持马克思主义在意识形态领域的指导地位，立足云冈石窟这一世界文化遗产的独特优势，统筹文物保护、艺术创作与产业融合联动发展，提升文旅供给和服务水平，将丰厚的文化和旅游资源转化为发展势能，扎实推动文化强区建设。</w:t>
      </w:r>
    </w:p>
    <w:p w14:paraId="3DCBDEC4">
      <w:pPr>
        <w:spacing w:line="580" w:lineRule="exact"/>
        <w:ind w:firstLine="0" w:firstLineChars="0"/>
        <w:jc w:val="center"/>
        <w:outlineLvl w:val="1"/>
        <w:rPr>
          <w:rFonts w:eastAsia="楷体" w:cs="Times New Roman"/>
          <w:color w:val="auto"/>
          <w:sz w:val="30"/>
          <w:szCs w:val="30"/>
        </w:rPr>
      </w:pPr>
      <w:bookmarkStart w:id="147" w:name="_Toc23287039"/>
      <w:bookmarkStart w:id="148" w:name="_Toc724617947"/>
      <w:bookmarkStart w:id="149" w:name="_Toc1105740726"/>
      <w:bookmarkStart w:id="150" w:name="_Toc1138139988"/>
      <w:r>
        <w:rPr>
          <w:rFonts w:hint="eastAsia" w:eastAsia="楷体" w:cs="Times New Roman"/>
          <w:color w:val="auto"/>
          <w:sz w:val="30"/>
          <w:szCs w:val="30"/>
        </w:rPr>
        <w:t>第一节  弘扬践行社会主义核心价值观</w:t>
      </w:r>
      <w:bookmarkEnd w:id="147"/>
      <w:bookmarkEnd w:id="148"/>
    </w:p>
    <w:p w14:paraId="14526211">
      <w:pPr>
        <w:pStyle w:val="65"/>
        <w:spacing w:line="580" w:lineRule="exact"/>
        <w:ind w:firstLine="601" w:firstLineChars="0"/>
        <w:rPr>
          <w:rFonts w:eastAsia="方正仿宋_GBK" w:cs="方正仿宋_GBK"/>
          <w:color w:val="auto"/>
          <w:sz w:val="30"/>
          <w:szCs w:val="30"/>
        </w:rPr>
      </w:pPr>
      <w:bookmarkStart w:id="151" w:name="_Toc11447"/>
      <w:r>
        <w:rPr>
          <w:rFonts w:hint="eastAsia" w:eastAsia="方正仿宋_GBK" w:cs="方正仿宋_GBK"/>
          <w:b/>
          <w:bCs/>
          <w:color w:val="auto"/>
          <w:sz w:val="30"/>
          <w:szCs w:val="30"/>
        </w:rPr>
        <w:t>加强党的创新理论武装</w:t>
      </w:r>
      <w:bookmarkEnd w:id="151"/>
      <w:r>
        <w:rPr>
          <w:rFonts w:hint="eastAsia" w:eastAsia="方正仿宋_GBK" w:cs="方正仿宋_GBK"/>
          <w:b/>
          <w:bCs/>
          <w:color w:val="auto"/>
          <w:sz w:val="30"/>
          <w:szCs w:val="30"/>
        </w:rPr>
        <w:t>。</w:t>
      </w:r>
      <w:r>
        <w:rPr>
          <w:rFonts w:hint="eastAsia" w:eastAsia="方正仿宋_GBK" w:cs="方正仿宋_GBK"/>
          <w:color w:val="auto"/>
          <w:sz w:val="30"/>
          <w:szCs w:val="30"/>
        </w:rPr>
        <w:t>深化党的创新理论学习，用好党委（党组）理论学习中心组、“学习强国”等平台，构建铸牢中华民族共同体意识宣传教育常态化机制。坚持不懈学习习近平新时代中国特色社会主义思想，扎实推进马克思主义理论研究和建设工程。深入实施哲学社会科学创新工程，壮大哲学社会科学力量。充分发挥理论宣讲体系作用，开展对象化、分众化、互动化宣讲。完善意识形态风险提前预防、提前发现、提前处置机制。</w:t>
      </w:r>
    </w:p>
    <w:p w14:paraId="2228E592">
      <w:pPr>
        <w:pStyle w:val="65"/>
        <w:spacing w:line="580" w:lineRule="exact"/>
        <w:ind w:firstLine="602"/>
        <w:rPr>
          <w:rFonts w:eastAsia="方正仿宋_GBK" w:cs="方正仿宋_GBK"/>
          <w:color w:val="auto"/>
          <w:sz w:val="30"/>
          <w:szCs w:val="30"/>
        </w:rPr>
      </w:pPr>
      <w:r>
        <w:rPr>
          <w:rFonts w:hint="eastAsia" w:eastAsia="方正仿宋_GBK" w:cs="方正仿宋_GBK"/>
          <w:b/>
          <w:bCs/>
          <w:color w:val="auto"/>
          <w:sz w:val="30"/>
          <w:szCs w:val="30"/>
        </w:rPr>
        <w:t>加强“文明云冈”建设。</w:t>
      </w:r>
      <w:r>
        <w:rPr>
          <w:rFonts w:hint="eastAsia" w:eastAsia="方正仿宋_GBK" w:cs="方正仿宋_GBK"/>
          <w:color w:val="auto"/>
          <w:sz w:val="30"/>
          <w:szCs w:val="30"/>
        </w:rPr>
        <w:t>坚持用社会主义核心价值观铸魂育人，健全社会公德、职业道德、家庭美德、个人品德建设体制机制。统筹推动文明培育、文明实践、文明创建，推进城乡精神文明建设融合发展，提升人民文明素养和社会文明程度。更好发挥红色革命旧址教育功能，深化革命文物价值研究阐释，赓续红色血脉。用好云冈区廉洁文化教育馆等文化教育资源，弘扬诚信文化、廉洁文化。加强和改进思想政治工作，用活大同煤矿“万人坑”遗址纪念馆等国防和爱国主义教育基地，推进校园文化建设，加强青少年理想信念教育。</w:t>
      </w:r>
    </w:p>
    <w:p w14:paraId="30CEE963">
      <w:pPr>
        <w:pStyle w:val="65"/>
        <w:spacing w:line="580" w:lineRule="exact"/>
        <w:ind w:firstLine="602"/>
        <w:rPr>
          <w:rFonts w:eastAsia="方正仿宋_GBK" w:cs="方正仿宋_GBK"/>
          <w:color w:val="auto"/>
          <w:sz w:val="30"/>
          <w:szCs w:val="30"/>
        </w:rPr>
      </w:pPr>
      <w:r>
        <w:rPr>
          <w:rFonts w:hint="eastAsia" w:eastAsia="方正仿宋_GBK" w:cs="方正仿宋_GBK"/>
          <w:b/>
          <w:bCs/>
          <w:color w:val="auto"/>
          <w:sz w:val="30"/>
          <w:szCs w:val="30"/>
        </w:rPr>
        <w:t>深化舆论工作和网络阵地建设。</w:t>
      </w:r>
      <w:r>
        <w:rPr>
          <w:rFonts w:hint="eastAsia" w:eastAsia="方正仿宋_GBK" w:cs="方正仿宋_GBK"/>
          <w:color w:val="auto"/>
          <w:sz w:val="30"/>
          <w:szCs w:val="30"/>
        </w:rPr>
        <w:t>坚持正确舆论导向，构建新闻宣传和网络舆论一体化管理机制，压实网络意识形态工作责任制、网络安全工作责任制。引入人工智能、大数据分析技术，建设覆盖全网的舆情监测平台，完善舆情分析研判和预警、社会热点引导、重大舆情协调联动处置机制。加强网络内容建设和阵地管理，紧盯重点平台、重点服务类型和重要环节，持续开展“清朗”“清风”“净网”等系列专项行动。实施“网络安全护城河”工程，持续开展网络安全进校园、进企业、进社区活动，推广“国家反诈中心”APP安装使用，提升全民网络安全意识。加强网络生态治理，持续营造风清气正的网络空间，提升信息化条件下文化领域治理能力。</w:t>
      </w:r>
    </w:p>
    <w:p w14:paraId="22CDAD38">
      <w:pPr>
        <w:spacing w:line="580" w:lineRule="exact"/>
        <w:ind w:firstLine="0" w:firstLineChars="0"/>
        <w:jc w:val="center"/>
        <w:outlineLvl w:val="1"/>
        <w:rPr>
          <w:rFonts w:eastAsia="楷体" w:cs="Times New Roman"/>
          <w:color w:val="auto"/>
          <w:sz w:val="30"/>
          <w:szCs w:val="30"/>
        </w:rPr>
      </w:pPr>
      <w:bookmarkStart w:id="152" w:name="_Toc274073092"/>
      <w:bookmarkStart w:id="153" w:name="_Toc543240719"/>
      <w:r>
        <w:rPr>
          <w:rFonts w:hint="eastAsia" w:eastAsia="楷体" w:cs="Times New Roman"/>
          <w:color w:val="auto"/>
          <w:sz w:val="30"/>
          <w:szCs w:val="30"/>
        </w:rPr>
        <w:t>第二节  繁荣发展文化事业和文化产业</w:t>
      </w:r>
      <w:bookmarkEnd w:id="149"/>
      <w:bookmarkEnd w:id="150"/>
      <w:bookmarkEnd w:id="152"/>
      <w:bookmarkEnd w:id="153"/>
    </w:p>
    <w:p w14:paraId="05EFA94C">
      <w:pPr>
        <w:pStyle w:val="65"/>
        <w:spacing w:line="580" w:lineRule="exact"/>
        <w:ind w:firstLine="602"/>
        <w:rPr>
          <w:rFonts w:eastAsia="方正仿宋_GBK" w:cs="Times New Roman"/>
          <w:color w:val="auto"/>
          <w:sz w:val="30"/>
          <w:szCs w:val="30"/>
        </w:rPr>
      </w:pPr>
      <w:bookmarkStart w:id="154" w:name="_Toc2008384391"/>
      <w:bookmarkStart w:id="155" w:name="_Toc1081934487"/>
      <w:r>
        <w:rPr>
          <w:rFonts w:hint="eastAsia" w:eastAsia="方正仿宋_GBK" w:cs="方正仿宋_GBK"/>
          <w:b/>
          <w:bCs/>
          <w:color w:val="auto"/>
          <w:sz w:val="30"/>
          <w:szCs w:val="30"/>
        </w:rPr>
        <w:t>加强文化遗产系统保护。</w:t>
      </w:r>
      <w:r>
        <w:rPr>
          <w:rFonts w:hint="eastAsia" w:eastAsia="方正仿宋_GBK" w:cs="Times New Roman"/>
          <w:color w:val="auto"/>
          <w:sz w:val="30"/>
          <w:szCs w:val="30"/>
        </w:rPr>
        <w:t>建立文化遗产保护传承工作协调机构，完善保护督察制度，开展全区不可移动文物全面核查，加强低级别文物保护，加强档案文献遗产保护传承。加大云冈石窟保护力度，推进云冈学研究，完善建设云冈石窟数字化保护展示设施。实施禅房寺塔、高店关帝庙、胡氏宅院等修缮工程。加强云冈石窟、大同煤矿万人坑、观音堂等国保单位周边环境整治与安全防护，推进口泉老街保护更新，推动在文化街区内开设非遗体验馆</w:t>
      </w:r>
      <w:r>
        <w:rPr>
          <w:rFonts w:hint="eastAsia" w:eastAsia="方正仿宋_GBK" w:cs="Times New Roman"/>
          <w:color w:val="auto"/>
          <w:sz w:val="30"/>
          <w:szCs w:val="30"/>
          <w:highlight w:val="none"/>
        </w:rPr>
        <w:t>，</w:t>
      </w:r>
      <w:r>
        <w:rPr>
          <w:rFonts w:hint="eastAsia" w:eastAsia="方正仿宋_GBK" w:cs="方正仿宋_GBK"/>
          <w:color w:val="auto"/>
          <w:sz w:val="30"/>
          <w:szCs w:val="30"/>
          <w:highlight w:val="none"/>
        </w:rPr>
        <w:t>在西韩岭、杨家窑等乡村旅游重点村建设一批</w:t>
      </w:r>
      <w:r>
        <w:rPr>
          <w:rFonts w:hint="eastAsia" w:eastAsia="方正仿宋_GBK" w:cs="方正仿宋_GBK"/>
          <w:color w:val="auto"/>
          <w:sz w:val="30"/>
          <w:szCs w:val="30"/>
          <w:highlight w:val="none"/>
          <w:lang w:val="en-US" w:eastAsia="zh-CN"/>
        </w:rPr>
        <w:t>文旅体验设施</w:t>
      </w:r>
      <w:r>
        <w:rPr>
          <w:rFonts w:hint="eastAsia" w:eastAsia="方正仿宋_GBK" w:cs="Times New Roman"/>
          <w:color w:val="auto"/>
          <w:sz w:val="30"/>
          <w:szCs w:val="30"/>
        </w:rPr>
        <w:t>。实施长城系列文物修缮工程，持续打造“长城脚下的非遗之旅”系列品牌活动。推动张留庄地秧歌、晋福面塑等省市级非遗项目数字化记录和活态传承发展。举办非遗贺新春、云冈文化庙会等非遗主题活动。</w:t>
      </w:r>
    </w:p>
    <w:p w14:paraId="61255D37">
      <w:pPr>
        <w:pStyle w:val="65"/>
        <w:spacing w:line="580" w:lineRule="exact"/>
        <w:ind w:firstLine="602"/>
        <w:rPr>
          <w:rFonts w:eastAsia="方正仿宋_GBK" w:cs="方正仿宋_GBK"/>
          <w:color w:val="auto"/>
          <w:sz w:val="30"/>
          <w:szCs w:val="30"/>
        </w:rPr>
      </w:pPr>
      <w:r>
        <w:rPr>
          <w:rFonts w:hint="eastAsia" w:eastAsia="方正仿宋_GBK" w:cs="方正仿宋_GBK"/>
          <w:b/>
          <w:bCs/>
          <w:color w:val="auto"/>
          <w:sz w:val="30"/>
          <w:szCs w:val="30"/>
        </w:rPr>
        <w:t>优化公共文化服务供给。</w:t>
      </w:r>
      <w:r>
        <w:rPr>
          <w:rFonts w:hint="eastAsia" w:eastAsia="方正仿宋_GBK" w:cs="方正仿宋_GBK"/>
          <w:color w:val="auto"/>
          <w:sz w:val="30"/>
          <w:szCs w:val="30"/>
        </w:rPr>
        <w:t>坚持文化惠民，实施公共文化服务提质增效行动，全力推进区文化综合服务中心提质升级，全面落实图书馆、文化馆总分馆制，推动区文化馆达到二级馆水平，优化智慧图书馆、公共文化云等线上平台。创新拓展城市书房、文化驿站等新型公共文化空间，建设书香社会。积极争创重点剧目创作生产和戏剧创作孵化、优秀小剧目创作扶持计划项目，鼓励创作以云冈石窟、北魏历史、长城文化为主题的微短剧、舞台剧。办好“村晚”，推动戏曲进乡村，组织云冈文艺精品剧目参加国内各类重要艺术节、戏剧节、文艺会演等活动。打造高素质文艺人才队伍，积极参与市级以上青年艺术家扶持计划。统筹推进群众体育和竞技体育全面发展，加快建设体育强区。</w:t>
      </w:r>
    </w:p>
    <w:p w14:paraId="1597D7C5">
      <w:pPr>
        <w:pStyle w:val="65"/>
        <w:spacing w:line="580" w:lineRule="exact"/>
        <w:ind w:firstLine="602"/>
        <w:rPr>
          <w:rFonts w:eastAsia="方正仿宋_GBK" w:cs="方正仿宋_GBK"/>
          <w:color w:val="auto"/>
          <w:sz w:val="30"/>
          <w:szCs w:val="30"/>
        </w:rPr>
      </w:pPr>
      <w:r>
        <w:rPr>
          <w:rFonts w:hint="eastAsia" w:eastAsia="方正仿宋_GBK" w:cs="方正仿宋_GBK"/>
          <w:b/>
          <w:bCs/>
          <w:color w:val="auto"/>
          <w:sz w:val="30"/>
          <w:szCs w:val="30"/>
        </w:rPr>
        <w:t>大力发展文化产业。</w:t>
      </w:r>
      <w:r>
        <w:rPr>
          <w:rFonts w:hint="eastAsia" w:eastAsia="方正仿宋_GBK" w:cs="方正仿宋_GBK"/>
          <w:color w:val="auto"/>
          <w:sz w:val="30"/>
          <w:szCs w:val="30"/>
        </w:rPr>
        <w:t>健全现代文化产业体系和市场体系，</w:t>
      </w:r>
      <w:r>
        <w:rPr>
          <w:rFonts w:hint="eastAsia" w:eastAsia="方正仿宋_GBK" w:cs="Times New Roman"/>
          <w:color w:val="auto"/>
          <w:sz w:val="30"/>
          <w:szCs w:val="30"/>
        </w:rPr>
        <w:t>引导区属文旅企业开发一批特色旅游商品、“云冈有礼”文创产品。</w:t>
      </w:r>
      <w:r>
        <w:rPr>
          <w:rFonts w:hint="eastAsia" w:eastAsia="方正仿宋_GBK" w:cs="方正仿宋_GBK"/>
          <w:color w:val="auto"/>
          <w:sz w:val="30"/>
          <w:szCs w:val="30"/>
        </w:rPr>
        <w:t>引入3D打印石窟微缩模型、动态壁画数字藏品等科技文创，推动建立云冈文创旗舰店、景区快闪店、电商平台全渠道销售网络。培育发展影视产业，用好关停废弃矿区，打造具有工业美感和时代印记的特色影视拍摄基地，鼓励运用云冈艺术元素进行动漫、游戏等衍生影视创作。推进文化与科技深度融合，围绕微短剧、数字艺术、虚拟演艺等领域，推动数字文化产业发展，开发具有云冈特色的数字文化体验项目。</w:t>
      </w:r>
    </w:p>
    <w:p w14:paraId="4BB2A841">
      <w:pPr>
        <w:spacing w:line="580" w:lineRule="exact"/>
        <w:ind w:firstLine="0" w:firstLineChars="0"/>
        <w:jc w:val="center"/>
        <w:outlineLvl w:val="1"/>
        <w:rPr>
          <w:rFonts w:eastAsia="楷体" w:cs="Times New Roman"/>
          <w:color w:val="auto"/>
          <w:sz w:val="30"/>
          <w:szCs w:val="30"/>
        </w:rPr>
      </w:pPr>
      <w:bookmarkStart w:id="156" w:name="_Toc2141518076"/>
      <w:bookmarkStart w:id="157" w:name="_Toc1293780836"/>
      <w:r>
        <w:rPr>
          <w:rFonts w:hint="eastAsia" w:eastAsia="楷体" w:cs="Times New Roman"/>
          <w:color w:val="auto"/>
          <w:sz w:val="30"/>
          <w:szCs w:val="30"/>
        </w:rPr>
        <w:t>第三节  丰富全域全季文旅融合产品体系</w:t>
      </w:r>
      <w:bookmarkEnd w:id="154"/>
      <w:bookmarkEnd w:id="155"/>
      <w:bookmarkEnd w:id="156"/>
      <w:bookmarkEnd w:id="157"/>
    </w:p>
    <w:p w14:paraId="7160A26B">
      <w:pPr>
        <w:spacing w:line="580" w:lineRule="exact"/>
        <w:ind w:firstLine="602"/>
        <w:rPr>
          <w:rFonts w:eastAsia="方正仿宋_GBK" w:cs="Times New Roman"/>
          <w:color w:val="auto"/>
          <w:sz w:val="30"/>
          <w:szCs w:val="30"/>
        </w:rPr>
      </w:pPr>
      <w:r>
        <w:rPr>
          <w:rFonts w:hint="eastAsia" w:eastAsia="方正仿宋_GBK" w:cs="Times New Roman"/>
          <w:b/>
          <w:bCs/>
          <w:color w:val="auto"/>
          <w:sz w:val="30"/>
          <w:szCs w:val="30"/>
        </w:rPr>
        <w:t>打造知名的“云冈大景区”。</w:t>
      </w:r>
      <w:r>
        <w:rPr>
          <w:rFonts w:hint="eastAsia" w:eastAsia="方正仿宋_GBK" w:cs="Times New Roman"/>
          <w:b w:val="0"/>
          <w:bCs w:val="0"/>
          <w:color w:val="auto"/>
          <w:sz w:val="30"/>
          <w:szCs w:val="30"/>
        </w:rPr>
        <w:t>加快编制实施大景区规划</w:t>
      </w:r>
      <w:r>
        <w:rPr>
          <w:rFonts w:hint="eastAsia" w:eastAsia="方正仿宋_GBK" w:cs="Times New Roman"/>
          <w:b/>
          <w:bCs/>
          <w:color w:val="auto"/>
          <w:sz w:val="30"/>
          <w:szCs w:val="30"/>
        </w:rPr>
        <w:t>，</w:t>
      </w:r>
      <w:r>
        <w:rPr>
          <w:rFonts w:hint="eastAsia" w:eastAsia="方正仿宋_GBK" w:cs="Times New Roman"/>
          <w:color w:val="auto"/>
          <w:sz w:val="30"/>
          <w:szCs w:val="30"/>
        </w:rPr>
        <w:t>以云冈石窟为核心，串联佛字弯、观音堂、焦山寺等旅游景区，推动一批重点项目建设，组织举办云冈学高端论坛，进一步提升云冈石窟的文化内涵和服务水平。深入推进“百景提升”行动，加快打造高山镇历史文化区和口泉河生态休闲区，推动焦山石窟</w:t>
      </w:r>
      <w:r>
        <w:rPr>
          <w:rFonts w:hint="eastAsia" w:eastAsia="方正仿宋_GBK" w:cs="Times New Roman"/>
          <w:color w:val="auto"/>
          <w:sz w:val="30"/>
          <w:szCs w:val="30"/>
          <w:lang w:val="en-US" w:eastAsia="zh-CN"/>
        </w:rPr>
        <w:t>入选</w:t>
      </w:r>
      <w:r>
        <w:rPr>
          <w:rFonts w:hint="eastAsia" w:eastAsia="方正仿宋_GBK" w:cs="Times New Roman"/>
          <w:color w:val="auto"/>
          <w:sz w:val="30"/>
          <w:szCs w:val="30"/>
        </w:rPr>
        <w:t>3A景区，推动云冈峪（云冈区）创建国家级旅游度假区，加强基础设施配套建设，构建板块联动、区域协同、业态多样的全域旅游新格局。探索推动云冈镇开通低空旅游航线，大力发展无人机航拍、灯光秀、低空观光等新业态，打造“云冈空中走廊”文旅品牌。</w:t>
      </w:r>
    </w:p>
    <w:p w14:paraId="52A5290E">
      <w:pPr>
        <w:spacing w:line="580" w:lineRule="exact"/>
        <w:ind w:firstLine="602"/>
        <w:rPr>
          <w:rFonts w:eastAsia="方正仿宋_GBK" w:cs="Times New Roman"/>
          <w:color w:val="auto"/>
          <w:sz w:val="30"/>
          <w:szCs w:val="30"/>
        </w:rPr>
      </w:pPr>
      <w:r>
        <w:rPr>
          <w:rFonts w:hint="eastAsia" w:eastAsia="方正仿宋_GBK" w:cs="Times New Roman"/>
          <w:b/>
          <w:bCs/>
          <w:color w:val="auto"/>
          <w:sz w:val="30"/>
          <w:szCs w:val="30"/>
        </w:rPr>
        <w:t>加快发展研学旅游</w:t>
      </w:r>
      <w:r>
        <w:rPr>
          <w:rFonts w:hint="eastAsia" w:eastAsia="方正楷体_GBK" w:cs="方正楷体_GBK"/>
          <w:b/>
          <w:bCs/>
          <w:color w:val="auto"/>
          <w:sz w:val="30"/>
          <w:szCs w:val="30"/>
        </w:rPr>
        <w:t>。</w:t>
      </w:r>
      <w:r>
        <w:rPr>
          <w:rFonts w:hint="eastAsia" w:eastAsia="方正仿宋_GBK" w:cs="Times New Roman"/>
          <w:color w:val="auto"/>
          <w:sz w:val="30"/>
          <w:szCs w:val="30"/>
        </w:rPr>
        <w:t>大力开发石窟考古探秘、北魏建筑技艺、佛教艺术鉴赏等研学产品，建设云冈石窟研学游基地。突出“井下探秘”主题</w:t>
      </w:r>
      <w:r>
        <w:rPr>
          <w:rFonts w:hint="eastAsia" w:eastAsia="方正楷体_GBK" w:cs="方正楷体_GBK"/>
          <w:color w:val="auto"/>
          <w:sz w:val="30"/>
          <w:szCs w:val="30"/>
        </w:rPr>
        <w:t>，</w:t>
      </w:r>
      <w:r>
        <w:rPr>
          <w:rFonts w:hint="eastAsia" w:eastAsia="方正仿宋_GBK" w:cs="Times New Roman"/>
          <w:color w:val="auto"/>
          <w:sz w:val="30"/>
          <w:szCs w:val="30"/>
        </w:rPr>
        <w:t>开展井下探秘游实景教学、矿工装备穿戴实践、煤炭标本制作等，利用光影技术活化废弃矿坑，开发工业研学路线。整合</w:t>
      </w:r>
      <w:r>
        <w:rPr>
          <w:rFonts w:hint="eastAsia" w:eastAsia="方正仿宋_GBK" w:cs="方正仿宋_GBK"/>
          <w:color w:val="auto"/>
          <w:sz w:val="30"/>
          <w:szCs w:val="30"/>
        </w:rPr>
        <w:t>大同煤矿万人坑遗址纪念馆、</w:t>
      </w:r>
      <w:r>
        <w:rPr>
          <w:rFonts w:hint="eastAsia" w:eastAsia="方正仿宋_GBK" w:cs="Times New Roman"/>
          <w:color w:val="auto"/>
          <w:sz w:val="30"/>
          <w:szCs w:val="30"/>
        </w:rPr>
        <w:t>西大同县委旧址、晋绥五分区临时司令部旧址、高屯抗日情报站等革命文物资源，打造革命文物主题游径，通过沉浸式情景教学、革命文物修复体验、红色故事会等形式，将革命历史转化为可触摸的教育内容。</w:t>
      </w:r>
    </w:p>
    <w:p w14:paraId="10D5CA1C">
      <w:pPr>
        <w:spacing w:line="580" w:lineRule="exact"/>
        <w:ind w:firstLine="602"/>
        <w:rPr>
          <w:rFonts w:eastAsia="方正仿宋_GBK" w:cs="Times New Roman"/>
          <w:color w:val="auto"/>
          <w:sz w:val="30"/>
          <w:szCs w:val="30"/>
        </w:rPr>
      </w:pPr>
      <w:r>
        <w:rPr>
          <w:rFonts w:hint="eastAsia" w:eastAsia="方正仿宋_GBK" w:cs="Times New Roman"/>
          <w:b/>
          <w:bCs/>
          <w:color w:val="auto"/>
          <w:sz w:val="30"/>
          <w:szCs w:val="30"/>
        </w:rPr>
        <w:t>推动发展冰雪旅游。</w:t>
      </w:r>
      <w:r>
        <w:rPr>
          <w:rFonts w:hint="eastAsia" w:eastAsia="方正仿宋_GBK" w:cs="Times New Roman"/>
          <w:color w:val="auto"/>
          <w:sz w:val="30"/>
          <w:szCs w:val="30"/>
        </w:rPr>
        <w:t>加强冰雪旅游基础设施建设，推动传统户外冰雪旅游项目提质升级。依托云冈博物馆、晋华宫国家矿山公园和高山古城遗址等，开展冰雪主题文化遗产展示和传播，将石窟文化元素融入冰雪场景设计，打造“冰雪+文化”独特IP。依托魏都娱乐园、曼园、西韩岭冰雪大世界等场地推出冰灯夜游、冰雪音乐节等活动。创新开发非雪季运动项目和冰上旅游项目，建设室内冰雪场馆，培育推出冰雪表演项目。</w:t>
      </w:r>
    </w:p>
    <w:p w14:paraId="41C144F4">
      <w:pPr>
        <w:spacing w:line="580" w:lineRule="exact"/>
        <w:ind w:firstLine="602"/>
        <w:rPr>
          <w:rFonts w:eastAsia="方正仿宋_GBK" w:cs="Times New Roman"/>
          <w:color w:val="auto"/>
          <w:sz w:val="30"/>
          <w:szCs w:val="30"/>
        </w:rPr>
      </w:pPr>
      <w:r>
        <w:rPr>
          <w:rFonts w:hint="eastAsia" w:eastAsia="方正仿宋_GBK" w:cs="Times New Roman"/>
          <w:b/>
          <w:bCs/>
          <w:color w:val="auto"/>
          <w:sz w:val="30"/>
          <w:szCs w:val="30"/>
        </w:rPr>
        <w:t>繁荣发展民宿经济</w:t>
      </w:r>
      <w:r>
        <w:rPr>
          <w:rFonts w:hint="eastAsia" w:eastAsia="方正楷体_GBK" w:cs="方正楷体_GBK"/>
          <w:b/>
          <w:bCs/>
          <w:color w:val="auto"/>
          <w:sz w:val="30"/>
          <w:szCs w:val="30"/>
        </w:rPr>
        <w:t>。</w:t>
      </w:r>
      <w:r>
        <w:rPr>
          <w:rFonts w:hint="eastAsia" w:eastAsia="方正仿宋_GBK" w:cs="Times New Roman"/>
          <w:color w:val="auto"/>
          <w:sz w:val="30"/>
          <w:szCs w:val="30"/>
        </w:rPr>
        <w:t>以大钟山旅游公路建设为纽带，串联石头村、西韩岭、杨家窑等乡村旅游点，打造生态乡村旅游带。以石窟艺术、山地景观、云海星空等为特色，重点打造王家园村、石头村、青磁窑、张家湾、吴官屯、云冈村等民宿集群，沿长城一号旅游公路打造高山镇边塞风情民宿带，沿晋华宫矿山公园打造工业记忆民宿带，沿桑干河打造杨家窑生态康养民宿带，培育“云冈宿集”品牌。围绕民宿集群，建设特色餐饮街、农耕采摘园、非遗工坊、共享客厅和乡村剧场，打造“15分钟消费圈”。</w:t>
      </w:r>
    </w:p>
    <w:p w14:paraId="6E665AAC">
      <w:pPr>
        <w:spacing w:line="580" w:lineRule="exact"/>
        <w:ind w:firstLine="0" w:firstLineChars="0"/>
        <w:jc w:val="center"/>
        <w:outlineLvl w:val="1"/>
        <w:rPr>
          <w:rFonts w:eastAsia="楷体" w:cs="Times New Roman"/>
          <w:color w:val="auto"/>
          <w:sz w:val="30"/>
          <w:szCs w:val="30"/>
        </w:rPr>
      </w:pPr>
      <w:bookmarkStart w:id="158" w:name="_Toc768495991"/>
      <w:bookmarkStart w:id="159" w:name="_Toc1302584777"/>
      <w:bookmarkStart w:id="160" w:name="_Toc1328883860"/>
      <w:bookmarkStart w:id="161" w:name="_Toc668379612"/>
      <w:r>
        <w:rPr>
          <w:rFonts w:hint="eastAsia" w:eastAsia="楷体" w:cs="Times New Roman"/>
          <w:color w:val="auto"/>
          <w:sz w:val="30"/>
          <w:szCs w:val="30"/>
        </w:rPr>
        <w:t>第四节  完善文旅基础设施和公共服务</w:t>
      </w:r>
      <w:bookmarkEnd w:id="158"/>
      <w:bookmarkEnd w:id="159"/>
      <w:bookmarkEnd w:id="160"/>
      <w:bookmarkEnd w:id="161"/>
    </w:p>
    <w:p w14:paraId="2649205D">
      <w:pPr>
        <w:spacing w:line="580" w:lineRule="exact"/>
        <w:ind w:firstLine="602"/>
        <w:rPr>
          <w:rFonts w:eastAsia="方正仿宋_GBK" w:cs="Times New Roman"/>
          <w:color w:val="auto"/>
          <w:sz w:val="30"/>
          <w:szCs w:val="30"/>
        </w:rPr>
      </w:pPr>
      <w:r>
        <w:rPr>
          <w:rFonts w:hint="eastAsia" w:eastAsia="方正仿宋_GBK" w:cs="Times New Roman"/>
          <w:b/>
          <w:bCs/>
          <w:color w:val="auto"/>
          <w:sz w:val="30"/>
          <w:szCs w:val="30"/>
        </w:rPr>
        <w:t>持续优化文旅交通基础设施。</w:t>
      </w:r>
      <w:r>
        <w:rPr>
          <w:rFonts w:hint="eastAsia" w:eastAsia="方正仿宋_GBK" w:cs="Times New Roman"/>
          <w:color w:val="auto"/>
          <w:sz w:val="30"/>
          <w:szCs w:val="30"/>
        </w:rPr>
        <w:t>推进G109、省道214外绕改线为旅游专线，打造小站旅游集散中心。建设山西大学大同校区至云冈石窟研学旅游公路，实施南肥线、鸦儿崖乡抗日情报站等乡村公路升级改造，配套建设徒步绿道、骑行专线。建设综合交通枢纽，推进加油站、加气站和充电站“三站合一”，集成旅游大巴换乘等功能，加密旅游公交专线。</w:t>
      </w:r>
    </w:p>
    <w:p w14:paraId="432E46AE">
      <w:pPr>
        <w:widowControl/>
        <w:spacing w:line="580" w:lineRule="exact"/>
        <w:ind w:firstLine="602" w:firstLineChars="0"/>
        <w:rPr>
          <w:rFonts w:eastAsia="方正仿宋_GBK" w:cs="Times New Roman"/>
          <w:color w:val="auto"/>
          <w:sz w:val="30"/>
          <w:szCs w:val="30"/>
        </w:rPr>
      </w:pPr>
      <w:r>
        <w:rPr>
          <w:rFonts w:hint="eastAsia" w:eastAsia="方正仿宋_GBK" w:cs="Times New Roman"/>
          <w:b/>
          <w:bCs/>
          <w:color w:val="auto"/>
          <w:sz w:val="30"/>
          <w:szCs w:val="30"/>
        </w:rPr>
        <w:t>完善配套公共服务设施。</w:t>
      </w:r>
      <w:r>
        <w:rPr>
          <w:rFonts w:hint="eastAsia" w:eastAsia="方正仿宋_GBK" w:cs="Times New Roman"/>
          <w:color w:val="auto"/>
          <w:sz w:val="30"/>
          <w:szCs w:val="30"/>
        </w:rPr>
        <w:t>建设云冈区旅游集散中心，推动重点旅游景区设立国际游客服务中心和入境服务驿站，集成签证咨询、景点预约、紧急援助等功能。推动运载容量不能满足需求、维修维保频次高、超长期服役的老旧设备实施更新，升级更新智能管理服务设备和沉浸式体验设备。以长城一号旅游公路为主干，建设峰鸦区段等路线标识系统，完善自驾车旅居车配套服务设施。引入AR数字导览设备，推动涉旅流量数据监测展示系统和标识引导系统数字化改造，实时客流预警和分流。</w:t>
      </w:r>
    </w:p>
    <w:p w14:paraId="14471C61">
      <w:pPr>
        <w:pStyle w:val="12"/>
        <w:spacing w:line="580" w:lineRule="exact"/>
        <w:ind w:left="0" w:leftChars="0" w:firstLine="602"/>
        <w:rPr>
          <w:rFonts w:ascii="Times New Roman" w:hAnsi="Times New Roman"/>
          <w:color w:val="auto"/>
        </w:rPr>
      </w:pPr>
      <w:r>
        <w:rPr>
          <w:rFonts w:hint="eastAsia" w:ascii="Times New Roman" w:hAnsi="Times New Roman" w:eastAsia="方正仿宋_GBK"/>
          <w:b/>
          <w:bCs/>
          <w:color w:val="auto"/>
          <w:sz w:val="30"/>
          <w:szCs w:val="30"/>
        </w:rPr>
        <w:t>提升文旅市场治理效能。</w:t>
      </w:r>
      <w:r>
        <w:rPr>
          <w:rFonts w:hint="eastAsia" w:ascii="Times New Roman" w:hAnsi="Times New Roman" w:eastAsia="方正仿宋_GBK"/>
          <w:color w:val="auto"/>
          <w:sz w:val="30"/>
          <w:szCs w:val="30"/>
        </w:rPr>
        <w:t>积极开展“极致服务在云冈”旅游安全服务体系化提升行动，着力提升本质安全和服务质量。深入开展“人人都是迎客松”“人人都是云冈文旅推荐官”文旅志愿服务行动。建立健全导游管理制度，督促导游提升业务技能和水平，坚决打击整治“黑导游”。开展旅游举报投诉提质增效行动，加大重点区域、重点时段巡查执法力度。完善以互联网、大数据、人工智能等信息技术为基础的智慧监管模式，提升文化和旅游市场等监管效能。</w:t>
      </w:r>
    </w:p>
    <w:p w14:paraId="41A0DEA5">
      <w:pPr>
        <w:spacing w:line="580" w:lineRule="exact"/>
        <w:ind w:firstLine="0" w:firstLineChars="0"/>
        <w:jc w:val="center"/>
        <w:outlineLvl w:val="1"/>
        <w:rPr>
          <w:rFonts w:eastAsia="楷体" w:cs="Times New Roman"/>
          <w:color w:val="auto"/>
          <w:sz w:val="30"/>
          <w:szCs w:val="30"/>
        </w:rPr>
      </w:pPr>
      <w:bookmarkStart w:id="162" w:name="_Toc721106220"/>
      <w:bookmarkStart w:id="163" w:name="_Toc1145467679"/>
      <w:bookmarkStart w:id="164" w:name="_Toc1094049521"/>
      <w:bookmarkStart w:id="165" w:name="_Toc2116665074"/>
      <w:r>
        <w:rPr>
          <w:rFonts w:hint="eastAsia" w:eastAsia="楷体" w:cs="Times New Roman"/>
          <w:color w:val="auto"/>
          <w:sz w:val="30"/>
          <w:szCs w:val="30"/>
        </w:rPr>
        <w:t>第五节  提升</w:t>
      </w:r>
      <w:bookmarkStart w:id="166" w:name="OLE_LINK17"/>
      <w:r>
        <w:rPr>
          <w:rFonts w:hint="eastAsia" w:eastAsia="楷体" w:cs="Times New Roman"/>
          <w:color w:val="auto"/>
          <w:sz w:val="30"/>
          <w:szCs w:val="30"/>
        </w:rPr>
        <w:t>文旅品牌</w:t>
      </w:r>
      <w:bookmarkEnd w:id="162"/>
      <w:bookmarkEnd w:id="166"/>
      <w:r>
        <w:rPr>
          <w:rFonts w:hint="eastAsia" w:eastAsia="楷体" w:cs="Times New Roman"/>
          <w:color w:val="auto"/>
          <w:sz w:val="30"/>
          <w:szCs w:val="30"/>
        </w:rPr>
        <w:t>影响力和</w:t>
      </w:r>
      <w:bookmarkEnd w:id="163"/>
      <w:r>
        <w:rPr>
          <w:rFonts w:hint="eastAsia" w:eastAsia="楷体" w:cs="Times New Roman"/>
          <w:color w:val="auto"/>
          <w:sz w:val="30"/>
          <w:szCs w:val="30"/>
        </w:rPr>
        <w:t>吸引力</w:t>
      </w:r>
      <w:bookmarkEnd w:id="164"/>
      <w:bookmarkEnd w:id="165"/>
    </w:p>
    <w:p w14:paraId="219A3723">
      <w:pPr>
        <w:spacing w:line="580" w:lineRule="exact"/>
        <w:ind w:firstLine="602"/>
        <w:rPr>
          <w:rFonts w:eastAsia="方正仿宋_GBK" w:cs="Times New Roman"/>
          <w:color w:val="auto"/>
          <w:sz w:val="30"/>
          <w:szCs w:val="30"/>
        </w:rPr>
      </w:pPr>
      <w:r>
        <w:rPr>
          <w:rFonts w:hint="eastAsia" w:eastAsia="方正仿宋_GBK" w:cs="Times New Roman"/>
          <w:b/>
          <w:bCs/>
          <w:color w:val="auto"/>
          <w:sz w:val="30"/>
          <w:szCs w:val="30"/>
        </w:rPr>
        <w:t>丰富文旅品牌内涵。</w:t>
      </w:r>
      <w:r>
        <w:rPr>
          <w:rFonts w:hint="eastAsia" w:eastAsia="方正仿宋_GBK" w:cs="Times New Roman"/>
          <w:color w:val="auto"/>
          <w:sz w:val="30"/>
          <w:szCs w:val="30"/>
        </w:rPr>
        <w:t>深入挖掘弘扬本土优秀传统文化，凝练云冈特色文化标识，实施“全域云冈、全季云冈”品牌推广行动，推动核心景区、旅游产品、老字号、节事活动等优势旅游品牌发展，推深做实“研学云冈，行走的石窟艺术课”“跟着主题游云冈”等文旅品牌，推出“云冈好礼”区域公共文创品牌，开展“跟着文物游云冈”“跟着非遗游云冈”等主题宣传活动，培育形成具有国际影响力的文化旅游IP。</w:t>
      </w:r>
    </w:p>
    <w:p w14:paraId="548A52FD">
      <w:pPr>
        <w:spacing w:line="580" w:lineRule="exact"/>
        <w:ind w:firstLine="602"/>
        <w:rPr>
          <w:rFonts w:eastAsia="方正仿宋_GBK" w:cs="Times New Roman"/>
          <w:color w:val="auto"/>
          <w:sz w:val="30"/>
          <w:szCs w:val="30"/>
        </w:rPr>
      </w:pPr>
      <w:r>
        <w:rPr>
          <w:rFonts w:hint="eastAsia" w:eastAsia="方正仿宋_GBK" w:cs="Times New Roman"/>
          <w:b/>
          <w:bCs/>
          <w:color w:val="auto"/>
          <w:sz w:val="30"/>
          <w:szCs w:val="30"/>
        </w:rPr>
        <w:t>创新营销推广方式。</w:t>
      </w:r>
      <w:r>
        <w:rPr>
          <w:rFonts w:hint="eastAsia" w:eastAsia="方正仿宋_GBK" w:cs="Times New Roman"/>
          <w:color w:val="auto"/>
          <w:sz w:val="30"/>
          <w:szCs w:val="30"/>
        </w:rPr>
        <w:t>衔接国家级平台和省市新闻媒介等，加大对云冈区文化和旅游发展新成果、新经验、新活动的宣传与推广。抢抓新时代推动中部地区崛起、京津冀协同发展、黄河流域生态保护和高质量发展等战略机遇，开展云冈文旅推介。坚持传统媒体和新媒体联动，高质量运营云冈文旅官方账号，构建云冈文旅宣传矩阵，推深做实“寻找云冈的N种打开方式”等系列品牌活动。</w:t>
      </w:r>
    </w:p>
    <w:p w14:paraId="6B0004C9">
      <w:pPr>
        <w:spacing w:line="580" w:lineRule="exact"/>
        <w:ind w:firstLine="602"/>
        <w:rPr>
          <w:rFonts w:eastAsia="方正仿宋_GBK" w:cs="Times New Roman"/>
          <w:color w:val="auto"/>
          <w:sz w:val="30"/>
          <w:szCs w:val="30"/>
        </w:rPr>
      </w:pPr>
      <w:r>
        <w:rPr>
          <w:rFonts w:hint="eastAsia" w:eastAsia="方正仿宋_GBK" w:cs="Times New Roman"/>
          <w:b/>
          <w:bCs/>
          <w:color w:val="auto"/>
          <w:sz w:val="30"/>
          <w:szCs w:val="30"/>
        </w:rPr>
        <w:t>实施入境旅游促进计划。</w:t>
      </w:r>
      <w:r>
        <w:rPr>
          <w:rFonts w:hint="eastAsia" w:eastAsia="方正仿宋_GBK" w:cs="Times New Roman"/>
          <w:color w:val="auto"/>
          <w:sz w:val="30"/>
          <w:szCs w:val="30"/>
        </w:rPr>
        <w:t>深入开展“海外华裔青少年寻根云冈”活动，结合石窟文化研学、非遗技艺体验等特色环节，搭建文化交流桥梁，增强海外华裔青少年对中华传统文化的认同感与归属感。</w:t>
      </w:r>
      <w:r>
        <w:rPr>
          <w:rFonts w:hint="eastAsia" w:eastAsia="方正仿宋_GBK"/>
          <w:color w:val="auto"/>
          <w:sz w:val="30"/>
          <w:szCs w:val="30"/>
        </w:rPr>
        <w:t>积极做好入境旅游便利化相关工作，持续提升旅游住宿等领域服务水平，</w:t>
      </w:r>
      <w:r>
        <w:rPr>
          <w:rFonts w:hint="eastAsia" w:eastAsia="方正仿宋_GBK" w:cs="Times New Roman"/>
          <w:color w:val="auto"/>
          <w:sz w:val="30"/>
          <w:szCs w:val="30"/>
        </w:rPr>
        <w:t>鼓励全区旅游景区推出入境游优惠政策。围绕日韩、东南亚等入境旅游目标市场，定期举办旅游推介活动，不定期发布“旅游日历”，实施靶向营销。支持涉外旅行社拓展海外市场，提升云冈文旅对境外游客的吸引力。</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1AB0FC8A">
        <w:trPr>
          <w:trHeight w:val="1198" w:hRule="atLeast"/>
        </w:trPr>
        <w:tc>
          <w:tcPr>
            <w:tcW w:w="8296" w:type="dxa"/>
          </w:tcPr>
          <w:p w14:paraId="2F68258B">
            <w:pPr>
              <w:widowControl/>
              <w:topLinePunct/>
              <w:adjustRightInd w:val="0"/>
              <w:snapToGrid w:val="0"/>
              <w:spacing w:line="500" w:lineRule="exact"/>
              <w:ind w:firstLine="0" w:firstLineChars="0"/>
              <w:jc w:val="center"/>
              <w:rPr>
                <w:rFonts w:eastAsia="方正黑体_GBK" w:cs="Times New Roman"/>
                <w:color w:val="auto"/>
                <w:sz w:val="28"/>
                <w:szCs w:val="28"/>
              </w:rPr>
            </w:pPr>
            <w:r>
              <w:rPr>
                <w:rFonts w:hint="eastAsia" w:eastAsia="方正黑体_GBK" w:cs="Times New Roman"/>
                <w:color w:val="auto"/>
                <w:sz w:val="28"/>
                <w:szCs w:val="28"/>
              </w:rPr>
              <w:t>专栏4 文化强区重点工程</w:t>
            </w:r>
          </w:p>
          <w:p w14:paraId="635C61C6">
            <w:pPr>
              <w:topLinePunct/>
              <w:adjustRightInd w:val="0"/>
              <w:snapToGrid w:val="0"/>
              <w:spacing w:line="500" w:lineRule="exact"/>
              <w:ind w:firstLine="562"/>
              <w:rPr>
                <w:rFonts w:eastAsia="Times New Roman" w:cs="方正仿宋_GBK"/>
                <w:color w:val="auto"/>
                <w:sz w:val="28"/>
                <w:szCs w:val="28"/>
              </w:rPr>
            </w:pPr>
            <w:r>
              <w:rPr>
                <w:rFonts w:hint="eastAsia" w:eastAsia="方正仿宋_GBK" w:cs="方正仿宋_GBK"/>
                <w:b/>
                <w:bCs/>
                <w:color w:val="auto"/>
                <w:sz w:val="28"/>
                <w:szCs w:val="28"/>
              </w:rPr>
              <w:t>文化保护传承利用工程。</w:t>
            </w:r>
            <w:r>
              <w:rPr>
                <w:rFonts w:hint="eastAsia" w:eastAsia="方正仿宋_GBK" w:cs="方正仿宋_GBK"/>
                <w:color w:val="auto"/>
                <w:sz w:val="28"/>
                <w:szCs w:val="28"/>
              </w:rPr>
              <w:t>云冈石窟景区景观与公共服务建筑油饰彩绘和屋顶维修项目。云冈石窟文物保护利用及智慧文旅设备更新项目。口泉老街文物保护修缮项目。</w:t>
            </w:r>
          </w:p>
          <w:p w14:paraId="159F0EF1">
            <w:pPr>
              <w:topLinePunct/>
              <w:adjustRightInd w:val="0"/>
              <w:snapToGrid w:val="0"/>
              <w:spacing w:line="500" w:lineRule="exact"/>
              <w:ind w:firstLine="562"/>
              <w:rPr>
                <w:rFonts w:eastAsia="方正仿宋_GBK" w:cs="方正仿宋_GBK"/>
                <w:color w:val="auto"/>
                <w:sz w:val="28"/>
                <w:szCs w:val="28"/>
                <w:highlight w:val="yellow"/>
              </w:rPr>
            </w:pPr>
            <w:r>
              <w:rPr>
                <w:rFonts w:hint="eastAsia" w:eastAsia="方正仿宋_GBK" w:cs="方正仿宋_GBK"/>
                <w:b/>
                <w:bCs/>
                <w:color w:val="auto"/>
                <w:sz w:val="28"/>
                <w:szCs w:val="28"/>
              </w:rPr>
              <w:t>文化产业高质量发展工程。</w:t>
            </w:r>
            <w:r>
              <w:rPr>
                <w:rFonts w:hint="eastAsia" w:eastAsia="方正仿宋_GBK" w:cs="方正仿宋_GBK"/>
                <w:color w:val="auto"/>
                <w:sz w:val="28"/>
                <w:szCs w:val="28"/>
              </w:rPr>
              <w:t>云冈石窟沉浸式演出项目、文旅影视综合体项目。</w:t>
            </w:r>
          </w:p>
          <w:p w14:paraId="145FE568">
            <w:pPr>
              <w:topLinePunct/>
              <w:adjustRightInd w:val="0"/>
              <w:snapToGrid w:val="0"/>
              <w:spacing w:line="500" w:lineRule="exact"/>
              <w:ind w:firstLine="562"/>
              <w:rPr>
                <w:rFonts w:eastAsia="Times New Roman" w:cs="方正仿宋_GBK"/>
                <w:color w:val="auto"/>
                <w:sz w:val="28"/>
                <w:szCs w:val="28"/>
              </w:rPr>
            </w:pPr>
            <w:r>
              <w:rPr>
                <w:rFonts w:hint="eastAsia" w:eastAsia="方正仿宋_GBK" w:cs="方正仿宋_GBK"/>
                <w:b/>
                <w:bCs/>
                <w:color w:val="auto"/>
                <w:sz w:val="28"/>
                <w:szCs w:val="28"/>
              </w:rPr>
              <w:t>高品质旅游景区建设工程。</w:t>
            </w:r>
            <w:r>
              <w:rPr>
                <w:rFonts w:hint="eastAsia" w:eastAsia="方正仿宋_GBK" w:cs="方正仿宋_GBK"/>
                <w:color w:val="auto"/>
                <w:sz w:val="28"/>
                <w:szCs w:val="28"/>
              </w:rPr>
              <w:t>晋华宫国家矿山公园提升项目。大同市杨家窑老村乡村振兴农旅融合建设项目。校尉屯村、张寺窑村、云冈村、麻村、青磁窑等旅游服务项目。石头村大钟山景区建设项目。吴官屯煤业文旅转型项目。</w:t>
            </w:r>
          </w:p>
          <w:p w14:paraId="215D654C">
            <w:pPr>
              <w:topLinePunct/>
              <w:adjustRightInd w:val="0"/>
              <w:snapToGrid w:val="0"/>
              <w:spacing w:line="500" w:lineRule="exact"/>
              <w:ind w:firstLine="562"/>
              <w:rPr>
                <w:rFonts w:eastAsia="Times New Roman" w:cs="方正仿宋_GBK"/>
                <w:color w:val="auto"/>
                <w:sz w:val="28"/>
                <w:szCs w:val="28"/>
              </w:rPr>
            </w:pPr>
            <w:r>
              <w:rPr>
                <w:rFonts w:hint="eastAsia" w:eastAsia="方正仿宋_GBK" w:cs="方正仿宋_GBK"/>
                <w:b/>
                <w:bCs/>
                <w:color w:val="auto"/>
                <w:sz w:val="28"/>
                <w:szCs w:val="28"/>
              </w:rPr>
              <w:t>文旅基础设施提质升级工程。</w:t>
            </w:r>
            <w:r>
              <w:rPr>
                <w:rFonts w:hint="eastAsia" w:eastAsia="方正仿宋_GBK" w:cs="方正仿宋_GBK"/>
                <w:color w:val="auto"/>
                <w:sz w:val="28"/>
                <w:szCs w:val="28"/>
                <w:highlight w:val="none"/>
                <w:lang w:val="en-US" w:eastAsia="zh-CN"/>
              </w:rPr>
              <w:t>云冈区王家园</w:t>
            </w:r>
            <w:r>
              <w:rPr>
                <w:rFonts w:hint="eastAsia" w:eastAsia="方正仿宋_GBK" w:cs="方正仿宋_GBK"/>
                <w:color w:val="auto"/>
                <w:sz w:val="28"/>
                <w:szCs w:val="28"/>
              </w:rPr>
              <w:t>至云冈石窟旅游公路</w:t>
            </w:r>
            <w:r>
              <w:rPr>
                <w:rFonts w:hint="eastAsia" w:eastAsia="方正仿宋_GBK" w:cs="方正仿宋_GBK"/>
                <w:color w:val="auto"/>
                <w:sz w:val="28"/>
                <w:szCs w:val="28"/>
                <w:lang w:val="en-US" w:eastAsia="zh-CN"/>
              </w:rPr>
              <w:t>改造工程</w:t>
            </w:r>
            <w:r>
              <w:rPr>
                <w:rFonts w:hint="eastAsia" w:eastAsia="方正仿宋_GBK" w:cs="方正仿宋_GBK"/>
                <w:color w:val="auto"/>
                <w:sz w:val="28"/>
                <w:szCs w:val="28"/>
                <w:highlight w:val="none"/>
              </w:rPr>
              <w:t>。</w:t>
            </w:r>
            <w:r>
              <w:rPr>
                <w:rFonts w:hint="eastAsia" w:eastAsia="方正仿宋_GBK" w:cs="方正仿宋_GBK"/>
                <w:color w:val="auto"/>
                <w:sz w:val="28"/>
                <w:szCs w:val="28"/>
                <w:highlight w:val="none"/>
                <w:lang w:val="en-US" w:eastAsia="zh-CN"/>
              </w:rPr>
              <w:t>云冈景区出口桥梁工程、引道工程。</w:t>
            </w:r>
            <w:r>
              <w:rPr>
                <w:rFonts w:hint="eastAsia" w:eastAsia="方正仿宋_GBK" w:cs="方正仿宋_GBK"/>
                <w:color w:val="auto"/>
                <w:sz w:val="28"/>
                <w:szCs w:val="28"/>
              </w:rPr>
              <w:t>综合交通枢纽建设项目。小站村游客集散中心及旅游停车场改扩建项目。晋华宫矿石头村大井老矸山生态停车场二期项目。口泉老街至万人坑旅游公路拓宽改造项目。</w:t>
            </w:r>
          </w:p>
        </w:tc>
      </w:tr>
    </w:tbl>
    <w:p w14:paraId="462416EC">
      <w:pPr>
        <w:rPr>
          <w:rFonts w:hint="eastAsia" w:ascii="Times New Roman" w:hAnsi="Times New Roman" w:eastAsia="方正黑体_GBK" w:cs="方正黑体_GBK"/>
          <w:color w:val="auto"/>
        </w:rPr>
      </w:pPr>
      <w:bookmarkStart w:id="167" w:name="_Toc935313833"/>
      <w:bookmarkStart w:id="168" w:name="_Toc1723286163"/>
      <w:r>
        <w:rPr>
          <w:rFonts w:hint="eastAsia" w:ascii="Times New Roman" w:hAnsi="Times New Roman" w:eastAsia="方正黑体_GBK" w:cs="方正黑体_GBK"/>
          <w:color w:val="auto"/>
        </w:rPr>
        <w:br w:type="page"/>
      </w:r>
    </w:p>
    <w:p w14:paraId="43B6D073">
      <w:pPr>
        <w:pStyle w:val="61"/>
        <w:spacing w:before="156" w:beforeLines="50" w:after="156" w:afterLines="50" w:line="580" w:lineRule="exact"/>
        <w:ind w:firstLine="0" w:firstLineChars="0"/>
        <w:jc w:val="center"/>
        <w:rPr>
          <w:rFonts w:ascii="Times New Roman" w:hAnsi="Times New Roman" w:eastAsia="方正黑体_GBK" w:cs="方正黑体_GBK"/>
          <w:color w:val="auto"/>
        </w:rPr>
      </w:pPr>
      <w:r>
        <w:rPr>
          <w:rFonts w:hint="eastAsia" w:ascii="Times New Roman" w:hAnsi="Times New Roman" w:eastAsia="方正黑体_GBK" w:cs="方正黑体_GBK"/>
          <w:color w:val="auto"/>
        </w:rPr>
        <w:t>第六章 内需牵引合作共赢 打造服务京津冀新高地</w:t>
      </w:r>
      <w:bookmarkEnd w:id="167"/>
      <w:bookmarkEnd w:id="168"/>
    </w:p>
    <w:p w14:paraId="06F20246">
      <w:pPr>
        <w:topLinePunct/>
        <w:adjustRightInd w:val="0"/>
        <w:snapToGrid w:val="0"/>
        <w:spacing w:line="580" w:lineRule="exact"/>
        <w:ind w:firstLine="600"/>
        <w:rPr>
          <w:rFonts w:eastAsia="方正仿宋_GBK"/>
          <w:color w:val="auto"/>
          <w:sz w:val="30"/>
          <w:szCs w:val="30"/>
        </w:rPr>
      </w:pPr>
      <w:r>
        <w:rPr>
          <w:rFonts w:hint="eastAsia" w:eastAsia="方正仿宋_GBK"/>
          <w:color w:val="auto"/>
          <w:sz w:val="30"/>
          <w:szCs w:val="30"/>
        </w:rPr>
        <w:t>坚持投资于物和投资于人紧密结合，以新需求引领新供给，以新供给创造新需求，以融入京津冀为主抓手推进区域合作，持续激发有潜能的消费，扩大有效益的投资，促进消费和投资、供给和需求良性互动，服务畅通国内国际双循环。</w:t>
      </w:r>
    </w:p>
    <w:p w14:paraId="60692888">
      <w:pPr>
        <w:adjustRightInd w:val="0"/>
        <w:snapToGrid w:val="0"/>
        <w:spacing w:line="580" w:lineRule="exact"/>
        <w:ind w:firstLine="0" w:firstLineChars="0"/>
        <w:jc w:val="center"/>
        <w:outlineLvl w:val="1"/>
        <w:rPr>
          <w:rFonts w:eastAsia="方正楷体_GBK"/>
          <w:color w:val="auto"/>
          <w:sz w:val="30"/>
          <w:szCs w:val="30"/>
        </w:rPr>
      </w:pPr>
      <w:bookmarkStart w:id="169" w:name="_Toc217274710"/>
      <w:bookmarkStart w:id="170" w:name="_Toc754997591"/>
      <w:bookmarkStart w:id="171" w:name="_Toc137152208"/>
      <w:bookmarkStart w:id="172" w:name="_Toc158594452"/>
      <w:bookmarkStart w:id="173" w:name="_Toc239295191"/>
      <w:r>
        <w:rPr>
          <w:rFonts w:hint="eastAsia" w:eastAsia="方正楷体_GBK"/>
          <w:color w:val="auto"/>
          <w:sz w:val="30"/>
          <w:szCs w:val="30"/>
        </w:rPr>
        <w:t xml:space="preserve">第一节  </w:t>
      </w:r>
      <w:bookmarkEnd w:id="169"/>
      <w:bookmarkEnd w:id="170"/>
      <w:bookmarkEnd w:id="171"/>
      <w:r>
        <w:rPr>
          <w:rFonts w:hint="eastAsia" w:eastAsia="方正楷体_GBK"/>
          <w:color w:val="auto"/>
          <w:sz w:val="30"/>
          <w:szCs w:val="30"/>
        </w:rPr>
        <w:t>创新多元化消费场景</w:t>
      </w:r>
      <w:bookmarkEnd w:id="172"/>
      <w:bookmarkEnd w:id="173"/>
    </w:p>
    <w:p w14:paraId="1F6B7F69">
      <w:pPr>
        <w:topLinePunct/>
        <w:adjustRightInd w:val="0"/>
        <w:snapToGrid w:val="0"/>
        <w:spacing w:line="580" w:lineRule="exact"/>
        <w:ind w:firstLine="602"/>
        <w:rPr>
          <w:rFonts w:eastAsia="方正仿宋_GBK"/>
          <w:color w:val="auto"/>
          <w:sz w:val="30"/>
          <w:szCs w:val="30"/>
        </w:rPr>
      </w:pPr>
      <w:r>
        <w:rPr>
          <w:rFonts w:hint="eastAsia" w:eastAsia="方正仿宋_GBK"/>
          <w:b/>
          <w:bCs/>
          <w:color w:val="auto"/>
          <w:sz w:val="30"/>
          <w:szCs w:val="30"/>
        </w:rPr>
        <w:t>巩固传统消费基础性作用。</w:t>
      </w:r>
      <w:r>
        <w:rPr>
          <w:rFonts w:hint="eastAsia" w:eastAsia="方正仿宋_GBK"/>
          <w:color w:val="auto"/>
          <w:sz w:val="30"/>
          <w:szCs w:val="30"/>
        </w:rPr>
        <w:t>实施消费品增品种、提品质、创品牌“三品”战略，更好满足人民群众多元化消费需求。丰富消费品供给，推动大宗消费扩容，稳定和扩大汽车消费，释放家电消费潜力，促进居住消费健康发展。提升消费品品质，支持商贸流通企业增加中高端消费品供给，多举措撬动餐饮消费，培育具有云冈特色的名菜、名小吃、名厨、名店，推动餐饮消费线上线下融合，推动住宿经营主体特色化发展，打造文化主题酒店、度假酒店、乡村酒店、特色民宿等多元业态。促进老字号高质量发展，推动刘老醯儿醋业等中华老字号和口泉醋业、梅香春大酒店等大同老字号提档升级，围绕奶制类、油脂类、黄芪类等核心产品推动产品创新和品牌培育，打造“实尚云冈”区域公共品牌。</w:t>
      </w:r>
    </w:p>
    <w:p w14:paraId="238BBB99">
      <w:pPr>
        <w:topLinePunct/>
        <w:adjustRightInd w:val="0"/>
        <w:snapToGrid w:val="0"/>
        <w:spacing w:line="580" w:lineRule="exact"/>
        <w:ind w:firstLine="602"/>
        <w:rPr>
          <w:rFonts w:eastAsia="方正仿宋_GBK"/>
          <w:color w:val="auto"/>
          <w:sz w:val="30"/>
          <w:szCs w:val="30"/>
        </w:rPr>
      </w:pPr>
      <w:r>
        <w:rPr>
          <w:rFonts w:hint="eastAsia" w:eastAsia="方正仿宋_GBK"/>
          <w:b/>
          <w:bCs/>
          <w:color w:val="auto"/>
          <w:sz w:val="30"/>
          <w:szCs w:val="30"/>
        </w:rPr>
        <w:t>扩大服务消费和新型消费。</w:t>
      </w:r>
      <w:r>
        <w:rPr>
          <w:rFonts w:hint="eastAsia" w:eastAsia="方正仿宋_GBK"/>
          <w:color w:val="auto"/>
          <w:sz w:val="30"/>
          <w:szCs w:val="30"/>
        </w:rPr>
        <w:t>增加家政服务供给，推动家政进社区，擦亮“云冈亲人”服务品牌。发展银发经济，多渠道增加养老服务供给，结合完整社区建设发展“物业服务+生活服务”模式。撬动文体消费引擎，创新演艺内容、运营、业态，推动形成演艺消费新生态，促进电影关联消费，发展体育消费、冰雪消费。依托云冈石窟旅游基本盘，推出城市度假、郊野露营、低空飞行、文旅夜经济等旅游消费新业态，打造京津冀“后花园”和旅游康养首选地。发展银发经济，挖掘旅居养老消费潜力。发展会展经济，依托</w:t>
      </w:r>
      <w:r>
        <w:rPr>
          <w:rFonts w:hint="eastAsia" w:eastAsia="方正仿宋_GBK"/>
          <w:color w:val="auto"/>
          <w:sz w:val="30"/>
          <w:szCs w:val="30"/>
          <w:lang w:val="en-US" w:eastAsia="zh-CN"/>
        </w:rPr>
        <w:t>禧</w:t>
      </w:r>
      <w:r>
        <w:rPr>
          <w:rFonts w:hint="eastAsia" w:eastAsia="方正仿宋_GBK"/>
          <w:color w:val="auto"/>
          <w:sz w:val="30"/>
          <w:szCs w:val="30"/>
        </w:rPr>
        <w:t>悦酒店、云冈未来礼宴酒店，提升服务能力，打造新的增长极。</w:t>
      </w:r>
    </w:p>
    <w:p w14:paraId="6CD41EAF">
      <w:pPr>
        <w:topLinePunct/>
        <w:adjustRightInd w:val="0"/>
        <w:snapToGrid w:val="0"/>
        <w:spacing w:line="580" w:lineRule="exact"/>
        <w:ind w:firstLine="602"/>
        <w:rPr>
          <w:rFonts w:eastAsia="方正仿宋_GBK"/>
          <w:color w:val="auto"/>
          <w:sz w:val="30"/>
          <w:szCs w:val="30"/>
        </w:rPr>
      </w:pPr>
      <w:r>
        <w:rPr>
          <w:rFonts w:hint="eastAsia" w:eastAsia="方正仿宋_GBK"/>
          <w:b/>
          <w:bCs/>
          <w:color w:val="auto"/>
          <w:sz w:val="30"/>
          <w:szCs w:val="30"/>
        </w:rPr>
        <w:t>创新丰富消费场景。</w:t>
      </w:r>
      <w:r>
        <w:rPr>
          <w:rFonts w:hint="eastAsia" w:eastAsia="方正仿宋_GBK"/>
          <w:color w:val="auto"/>
          <w:sz w:val="30"/>
          <w:szCs w:val="30"/>
        </w:rPr>
        <w:t>立足全区资源分布、交通条件和发展基础，构建吾悦广场</w:t>
      </w:r>
      <w:r>
        <w:rPr>
          <w:rFonts w:hint="eastAsia" w:eastAsia="方正仿宋_GBK"/>
          <w:color w:val="auto"/>
          <w:sz w:val="30"/>
          <w:szCs w:val="30"/>
          <w:lang w:eastAsia="zh-CN"/>
        </w:rPr>
        <w:t>、</w:t>
      </w:r>
      <w:r>
        <w:rPr>
          <w:rFonts w:hint="eastAsia" w:eastAsia="方正仿宋_GBK"/>
          <w:color w:val="auto"/>
          <w:sz w:val="30"/>
          <w:szCs w:val="30"/>
          <w:lang w:val="en-US" w:eastAsia="zh-CN"/>
        </w:rPr>
        <w:t>天福美域商业综合体</w:t>
      </w:r>
      <w:r>
        <w:rPr>
          <w:rFonts w:hint="eastAsia" w:eastAsia="方正仿宋_GBK"/>
          <w:color w:val="auto"/>
          <w:sz w:val="30"/>
          <w:szCs w:val="30"/>
        </w:rPr>
        <w:t>核心商圈“</w:t>
      </w:r>
      <w:r>
        <w:rPr>
          <w:rFonts w:hint="eastAsia" w:eastAsia="方正仿宋_GBK"/>
          <w:color w:val="auto"/>
          <w:sz w:val="30"/>
          <w:szCs w:val="30"/>
          <w:lang w:val="en-US" w:eastAsia="zh-CN"/>
        </w:rPr>
        <w:t>双</w:t>
      </w:r>
      <w:r>
        <w:rPr>
          <w:rFonts w:hint="eastAsia" w:eastAsia="方正仿宋_GBK"/>
          <w:color w:val="auto"/>
          <w:sz w:val="30"/>
          <w:szCs w:val="30"/>
        </w:rPr>
        <w:t>核</w:t>
      </w:r>
      <w:r>
        <w:rPr>
          <w:rFonts w:hint="eastAsia" w:eastAsia="方正仿宋_GBK"/>
          <w:color w:val="auto"/>
          <w:sz w:val="30"/>
          <w:szCs w:val="30"/>
          <w:lang w:val="en-US" w:eastAsia="zh-CN"/>
        </w:rPr>
        <w:t>驱动</w:t>
      </w:r>
      <w:r>
        <w:rPr>
          <w:rFonts w:hint="eastAsia" w:eastAsia="方正仿宋_GBK"/>
          <w:color w:val="auto"/>
          <w:sz w:val="30"/>
          <w:szCs w:val="30"/>
        </w:rPr>
        <w:t>”，云冈石窟周边消费圈、高山古镇文化商圈、西韩岭乡乡村休闲商圈“三极联动”的商圈空间布局，构建城乡联动的商圈网络。新建、改造提升一批特色商业街区，推动建设山西大学大同校区周边消费街区，支持购物中心、传统百货等实体商业向场景化、体验式、互动性消费场所转型。发展新型零售业态，加快无人零售店、自提柜、云柜等布局，发展“小专精”的精品店、仓储会员店、品牌折扣店。改造乡镇集贸市场、村级便民商店，支持农村商店与农村综合服务社、村级寄递物流综合服务站多站合一、一网多用。</w:t>
      </w:r>
    </w:p>
    <w:p w14:paraId="163AB95D">
      <w:pPr>
        <w:topLinePunct/>
        <w:adjustRightInd w:val="0"/>
        <w:snapToGrid w:val="0"/>
        <w:spacing w:line="580" w:lineRule="exact"/>
        <w:ind w:firstLine="602"/>
        <w:rPr>
          <w:rFonts w:eastAsia="方正仿宋_GBK"/>
          <w:color w:val="auto"/>
          <w:sz w:val="30"/>
          <w:szCs w:val="30"/>
        </w:rPr>
      </w:pPr>
      <w:bookmarkStart w:id="174" w:name="_Toc1911125461"/>
      <w:bookmarkStart w:id="175" w:name="_Toc867206625"/>
      <w:r>
        <w:rPr>
          <w:rFonts w:hint="eastAsia" w:eastAsia="方正仿宋_GBK"/>
          <w:b/>
          <w:bCs/>
          <w:color w:val="auto"/>
          <w:sz w:val="30"/>
          <w:szCs w:val="30"/>
        </w:rPr>
        <w:t>持续优化消费环境。</w:t>
      </w:r>
      <w:r>
        <w:rPr>
          <w:rFonts w:hint="eastAsia" w:eastAsia="方正仿宋_GBK"/>
          <w:color w:val="auto"/>
          <w:sz w:val="30"/>
          <w:szCs w:val="30"/>
        </w:rPr>
        <w:t>深入实施提振消费专项行动，统筹促就业、增收入、稳预期，合理提高公共服务支出占财政支出比重，增强居民消费能力。推进文化旅游城市核心服务区建设，提升入境消费服务水平。严守消费安全底线，落实食品药品安全“四个最严”要求，加强群众关切的米面油、肉蛋奶等重点食品监管。整治市场交易环境，持续开展民生领域“铁拳”行动和网络市场监管专项行动，推动旅游市场秩序整治，实施农村消费市场净化行动。加强消费维权能力建设，依法畅通投诉举报渠道，强化消费维权与行政执法衔接。引导经营者建立消费者权益保护合规体系，落实经营者质量安全、质量担保和售后服务责任。</w:t>
      </w:r>
    </w:p>
    <w:p w14:paraId="66A78181">
      <w:pPr>
        <w:adjustRightInd w:val="0"/>
        <w:snapToGrid w:val="0"/>
        <w:spacing w:line="580" w:lineRule="exact"/>
        <w:ind w:firstLine="0" w:firstLineChars="0"/>
        <w:jc w:val="center"/>
        <w:outlineLvl w:val="1"/>
        <w:rPr>
          <w:rFonts w:eastAsia="方正楷体_GBK"/>
          <w:color w:val="auto"/>
          <w:sz w:val="30"/>
          <w:szCs w:val="30"/>
        </w:rPr>
      </w:pPr>
      <w:bookmarkStart w:id="176" w:name="_Toc469748837"/>
      <w:bookmarkStart w:id="177" w:name="_Toc1744887953"/>
      <w:bookmarkStart w:id="178" w:name="_Toc217274711"/>
      <w:r>
        <w:rPr>
          <w:rFonts w:hint="eastAsia" w:eastAsia="方正楷体_GBK"/>
          <w:color w:val="auto"/>
          <w:sz w:val="30"/>
          <w:szCs w:val="30"/>
        </w:rPr>
        <w:t>第二节  持续扩大有效投资</w:t>
      </w:r>
      <w:bookmarkEnd w:id="174"/>
      <w:bookmarkEnd w:id="175"/>
      <w:bookmarkEnd w:id="176"/>
      <w:bookmarkEnd w:id="177"/>
      <w:bookmarkEnd w:id="178"/>
    </w:p>
    <w:p w14:paraId="358498AA">
      <w:pPr>
        <w:topLinePunct/>
        <w:adjustRightInd w:val="0"/>
        <w:snapToGrid w:val="0"/>
        <w:spacing w:line="580" w:lineRule="exact"/>
        <w:ind w:firstLine="602"/>
        <w:rPr>
          <w:rFonts w:eastAsia="方正仿宋_GBK"/>
          <w:color w:val="auto"/>
          <w:sz w:val="30"/>
          <w:szCs w:val="30"/>
        </w:rPr>
      </w:pPr>
      <w:r>
        <w:rPr>
          <w:rFonts w:hint="eastAsia" w:eastAsia="方正仿宋_GBK"/>
          <w:b/>
          <w:bCs/>
          <w:color w:val="auto"/>
          <w:sz w:val="30"/>
          <w:szCs w:val="30"/>
        </w:rPr>
        <w:t>提升投资精准度和有效性。</w:t>
      </w:r>
      <w:r>
        <w:rPr>
          <w:rFonts w:hint="eastAsia" w:eastAsia="方正仿宋_GBK"/>
          <w:color w:val="auto"/>
          <w:sz w:val="30"/>
          <w:szCs w:val="30"/>
        </w:rPr>
        <w:t>抢抓“两重”“两新”政策窗口期，统筹用好超长期特别国债、中央预算内投资、地方政府专项债券，引导各类资源要素向重点产业项目集聚。加大传统工业优化升级投资力度，促进企业技改投资，推动设备更新。扩大先进工业领域投资，推动采用高技术、高效率、高可靠性的先进设备。扩大高技术产业和战略性新兴产业投资，利用现有高标准厂房及新材料产业孵化园、融创孵化园（二期）、智创孵化园区（一期）等载体，推动更多新能源、新材料、电子信息、固废综合治理和资源化利用产业项目落地。开展中小企业数字化转型行动，推动企业智能化升级、数字化赋能。</w:t>
      </w:r>
    </w:p>
    <w:p w14:paraId="0E176188">
      <w:pPr>
        <w:topLinePunct/>
        <w:adjustRightInd w:val="0"/>
        <w:snapToGrid w:val="0"/>
        <w:spacing w:line="580" w:lineRule="exact"/>
        <w:ind w:firstLine="602"/>
        <w:rPr>
          <w:rFonts w:eastAsia="方正仿宋_GBK"/>
          <w:color w:val="auto"/>
          <w:sz w:val="30"/>
          <w:szCs w:val="30"/>
        </w:rPr>
      </w:pPr>
      <w:r>
        <w:rPr>
          <w:rFonts w:hint="eastAsia" w:eastAsia="方正仿宋_GBK"/>
          <w:b/>
          <w:bCs/>
          <w:color w:val="auto"/>
          <w:sz w:val="30"/>
          <w:szCs w:val="30"/>
        </w:rPr>
        <w:t>激发社会资本投资活力。</w:t>
      </w:r>
      <w:r>
        <w:rPr>
          <w:rFonts w:hint="eastAsia" w:eastAsia="方正仿宋_GBK"/>
          <w:color w:val="auto"/>
          <w:sz w:val="30"/>
          <w:szCs w:val="30"/>
        </w:rPr>
        <w:t>完善民营企业参与重大项目建设长效机制，激发民间投资活力、提高民间投资比重，增强市场主导的有效投资增长动力。集中整治乱收费、乱罚款、乱检查、乱查封，减少对企业正常生产经营的影响。优化招商引资工作机制，以产业链招商为主线，把招商引资与产业链补短板、全区建设发展结合起来，建立健全政府与商协会常态化沟通交流机制，创新以商招商、资本招商、资源招商政策措施。推广全周期发力、全要素保障、全流程提速、全方位推动“四全工作法”，持续强化入企服务，全力解决企业在生产建设各环节的痛点、堵点、难点问题，增强企业预期和信心，提高企业增资扩产动力。</w:t>
      </w:r>
    </w:p>
    <w:p w14:paraId="39D022C6">
      <w:pPr>
        <w:topLinePunct/>
        <w:adjustRightInd w:val="0"/>
        <w:snapToGrid w:val="0"/>
        <w:spacing w:line="580" w:lineRule="exact"/>
        <w:ind w:firstLine="602"/>
        <w:rPr>
          <w:rFonts w:eastAsia="方正仿宋_GBK"/>
          <w:color w:val="auto"/>
          <w:sz w:val="30"/>
          <w:szCs w:val="30"/>
        </w:rPr>
      </w:pPr>
      <w:r>
        <w:rPr>
          <w:rFonts w:hint="eastAsia" w:eastAsia="方正仿宋_GBK"/>
          <w:b/>
          <w:bCs/>
          <w:color w:val="auto"/>
          <w:sz w:val="30"/>
          <w:szCs w:val="30"/>
        </w:rPr>
        <w:t>完善项目谋划储备机制。</w:t>
      </w:r>
      <w:r>
        <w:rPr>
          <w:rFonts w:hint="eastAsia" w:eastAsia="方正仿宋_GBK"/>
          <w:color w:val="auto"/>
          <w:sz w:val="30"/>
          <w:szCs w:val="30"/>
        </w:rPr>
        <w:t>对照国家政策性资金申报要求，形成跨部门工作机制，动态更新项目谋划工作指引。以项目为引擎、谋划为先导、储备为支撑，夯实投资增长基础，构建储备充足、结构合理、滚动接续、支撑发展的项目储备库，推动形成“实施一批、前期一批、储备一批、谋划一批”的重大项目动态推进机制。设置前期工作经费资金池，搭配政策性银行规划合作贷款、前期贷款等金融产品，推动项目谋划储备工作滚动接续开展。围绕“四大赛道”和“三地三区”建设，以及教育、生态、公共卫生、应急保障、防灾减灾等重点领域，推进一批强基础、增功能、利长远的重大工程项目。</w:t>
      </w:r>
    </w:p>
    <w:p w14:paraId="75AF3513">
      <w:pPr>
        <w:pStyle w:val="14"/>
        <w:spacing w:line="580" w:lineRule="exact"/>
        <w:ind w:firstLine="602"/>
        <w:rPr>
          <w:rFonts w:eastAsia="方正仿宋_GBK"/>
          <w:color w:val="auto"/>
          <w:sz w:val="30"/>
          <w:szCs w:val="30"/>
        </w:rPr>
      </w:pPr>
      <w:bookmarkStart w:id="179" w:name="_Toc170234186"/>
      <w:bookmarkStart w:id="180" w:name="_Toc372714848"/>
      <w:bookmarkStart w:id="181" w:name="_Toc217274712"/>
      <w:r>
        <w:rPr>
          <w:rFonts w:hint="eastAsia" w:eastAsia="方正仿宋_GBK"/>
          <w:b/>
          <w:bCs/>
          <w:color w:val="auto"/>
          <w:sz w:val="30"/>
          <w:szCs w:val="30"/>
        </w:rPr>
        <w:t>深化投融资体制改革。</w:t>
      </w:r>
      <w:r>
        <w:rPr>
          <w:rFonts w:hint="eastAsia" w:eastAsia="方正仿宋_GBK"/>
          <w:color w:val="auto"/>
          <w:sz w:val="30"/>
          <w:szCs w:val="30"/>
        </w:rPr>
        <w:t>优化政府投资结构，提高民生类政府投资比重，建立政府投资支持基础性、先导性、全局性重大项目建设长效机制，加强人力资源开发和人的全面发展投资。健全政府投资有效带动社会投资体制机制，更好发挥政府产业投资引导基金作用。完善民营企业融资支持政策制度，破解融资难、融资贵问题。建立民营企业信用状况综合评价体系，健全民营中小企业增信制度。</w:t>
      </w:r>
    </w:p>
    <w:p w14:paraId="38E86B08">
      <w:pPr>
        <w:adjustRightInd w:val="0"/>
        <w:snapToGrid w:val="0"/>
        <w:spacing w:line="580" w:lineRule="exact"/>
        <w:ind w:firstLine="0" w:firstLineChars="0"/>
        <w:jc w:val="center"/>
        <w:outlineLvl w:val="1"/>
        <w:rPr>
          <w:rFonts w:eastAsia="方正楷体_GBK"/>
          <w:color w:val="auto"/>
          <w:sz w:val="30"/>
          <w:szCs w:val="30"/>
          <w:highlight w:val="yellow"/>
        </w:rPr>
      </w:pPr>
      <w:bookmarkStart w:id="182" w:name="_Toc295142639"/>
      <w:bookmarkStart w:id="183" w:name="_Toc918817087"/>
      <w:r>
        <w:rPr>
          <w:rFonts w:hint="eastAsia" w:eastAsia="方正楷体_GBK"/>
          <w:color w:val="auto"/>
          <w:sz w:val="30"/>
          <w:szCs w:val="30"/>
        </w:rPr>
        <w:t>第三节</w:t>
      </w:r>
      <w:r>
        <w:rPr>
          <w:rFonts w:eastAsia="方正楷体_GBK"/>
          <w:color w:val="auto"/>
          <w:sz w:val="30"/>
          <w:szCs w:val="30"/>
        </w:rPr>
        <w:t xml:space="preserve">  </w:t>
      </w:r>
      <w:r>
        <w:rPr>
          <w:rFonts w:hint="eastAsia" w:eastAsia="方正楷体_GBK"/>
          <w:color w:val="auto"/>
          <w:sz w:val="30"/>
          <w:szCs w:val="30"/>
        </w:rPr>
        <w:t>全面融入京津冀协同发展</w:t>
      </w:r>
      <w:bookmarkEnd w:id="179"/>
      <w:bookmarkEnd w:id="180"/>
      <w:bookmarkEnd w:id="181"/>
      <w:bookmarkEnd w:id="182"/>
      <w:bookmarkEnd w:id="183"/>
    </w:p>
    <w:p w14:paraId="4BEF8AE6">
      <w:pPr>
        <w:topLinePunct/>
        <w:adjustRightInd w:val="0"/>
        <w:snapToGrid w:val="0"/>
        <w:spacing w:line="580" w:lineRule="exact"/>
        <w:ind w:firstLine="602"/>
        <w:rPr>
          <w:rFonts w:eastAsia="方正仿宋_GBK"/>
          <w:color w:val="auto"/>
          <w:sz w:val="30"/>
          <w:szCs w:val="30"/>
        </w:rPr>
      </w:pPr>
      <w:r>
        <w:rPr>
          <w:rFonts w:hint="eastAsia" w:eastAsia="方正仿宋_GBK"/>
          <w:b/>
          <w:bCs/>
          <w:color w:val="auto"/>
          <w:sz w:val="30"/>
          <w:szCs w:val="30"/>
        </w:rPr>
        <w:t>积极承接产业转移转化。</w:t>
      </w:r>
      <w:r>
        <w:rPr>
          <w:rFonts w:hint="eastAsia" w:eastAsia="方正仿宋_GBK"/>
          <w:color w:val="auto"/>
          <w:sz w:val="30"/>
          <w:szCs w:val="30"/>
        </w:rPr>
        <w:t>以服务全市建设国家区域重点城市为牵引，提升产业承接能力，加强与京津冀产业合作，助力构建具有云冈特色的现代化产业体系。推动与京津冀开发区联盟及重点园区对接，围绕装备制造、节能环保等主导产业补链、延链，吸引京津冀工业互联网、新能源、电力装备等产业链部分环节向云冈布局。围绕清洁能源、新材料等领域，推动与京津冀高校院所、科研机构、创新平台建立协作关系，建立集技术研发、企业孵化、人才引进、科技招商等功能于一体的京津冀创新飞地。</w:t>
      </w:r>
      <w:r>
        <w:rPr>
          <w:rFonts w:hint="eastAsia" w:eastAsia="方正仿宋_GBK"/>
          <w:color w:val="auto"/>
          <w:sz w:val="30"/>
          <w:szCs w:val="30"/>
          <w:lang w:val="en-US" w:eastAsia="zh-CN"/>
        </w:rPr>
        <w:t>推动</w:t>
      </w:r>
      <w:r>
        <w:rPr>
          <w:rFonts w:hint="eastAsia" w:eastAsia="方正仿宋_GBK"/>
          <w:color w:val="auto"/>
          <w:sz w:val="30"/>
          <w:szCs w:val="30"/>
        </w:rPr>
        <w:t>综合性中试基地和专业中试基地</w:t>
      </w:r>
      <w:r>
        <w:rPr>
          <w:rFonts w:hint="eastAsia" w:eastAsia="方正仿宋_GBK"/>
          <w:color w:val="auto"/>
          <w:sz w:val="30"/>
          <w:szCs w:val="30"/>
          <w:lang w:val="en-US" w:eastAsia="zh-CN"/>
        </w:rPr>
        <w:t>建设</w:t>
      </w:r>
      <w:r>
        <w:rPr>
          <w:rFonts w:hint="eastAsia" w:eastAsia="方正仿宋_GBK"/>
          <w:color w:val="auto"/>
          <w:sz w:val="30"/>
          <w:szCs w:val="30"/>
        </w:rPr>
        <w:t>，实现“技术招商</w:t>
      </w:r>
      <w:r>
        <w:rPr>
          <w:rFonts w:hint="eastAsia" w:eastAsia="方正仿宋_GBK"/>
          <w:color w:val="auto"/>
          <w:sz w:val="30"/>
          <w:szCs w:val="30"/>
          <w:lang w:eastAsia="zh-CN"/>
        </w:rPr>
        <w:t>—</w:t>
      </w:r>
      <w:r>
        <w:rPr>
          <w:rFonts w:hint="eastAsia" w:eastAsia="方正仿宋_GBK"/>
          <w:color w:val="auto"/>
          <w:sz w:val="30"/>
          <w:szCs w:val="30"/>
        </w:rPr>
        <w:t>中试承接</w:t>
      </w:r>
      <w:r>
        <w:rPr>
          <w:rFonts w:hint="eastAsia" w:eastAsia="方正仿宋_GBK"/>
          <w:color w:val="auto"/>
          <w:sz w:val="30"/>
          <w:szCs w:val="30"/>
          <w:lang w:eastAsia="zh-CN"/>
        </w:rPr>
        <w:t>—</w:t>
      </w:r>
      <w:r>
        <w:rPr>
          <w:rFonts w:hint="eastAsia" w:eastAsia="方正仿宋_GBK"/>
          <w:color w:val="auto"/>
          <w:sz w:val="30"/>
          <w:szCs w:val="30"/>
        </w:rPr>
        <w:t>产业化落地”全流程服务，吸引京津冀种子期项目“入云”孵化。</w:t>
      </w:r>
    </w:p>
    <w:p w14:paraId="1EEF97E9">
      <w:pPr>
        <w:topLinePunct/>
        <w:adjustRightInd w:val="0"/>
        <w:snapToGrid w:val="0"/>
        <w:spacing w:line="580" w:lineRule="exact"/>
        <w:ind w:firstLine="602"/>
        <w:rPr>
          <w:rFonts w:eastAsia="方正仿宋_GBK"/>
          <w:color w:val="auto"/>
          <w:sz w:val="30"/>
          <w:szCs w:val="30"/>
        </w:rPr>
      </w:pPr>
      <w:r>
        <w:rPr>
          <w:rFonts w:hint="eastAsia" w:eastAsia="方正仿宋_GBK"/>
          <w:b/>
          <w:bCs/>
          <w:color w:val="auto"/>
          <w:sz w:val="30"/>
          <w:szCs w:val="30"/>
        </w:rPr>
        <w:t>推动农产品和劳务输出。</w:t>
      </w:r>
      <w:r>
        <w:rPr>
          <w:rFonts w:hint="eastAsia" w:eastAsia="方正仿宋_GBK"/>
          <w:color w:val="auto"/>
          <w:sz w:val="30"/>
          <w:szCs w:val="30"/>
        </w:rPr>
        <w:t>实施农业品牌战略，推动设施蔬菜、杂粮、食用菌等特色农产品提质升级，推进冷链物流运输，在京津冀地区设立优质农产品营销中心，打造面向京津冀用户的高端农产品生产供应基地。构建劳务协作体系，统筹利用全市驻京津冀劳务就业服务总站、驻天津劳务就业服务站，围绕京津冀母婴服务、家政服务、养老服务、医疗护理服务等需求，加强劳务输出，拓展对外劳务协作伙伴关系。加大劳务输出工作的政策资金支持力度，创新创优劳务品牌建设，强化精准供需对接功能。探索推进异地职业技能培训，开展跨区域法律服务。</w:t>
      </w:r>
    </w:p>
    <w:p w14:paraId="261D7DE2">
      <w:pPr>
        <w:topLinePunct/>
        <w:adjustRightInd w:val="0"/>
        <w:snapToGrid w:val="0"/>
        <w:spacing w:line="580" w:lineRule="exact"/>
        <w:ind w:firstLine="602"/>
        <w:rPr>
          <w:rFonts w:eastAsia="方正仿宋_GBK"/>
          <w:color w:val="auto"/>
          <w:sz w:val="30"/>
          <w:szCs w:val="30"/>
        </w:rPr>
      </w:pPr>
      <w:r>
        <w:rPr>
          <w:rFonts w:hint="eastAsia" w:eastAsia="方正仿宋_GBK"/>
          <w:b/>
          <w:bCs/>
          <w:color w:val="auto"/>
          <w:sz w:val="30"/>
          <w:szCs w:val="30"/>
        </w:rPr>
        <w:t>促进公共资源共建共享。</w:t>
      </w:r>
      <w:r>
        <w:rPr>
          <w:rFonts w:hint="eastAsia" w:eastAsia="方正仿宋_GBK"/>
          <w:color w:val="auto"/>
          <w:sz w:val="30"/>
          <w:szCs w:val="30"/>
        </w:rPr>
        <w:t>充分利用全市打造对接京津冀城市群桥头堡契机，探索构建规范有序的数字教育资源共享交换体系，推动实现京津冀师资、课程等优质资源向云冈持续共享，争取通过交流培训相结合的方式提升山西大同大学等学校办学水平。争取建立医疗卫生系统合作交流机制，加强双方医疗卫生人才培养和中医药领域合作，推进远程会诊和远程专科诊断。推动云冈龙头企业与京津冀先进研发机构共建科技计划项目成果技术验证基地，争取培育若干科技型领军企业。</w:t>
      </w:r>
    </w:p>
    <w:p w14:paraId="6B36241A">
      <w:pPr>
        <w:adjustRightInd w:val="0"/>
        <w:snapToGrid w:val="0"/>
        <w:spacing w:line="580" w:lineRule="exact"/>
        <w:ind w:firstLine="0" w:firstLineChars="0"/>
        <w:jc w:val="center"/>
        <w:outlineLvl w:val="1"/>
        <w:rPr>
          <w:rFonts w:eastAsia="方正楷体_GBK"/>
          <w:color w:val="auto"/>
          <w:sz w:val="30"/>
          <w:szCs w:val="30"/>
        </w:rPr>
      </w:pPr>
      <w:bookmarkStart w:id="184" w:name="_Toc8652037"/>
      <w:bookmarkStart w:id="185" w:name="_Toc677746298"/>
      <w:bookmarkStart w:id="186" w:name="_Toc217274713"/>
      <w:bookmarkStart w:id="187" w:name="_Toc3875632"/>
      <w:bookmarkStart w:id="188" w:name="_Toc1922592750"/>
      <w:r>
        <w:rPr>
          <w:rFonts w:hint="eastAsia" w:eastAsia="方正楷体_GBK"/>
          <w:color w:val="auto"/>
          <w:sz w:val="30"/>
          <w:szCs w:val="30"/>
        </w:rPr>
        <w:t>第四节  拓展区域合作新空间</w:t>
      </w:r>
      <w:bookmarkEnd w:id="184"/>
      <w:bookmarkEnd w:id="185"/>
      <w:bookmarkEnd w:id="186"/>
      <w:bookmarkEnd w:id="187"/>
      <w:bookmarkEnd w:id="188"/>
    </w:p>
    <w:p w14:paraId="1BBE323B">
      <w:pPr>
        <w:topLinePunct/>
        <w:adjustRightInd w:val="0"/>
        <w:snapToGrid w:val="0"/>
        <w:spacing w:line="580" w:lineRule="exact"/>
        <w:ind w:firstLine="602"/>
        <w:rPr>
          <w:rFonts w:eastAsia="方正仿宋_GBK"/>
          <w:color w:val="auto"/>
          <w:sz w:val="30"/>
          <w:szCs w:val="30"/>
        </w:rPr>
      </w:pPr>
      <w:r>
        <w:rPr>
          <w:rFonts w:hint="eastAsia" w:eastAsia="方正仿宋_GBK"/>
          <w:b/>
          <w:bCs/>
          <w:color w:val="auto"/>
          <w:sz w:val="30"/>
          <w:szCs w:val="30"/>
        </w:rPr>
        <w:t>深化与省内城市互动合作。</w:t>
      </w:r>
      <w:bookmarkStart w:id="189" w:name="_Hlk214042001"/>
      <w:r>
        <w:rPr>
          <w:rFonts w:hint="eastAsia" w:eastAsia="方正仿宋_GBK"/>
          <w:color w:val="auto"/>
          <w:sz w:val="30"/>
          <w:szCs w:val="30"/>
        </w:rPr>
        <w:t>深化与太原数字经济和实体经济融合发展，携手发展工业互联网和智能制造，促进传统产业数智转型。</w:t>
      </w:r>
      <w:bookmarkEnd w:id="189"/>
      <w:r>
        <w:rPr>
          <w:rFonts w:hint="eastAsia" w:eastAsia="方正仿宋_GBK"/>
          <w:color w:val="auto"/>
          <w:sz w:val="30"/>
          <w:szCs w:val="30"/>
        </w:rPr>
        <w:t>借助太原高校和科研机构资源开展产学研合作，建立人才交流机制，创新“团队式引进、季节性驻扎、云端化协作”的柔性引才模式。依托晋北采煤沉陷区新能源基地，推动与周边地区开展新能源产业合作，共享技术人才资源。加强与太原、忻州在文化旅游方面合作，用好云冈石窟、五台山等文旅资源，共同开发旅游线路，加强工业遗产旅游联动，携手提升山西旅游影响力。推动与朔州共同开展桑干河流域生态修复与保护，筑牢京津冀生态屏障。</w:t>
      </w:r>
    </w:p>
    <w:p w14:paraId="6E45AF7F">
      <w:pPr>
        <w:topLinePunct/>
        <w:adjustRightInd w:val="0"/>
        <w:snapToGrid w:val="0"/>
        <w:spacing w:line="580" w:lineRule="exact"/>
        <w:ind w:firstLine="602"/>
        <w:rPr>
          <w:rFonts w:eastAsia="方正仿宋_GBK"/>
          <w:color w:val="auto"/>
          <w:sz w:val="30"/>
          <w:szCs w:val="30"/>
        </w:rPr>
      </w:pPr>
      <w:r>
        <w:rPr>
          <w:rFonts w:hint="eastAsia" w:eastAsia="方正仿宋_GBK"/>
          <w:b/>
          <w:bCs/>
          <w:color w:val="auto"/>
          <w:sz w:val="30"/>
          <w:szCs w:val="30"/>
        </w:rPr>
        <w:t>探索推动与周边省区合作。</w:t>
      </w:r>
      <w:r>
        <w:rPr>
          <w:rFonts w:hint="eastAsia" w:eastAsia="方正仿宋_GBK"/>
          <w:color w:val="auto"/>
          <w:sz w:val="30"/>
          <w:szCs w:val="30"/>
        </w:rPr>
        <w:t>依托区位、资源、产业基础，谋划推动与周边地区新型储能、固废综合治理等领域合作，助力清洁能源产业集群建设，对接红色旅游、草原旅游，共推旅游精品线路。深化乌大张区域合作发展，推动与乌兰察布开展跨区域生态保护和风沙源治理，探索生态环境数据共享，共筑生态安全屏障，谋划推进云冈石窟、凉城岱海等旅游资源联动，探索共建游客集散中心和联票系统，协同打造文旅康养目的地。探索建立跨省教育、医疗、劳务协作机制，共建职业教育联盟和人力资源服务平台，提升区域协调发展水平。</w:t>
      </w:r>
    </w:p>
    <w:p w14:paraId="7E2CAF35">
      <w:pPr>
        <w:topLinePunct/>
        <w:adjustRightInd w:val="0"/>
        <w:snapToGrid w:val="0"/>
        <w:spacing w:line="580" w:lineRule="exact"/>
        <w:ind w:firstLine="602"/>
        <w:rPr>
          <w:rFonts w:eastAsia="方正仿宋_GBK"/>
          <w:color w:val="auto"/>
          <w:sz w:val="30"/>
          <w:szCs w:val="30"/>
        </w:rPr>
      </w:pPr>
      <w:r>
        <w:rPr>
          <w:rFonts w:hint="eastAsia" w:eastAsia="方正仿宋_GBK"/>
          <w:b/>
          <w:bCs/>
          <w:color w:val="auto"/>
          <w:sz w:val="30"/>
          <w:szCs w:val="30"/>
        </w:rPr>
        <w:t>推动区域重大战略赋能。</w:t>
      </w:r>
      <w:r>
        <w:rPr>
          <w:rFonts w:hint="eastAsia" w:eastAsia="方正仿宋_GBK"/>
          <w:color w:val="auto"/>
          <w:sz w:val="30"/>
          <w:szCs w:val="30"/>
        </w:rPr>
        <w:t>推动装备制造、新能源、新材料等产业对接长三角产业体系，支持云冈企业到长三角地区设立“反向飞地”。</w:t>
      </w:r>
      <w:r>
        <w:rPr>
          <w:rFonts w:hint="eastAsia" w:eastAsia="方正仿宋_GBK"/>
          <w:color w:val="auto"/>
          <w:sz w:val="30"/>
          <w:szCs w:val="30"/>
          <w:lang w:val="en-US" w:eastAsia="zh-CN"/>
        </w:rPr>
        <w:t>加强</w:t>
      </w:r>
      <w:r>
        <w:rPr>
          <w:rFonts w:hint="eastAsia" w:eastAsia="方正仿宋_GBK"/>
          <w:color w:val="auto"/>
          <w:sz w:val="30"/>
          <w:szCs w:val="30"/>
        </w:rPr>
        <w:t>与粤港澳大湾区在信息技术、低空经济等产业领域合作，推动相关产业创新成果向云冈转移转化。牢牢把握重在保护、要在治理战略要求，加强与黄河流域其他城市在生态补偿机制、产业协同发展等领域合作，协同促进绿色转型发展。用好中部地区承东启西、连南接北优势，加强与湖南、安徽、山东等经济大省合作，探索以共建、托管、飞地等形式建设产业合作载体，推动高载能产业有序向云冈转移。</w:t>
      </w:r>
    </w:p>
    <w:p w14:paraId="1388BAA3">
      <w:pPr>
        <w:spacing w:line="580" w:lineRule="exact"/>
        <w:ind w:firstLine="480"/>
        <w:rPr>
          <w:rFonts w:eastAsia="方正黑体_GBK" w:cs="方正黑体_GBK"/>
          <w:color w:val="auto"/>
        </w:rPr>
      </w:pPr>
      <w:r>
        <w:rPr>
          <w:rFonts w:hint="eastAsia" w:eastAsia="方正黑体_GBK" w:cs="方正黑体_GBK"/>
          <w:color w:val="auto"/>
        </w:rPr>
        <w:br w:type="page"/>
      </w:r>
    </w:p>
    <w:p w14:paraId="14F4A30D">
      <w:pPr>
        <w:pStyle w:val="61"/>
        <w:spacing w:before="156" w:beforeLines="50" w:after="156" w:afterLines="50" w:line="580" w:lineRule="exact"/>
        <w:ind w:firstLine="0" w:firstLineChars="0"/>
        <w:jc w:val="center"/>
        <w:rPr>
          <w:rFonts w:ascii="Times New Roman" w:hAnsi="Times New Roman" w:eastAsia="方正黑体_GBK" w:cs="方正黑体_GBK"/>
          <w:color w:val="auto"/>
        </w:rPr>
      </w:pPr>
      <w:bookmarkStart w:id="190" w:name="_Toc713237614"/>
      <w:bookmarkStart w:id="191" w:name="_Toc1977396488"/>
      <w:r>
        <w:rPr>
          <w:rFonts w:hint="eastAsia" w:ascii="Times New Roman" w:hAnsi="Times New Roman" w:eastAsia="方正黑体_GBK" w:cs="方正黑体_GBK"/>
          <w:color w:val="auto"/>
        </w:rPr>
        <w:t>第七章 全面深化改革开放 激发高质量发展动能活力</w:t>
      </w:r>
      <w:bookmarkEnd w:id="138"/>
      <w:bookmarkEnd w:id="139"/>
      <w:bookmarkEnd w:id="140"/>
      <w:bookmarkEnd w:id="190"/>
      <w:bookmarkEnd w:id="191"/>
    </w:p>
    <w:p w14:paraId="79F42241">
      <w:pPr>
        <w:overflowPunct w:val="0"/>
        <w:spacing w:line="580" w:lineRule="exact"/>
        <w:ind w:firstLine="600"/>
        <w:contextualSpacing/>
        <w:rPr>
          <w:rFonts w:eastAsia="方正仿宋_GBK" w:cs="方正仿宋_GBK"/>
          <w:color w:val="auto"/>
          <w:sz w:val="30"/>
          <w:szCs w:val="30"/>
        </w:rPr>
      </w:pPr>
      <w:r>
        <w:rPr>
          <w:rFonts w:hint="eastAsia" w:eastAsia="方正仿宋_GBK" w:cs="方正仿宋_GBK"/>
          <w:color w:val="auto"/>
          <w:sz w:val="30"/>
          <w:szCs w:val="30"/>
        </w:rPr>
        <w:t>持续深化经济体制改革，扎实推进重点领域和关键环节改革，着力破除制约高质量发展的体制机制障碍，加快服务和融入全国统一大市场建设，充分激发各类经营主体的内生动力和创新活力，为全区经济社会发展释放新动能新活力。</w:t>
      </w:r>
    </w:p>
    <w:p w14:paraId="250AE64B">
      <w:pPr>
        <w:spacing w:line="580" w:lineRule="exact"/>
        <w:ind w:firstLine="0" w:firstLineChars="0"/>
        <w:jc w:val="center"/>
        <w:outlineLvl w:val="1"/>
        <w:rPr>
          <w:rFonts w:eastAsia="楷体" w:cs="方正仿宋_GBK"/>
          <w:b/>
          <w:bCs/>
          <w:color w:val="auto"/>
          <w:sz w:val="30"/>
          <w:szCs w:val="30"/>
        </w:rPr>
      </w:pPr>
      <w:bookmarkStart w:id="192" w:name="_Toc1861398031"/>
      <w:bookmarkStart w:id="193" w:name="_Toc440295026"/>
      <w:bookmarkStart w:id="194" w:name="_Toc130860944"/>
      <w:bookmarkStart w:id="195" w:name="_Toc1865565893"/>
      <w:bookmarkStart w:id="196" w:name="_Toc1793336491"/>
      <w:r>
        <w:rPr>
          <w:rFonts w:hint="eastAsia" w:eastAsia="楷体" w:cs="Times New Roman"/>
          <w:color w:val="auto"/>
          <w:sz w:val="30"/>
          <w:szCs w:val="30"/>
        </w:rPr>
        <w:t>第一节  打造市场化法治化营商环境</w:t>
      </w:r>
      <w:bookmarkEnd w:id="192"/>
      <w:bookmarkEnd w:id="193"/>
      <w:bookmarkEnd w:id="194"/>
      <w:bookmarkEnd w:id="195"/>
      <w:bookmarkEnd w:id="196"/>
    </w:p>
    <w:p w14:paraId="532A48C4">
      <w:pPr>
        <w:overflowPunct w:val="0"/>
        <w:spacing w:line="580" w:lineRule="exact"/>
        <w:ind w:firstLine="602"/>
        <w:contextualSpacing/>
        <w:rPr>
          <w:rFonts w:eastAsia="方正仿宋_GBK" w:cs="方正仿宋_GBK"/>
          <w:color w:val="auto"/>
          <w:sz w:val="30"/>
          <w:szCs w:val="30"/>
        </w:rPr>
      </w:pPr>
      <w:r>
        <w:rPr>
          <w:rFonts w:hint="eastAsia" w:eastAsia="方正仿宋_GBK" w:cs="方正仿宋_GBK"/>
          <w:b/>
          <w:bCs/>
          <w:color w:val="auto"/>
          <w:sz w:val="30"/>
          <w:szCs w:val="30"/>
        </w:rPr>
        <w:t>服务和融入全国统一大市场</w:t>
      </w:r>
      <w:r>
        <w:rPr>
          <w:rFonts w:hint="eastAsia" w:eastAsia="方正仿宋_GBK" w:cs="方正仿宋_GBK"/>
          <w:color w:val="auto"/>
          <w:sz w:val="30"/>
          <w:szCs w:val="30"/>
        </w:rPr>
        <w:t>。对标全国统一大市场建设要求，全面实施全国统一大市场建设指引和市场准入负面清单，坚决杜绝在清单之外违规设立准入许可、违规增设准入条件，严禁擅自制定市场准入性质的负面清单。持续开展破除市场准入隐性壁垒巩固提升行动，规范招商引资等经济促进行为，推进常态化线索归集、核实整改、案例通报。强化全链条竞争监管执法，加强质量监管，依法查处垄断协议、滥用市场支配地位、侵犯商业秘密等行为。</w:t>
      </w:r>
    </w:p>
    <w:p w14:paraId="46324761">
      <w:pPr>
        <w:overflowPunct w:val="0"/>
        <w:spacing w:line="580" w:lineRule="exact"/>
        <w:ind w:firstLine="602"/>
        <w:contextualSpacing/>
        <w:rPr>
          <w:rFonts w:eastAsia="方正仿宋_GBK" w:cs="方正仿宋_GBK"/>
          <w:color w:val="auto"/>
          <w:sz w:val="30"/>
          <w:szCs w:val="30"/>
        </w:rPr>
      </w:pPr>
      <w:r>
        <w:rPr>
          <w:rFonts w:hint="eastAsia" w:eastAsia="方正仿宋_GBK" w:cs="方正仿宋_GBK"/>
          <w:b/>
          <w:bCs/>
          <w:color w:val="auto"/>
          <w:sz w:val="30"/>
          <w:szCs w:val="30"/>
        </w:rPr>
        <w:t>有力维护公平竞争环境</w:t>
      </w:r>
      <w:r>
        <w:rPr>
          <w:rFonts w:hint="eastAsia" w:eastAsia="方正仿宋_GBK" w:cs="方正仿宋_GBK"/>
          <w:color w:val="auto"/>
          <w:sz w:val="30"/>
          <w:szCs w:val="30"/>
        </w:rPr>
        <w:t>。强化公平竞争审查制度刚性约束，确保各类经营主体在要素获取、市场准入等方面享受平等待遇。落实市场监管法律法规和技术标准，建立统一的市场监管执法平台。依法依规治理企业无序竞争，加大价格监督检查力度，依法查处价格违法违规行为，加强不正当竞争行为监管执法。深入推进招标投标全流程电子化，加快完善电子招标投标制度规则、技术标准。</w:t>
      </w:r>
    </w:p>
    <w:p w14:paraId="7E19E117">
      <w:pPr>
        <w:overflowPunct w:val="0"/>
        <w:spacing w:line="580" w:lineRule="exact"/>
        <w:ind w:firstLine="602"/>
        <w:contextualSpacing/>
        <w:rPr>
          <w:rFonts w:eastAsia="方正仿宋_GBK" w:cs="方正仿宋_GBK"/>
          <w:color w:val="auto"/>
          <w:sz w:val="30"/>
          <w:szCs w:val="30"/>
        </w:rPr>
      </w:pPr>
      <w:r>
        <w:rPr>
          <w:rFonts w:hint="eastAsia" w:eastAsia="方正仿宋_GBK" w:cs="方正仿宋_GBK"/>
          <w:b/>
          <w:bCs/>
          <w:color w:val="auto"/>
          <w:sz w:val="30"/>
          <w:szCs w:val="30"/>
        </w:rPr>
        <w:t>优化政务服务环境。</w:t>
      </w:r>
      <w:r>
        <w:rPr>
          <w:rFonts w:hint="eastAsia" w:eastAsia="方正仿宋_GBK" w:cs="方正仿宋_GBK"/>
          <w:color w:val="auto"/>
          <w:sz w:val="30"/>
          <w:szCs w:val="30"/>
        </w:rPr>
        <w:t>以数字政府建设为牵引，推动数字技术和传统公共服务融合，建立覆盖企业、个人全生命周期的“一件事”服务体系。积极探索数字赋能、人工智能等政务服务模式，以数字化助推“先照后证”“照后减证”改革，推进政务服务标准化规范化便利化。全面深化“双随机、一公开”监管</w:t>
      </w:r>
      <w:r>
        <w:rPr>
          <w:rFonts w:hint="eastAsia" w:eastAsia="方正仿宋_GBK" w:cs="方正仿宋_GBK"/>
          <w:color w:val="auto"/>
          <w:sz w:val="30"/>
          <w:szCs w:val="30"/>
          <w:lang w:eastAsia="zh-CN"/>
        </w:rPr>
        <w:t>，</w:t>
      </w:r>
      <w:r>
        <w:rPr>
          <w:rFonts w:hint="eastAsia" w:eastAsia="方正仿宋_GBK" w:cs="方正仿宋_GBK"/>
          <w:color w:val="auto"/>
          <w:sz w:val="30"/>
          <w:szCs w:val="30"/>
        </w:rPr>
        <w:t>规范涉企行政检查，切实减少对企业正常生产经营活动的不必要干扰，为企业提供精准高效的政务服务。加强产权执法司法保护，建立高效的知识产权综合管理体制。</w:t>
      </w:r>
    </w:p>
    <w:p w14:paraId="07262EED">
      <w:pPr>
        <w:spacing w:line="580" w:lineRule="exact"/>
        <w:ind w:firstLine="0" w:firstLineChars="0"/>
        <w:jc w:val="center"/>
        <w:outlineLvl w:val="1"/>
        <w:rPr>
          <w:rFonts w:eastAsia="楷体" w:cs="Times New Roman"/>
          <w:color w:val="auto"/>
          <w:sz w:val="30"/>
          <w:szCs w:val="30"/>
        </w:rPr>
      </w:pPr>
      <w:bookmarkStart w:id="197" w:name="_Toc673418592"/>
      <w:bookmarkStart w:id="198" w:name="_Toc356631280"/>
      <w:r>
        <w:rPr>
          <w:rFonts w:hint="eastAsia" w:eastAsia="楷体" w:cs="Times New Roman"/>
          <w:color w:val="auto"/>
          <w:sz w:val="30"/>
          <w:szCs w:val="30"/>
        </w:rPr>
        <w:t>第二节  充分激发各类经营主体发展活力</w:t>
      </w:r>
      <w:bookmarkEnd w:id="197"/>
      <w:bookmarkEnd w:id="198"/>
    </w:p>
    <w:p w14:paraId="287B227D">
      <w:pPr>
        <w:overflowPunct w:val="0"/>
        <w:spacing w:line="580" w:lineRule="exact"/>
        <w:ind w:firstLine="602" w:firstLineChars="0"/>
        <w:contextualSpacing/>
        <w:jc w:val="left"/>
        <w:rPr>
          <w:color w:val="auto"/>
        </w:rPr>
      </w:pPr>
      <w:r>
        <w:rPr>
          <w:rFonts w:hint="eastAsia" w:eastAsia="方正仿宋_GBK" w:cs="方正仿宋_GBK"/>
          <w:b/>
          <w:bCs/>
          <w:color w:val="auto"/>
          <w:sz w:val="30"/>
          <w:szCs w:val="30"/>
        </w:rPr>
        <w:t>深化国资国企改革。</w:t>
      </w:r>
      <w:r>
        <w:rPr>
          <w:rFonts w:hint="eastAsia" w:eastAsia="方正仿宋_GBK" w:cs="方正仿宋_GBK"/>
          <w:color w:val="auto"/>
          <w:sz w:val="30"/>
          <w:szCs w:val="30"/>
        </w:rPr>
        <w:t>推动区属国有企业紧密结合区域优势、产业基础和主责主业，优化投资决策机制。强化国有资本与煤矿开采、新能源等龙头企业对接合作，持续提升国有资本保值增值能力。发挥国有企业在基础设施建设、公共服务提供等方面的主力军作用，鼓励国有企业参与重大项目建设和产业发展。深化国有企业内部分配制度改革，健全完善薪酬分配机制。完善国资管理监督体制机制，提高区属国有企业防范化解风险能力。</w:t>
      </w:r>
    </w:p>
    <w:p w14:paraId="280C9DAD">
      <w:pPr>
        <w:overflowPunct w:val="0"/>
        <w:spacing w:line="580" w:lineRule="exact"/>
        <w:ind w:firstLine="602"/>
        <w:contextualSpacing/>
        <w:rPr>
          <w:rFonts w:eastAsia="方正仿宋_GBK" w:cs="方正仿宋_GBK"/>
          <w:color w:val="auto"/>
          <w:sz w:val="30"/>
          <w:szCs w:val="30"/>
        </w:rPr>
      </w:pPr>
      <w:r>
        <w:rPr>
          <w:rFonts w:hint="eastAsia" w:eastAsia="方正仿宋_GBK" w:cs="方正仿宋_GBK"/>
          <w:b/>
          <w:bCs/>
          <w:color w:val="auto"/>
          <w:sz w:val="30"/>
          <w:szCs w:val="30"/>
        </w:rPr>
        <w:t>推动民营经济健康发展</w:t>
      </w:r>
      <w:r>
        <w:rPr>
          <w:rFonts w:hint="eastAsia" w:eastAsia="方正仿宋_GBK" w:cs="方正仿宋_GBK"/>
          <w:color w:val="auto"/>
          <w:sz w:val="30"/>
          <w:szCs w:val="30"/>
        </w:rPr>
        <w:t>。坚持和落实“两个毫不动摇”，贯彻执行民营经济促进法，切实保障民营企业合法权益。分层分类建立企业培育库，深入实施自转个、个转企、企转规、规转股、股转上“五转”工程。鼓励民营企业参与基础设施、公共服务、科技创新等领域投资建设，确保民间资本在市场准入、要素配置、公平竞争等方面享有与国有企业同等待遇。重点支持有能力的民营企业联合参与国家重大技术攻关任务，提升基础创新和关键技术研发水平。加强政银企对接，建立常态化的融资对接机制，着力解决民营企业融资难融资贵问题。</w:t>
      </w:r>
    </w:p>
    <w:p w14:paraId="3769EA70">
      <w:pPr>
        <w:overflowPunct w:val="0"/>
        <w:spacing w:line="580" w:lineRule="exact"/>
        <w:ind w:firstLine="602"/>
        <w:contextualSpacing/>
        <w:rPr>
          <w:rFonts w:eastAsia="方正仿宋_GBK" w:cs="方正仿宋_GBK"/>
          <w:color w:val="auto"/>
          <w:sz w:val="30"/>
          <w:szCs w:val="30"/>
        </w:rPr>
      </w:pPr>
      <w:r>
        <w:rPr>
          <w:rFonts w:hint="eastAsia" w:eastAsia="方正仿宋_GBK" w:cs="方正仿宋_GBK"/>
          <w:b/>
          <w:bCs/>
          <w:color w:val="auto"/>
          <w:sz w:val="30"/>
          <w:szCs w:val="30"/>
        </w:rPr>
        <w:t>促进中小微企业高质量发展</w:t>
      </w:r>
      <w:r>
        <w:rPr>
          <w:rFonts w:hint="eastAsia" w:eastAsia="方正仿宋_GBK" w:cs="方正仿宋_GBK"/>
          <w:color w:val="auto"/>
          <w:sz w:val="30"/>
          <w:szCs w:val="30"/>
        </w:rPr>
        <w:t>。建立中小微企业梯度培育体系，推动“专精特新”企业、“小巨人”企业、制造业“单项冠军”企业数量扩围，形成大企业带动、中小企业集聚发展的良好生态。发挥煤炭、新能源、新材料等“链主”企业引领作用，扶持、引导中小微企业与大型企业开展产业链供应链上下游协作配套。推动大中小企业在研发、制造、服务等环节融通发展、协同升级。支持区内高校、研究机构针对企业技术需要，开展应用研究与成果转化。鼓励金融机构下沉服务，加大对中小微企业金融支持力度。</w:t>
      </w:r>
    </w:p>
    <w:p w14:paraId="6C79BC47">
      <w:pPr>
        <w:spacing w:line="580" w:lineRule="exact"/>
        <w:ind w:firstLine="0" w:firstLineChars="0"/>
        <w:jc w:val="center"/>
        <w:outlineLvl w:val="1"/>
        <w:rPr>
          <w:rFonts w:eastAsia="楷体" w:cs="方正仿宋_GBK"/>
          <w:b/>
          <w:bCs/>
          <w:color w:val="auto"/>
          <w:sz w:val="30"/>
          <w:szCs w:val="30"/>
        </w:rPr>
      </w:pPr>
      <w:bookmarkStart w:id="199" w:name="_Toc2107971090"/>
      <w:bookmarkStart w:id="200" w:name="_Toc1409457690"/>
      <w:bookmarkStart w:id="201" w:name="_Toc2033571337"/>
      <w:bookmarkStart w:id="202" w:name="_Toc275064183"/>
      <w:bookmarkStart w:id="203" w:name="_Toc907456054"/>
      <w:r>
        <w:rPr>
          <w:rFonts w:hint="eastAsia" w:eastAsia="楷体" w:cs="Times New Roman"/>
          <w:color w:val="auto"/>
          <w:sz w:val="30"/>
          <w:szCs w:val="30"/>
        </w:rPr>
        <w:t>第三节  健全完善要素和金融配置</w:t>
      </w:r>
      <w:bookmarkEnd w:id="199"/>
      <w:bookmarkEnd w:id="200"/>
      <w:bookmarkEnd w:id="201"/>
      <w:r>
        <w:rPr>
          <w:rFonts w:hint="eastAsia" w:eastAsia="楷体" w:cs="Times New Roman"/>
          <w:color w:val="auto"/>
          <w:sz w:val="30"/>
          <w:szCs w:val="30"/>
        </w:rPr>
        <w:t>改革</w:t>
      </w:r>
      <w:bookmarkEnd w:id="202"/>
      <w:bookmarkEnd w:id="203"/>
    </w:p>
    <w:p w14:paraId="76D8601B">
      <w:pPr>
        <w:pStyle w:val="63"/>
        <w:spacing w:line="580" w:lineRule="exact"/>
        <w:ind w:firstLine="602"/>
        <w:rPr>
          <w:rFonts w:eastAsia="方正仿宋_GBK" w:cs="方正仿宋_GBK"/>
          <w:color w:val="auto"/>
          <w:sz w:val="30"/>
          <w:szCs w:val="30"/>
        </w:rPr>
      </w:pPr>
      <w:r>
        <w:rPr>
          <w:rFonts w:hint="eastAsia" w:eastAsia="方正仿宋_GBK" w:cs="方正仿宋_GBK"/>
          <w:b/>
          <w:bCs/>
          <w:color w:val="auto"/>
          <w:sz w:val="30"/>
          <w:szCs w:val="30"/>
        </w:rPr>
        <w:t>加强土地要素市场化配置</w:t>
      </w:r>
      <w:r>
        <w:rPr>
          <w:rFonts w:hint="eastAsia" w:eastAsia="方正仿宋_GBK" w:cs="方正仿宋_GBK"/>
          <w:color w:val="auto"/>
          <w:sz w:val="30"/>
          <w:szCs w:val="30"/>
        </w:rPr>
        <w:t>。鼓励采用长期租赁、先租后让、弹性年期出让等多元化产业用地供应方式，利用好土地用途变更、整合、置换等政策，推动不同产业用地类型合理转换，探索增加混合产业用地供给。依法稳妥推进工商业用地使用权续期工作。深化工业企业“亩产论英雄”改革，支持建立工业企业产出效益评价机制。积极推进农村集体经营性建设用地入市，构建城乡统一的建设用地市场。</w:t>
      </w:r>
    </w:p>
    <w:p w14:paraId="0E7497EE">
      <w:pPr>
        <w:pStyle w:val="63"/>
        <w:spacing w:line="580" w:lineRule="exact"/>
        <w:ind w:firstLine="602"/>
        <w:rPr>
          <w:rFonts w:eastAsia="方正仿宋_GBK" w:cs="方正仿宋_GBK"/>
          <w:color w:val="auto"/>
          <w:sz w:val="30"/>
          <w:szCs w:val="30"/>
        </w:rPr>
      </w:pPr>
      <w:r>
        <w:rPr>
          <w:rFonts w:hint="eastAsia" w:eastAsia="方正仿宋_GBK" w:cs="方正仿宋_GBK"/>
          <w:b/>
          <w:bCs/>
          <w:color w:val="auto"/>
          <w:sz w:val="30"/>
          <w:szCs w:val="30"/>
        </w:rPr>
        <w:t>推进资源环境要素市场化交易</w:t>
      </w:r>
      <w:r>
        <w:rPr>
          <w:rFonts w:hint="eastAsia" w:eastAsia="方正仿宋_GBK" w:cs="方正仿宋_GBK"/>
          <w:color w:val="auto"/>
          <w:sz w:val="30"/>
          <w:szCs w:val="30"/>
        </w:rPr>
        <w:t>。全面开展水权收储工作，鼓励社会资本通过参与节水改造结余水量开展水权交易。实行集体林地所有权、承包权、经营权“三权”分置，盘活集体林地资源。健全碳排放核算体系，加快推进资源减排项目清单编制和减排量评估。加强用能权交易与碳排放权交易衔接协调，推动将碳排放权、用水权、排污权等交易有序纳入全市公共资源交易平台。</w:t>
      </w:r>
    </w:p>
    <w:p w14:paraId="414229C6">
      <w:pPr>
        <w:topLinePunct/>
        <w:adjustRightInd w:val="0"/>
        <w:snapToGrid w:val="0"/>
        <w:spacing w:line="580" w:lineRule="exact"/>
        <w:ind w:firstLine="602"/>
        <w:rPr>
          <w:rFonts w:eastAsia="方正仿宋_GBK" w:cs="方正仿宋_GBK"/>
          <w:color w:val="auto"/>
          <w:sz w:val="30"/>
          <w:szCs w:val="30"/>
        </w:rPr>
      </w:pPr>
      <w:bookmarkStart w:id="204" w:name="_Toc402277183"/>
      <w:bookmarkStart w:id="205" w:name="_Toc2059364198"/>
      <w:r>
        <w:rPr>
          <w:rFonts w:hint="eastAsia" w:eastAsia="方正仿宋_GBK" w:cs="方正仿宋_GBK"/>
          <w:b/>
          <w:bCs/>
          <w:color w:val="auto"/>
          <w:sz w:val="30"/>
          <w:szCs w:val="30"/>
        </w:rPr>
        <w:t>优化财税金融资源配置</w:t>
      </w:r>
      <w:r>
        <w:rPr>
          <w:rFonts w:hint="eastAsia" w:eastAsia="方正仿宋_GBK" w:cs="方正仿宋_GBK"/>
          <w:color w:val="auto"/>
          <w:sz w:val="30"/>
          <w:szCs w:val="30"/>
        </w:rPr>
        <w:t>。健全现代预算制度，强化财政资源和预算统筹，调整优化支出结构，加大对科技创新、产业升级、乡村振兴、生态环保等重点领域的投入。深化零基预算改革，统一预算分配权，加强预算绩效管理，强化预算绩效结果应用。深化新一轮财税体制改革，提高财政资金使用效益。落实好退税减税降费各项政策，增强财税服务保障能力。深入推进普惠金融改革，支持中小银行和农村信用社改革发展。</w:t>
      </w:r>
    </w:p>
    <w:p w14:paraId="6E4C4C8F">
      <w:pPr>
        <w:adjustRightInd w:val="0"/>
        <w:snapToGrid w:val="0"/>
        <w:spacing w:line="580" w:lineRule="exact"/>
        <w:ind w:firstLine="0" w:firstLineChars="0"/>
        <w:jc w:val="center"/>
        <w:outlineLvl w:val="1"/>
        <w:rPr>
          <w:rFonts w:eastAsia="方正楷体_GBK"/>
          <w:color w:val="auto"/>
          <w:sz w:val="30"/>
          <w:szCs w:val="30"/>
        </w:rPr>
      </w:pPr>
      <w:bookmarkStart w:id="206" w:name="_Toc1618915337"/>
      <w:bookmarkStart w:id="207" w:name="_Toc185038584"/>
      <w:r>
        <w:rPr>
          <w:rFonts w:eastAsia="方正楷体_GBK"/>
          <w:color w:val="auto"/>
          <w:sz w:val="30"/>
          <w:szCs w:val="30"/>
        </w:rPr>
        <w:t>第四节</w:t>
      </w:r>
      <w:r>
        <w:rPr>
          <w:rFonts w:hint="eastAsia" w:eastAsia="方正楷体_GBK"/>
          <w:color w:val="auto"/>
          <w:sz w:val="30"/>
          <w:szCs w:val="30"/>
        </w:rPr>
        <w:t xml:space="preserve">  全面提升对外开放能级和水平</w:t>
      </w:r>
      <w:bookmarkEnd w:id="206"/>
      <w:bookmarkEnd w:id="207"/>
    </w:p>
    <w:p w14:paraId="08FF1A04">
      <w:pPr>
        <w:overflowPunct w:val="0"/>
        <w:spacing w:line="580" w:lineRule="exact"/>
        <w:ind w:firstLine="602"/>
        <w:contextualSpacing/>
        <w:rPr>
          <w:rFonts w:eastAsia="方正仿宋_GBK" w:cs="方正仿宋_GBK"/>
          <w:color w:val="auto"/>
          <w:sz w:val="30"/>
          <w:szCs w:val="30"/>
        </w:rPr>
      </w:pPr>
      <w:r>
        <w:rPr>
          <w:rFonts w:hint="eastAsia" w:eastAsia="方正仿宋_GBK" w:cs="方正仿宋_GBK"/>
          <w:b/>
          <w:bCs/>
          <w:color w:val="auto"/>
          <w:sz w:val="30"/>
          <w:szCs w:val="30"/>
        </w:rPr>
        <w:t>推动对外贸易扩量提质。</w:t>
      </w:r>
      <w:r>
        <w:rPr>
          <w:rFonts w:hint="eastAsia" w:eastAsia="方正仿宋_GBK" w:cs="方正仿宋_GBK"/>
          <w:color w:val="auto"/>
          <w:sz w:val="30"/>
          <w:szCs w:val="30"/>
        </w:rPr>
        <w:t>实施外贸企业梯队培育计划，大力发展跨境电商，提升数字贸易水平。积极对接“晋服全球”品牌，推动服务贸易增长。支持企业深度参与共建“一带一路”，充分利用RCEP等自贸协定政策红利，开拓新兴市场。鼓励企业积极参加进博会、广交会等国内外知名展会，拓展经贸合作网络。依托云冈石窟世界级文化品牌，大力发展文化贸易，推动“云冈文化”系列产品走向世界。</w:t>
      </w:r>
    </w:p>
    <w:p w14:paraId="337D99AC">
      <w:pPr>
        <w:overflowPunct w:val="0"/>
        <w:spacing w:line="580" w:lineRule="exact"/>
        <w:ind w:firstLine="480"/>
        <w:contextualSpacing/>
        <w:rPr>
          <w:color w:val="auto"/>
        </w:rPr>
      </w:pPr>
      <w:r>
        <w:rPr>
          <w:rFonts w:hint="eastAsia" w:eastAsia="方正仿宋_GBK" w:cs="方正仿宋_GBK"/>
          <w:b/>
          <w:bCs/>
          <w:color w:val="auto"/>
          <w:sz w:val="30"/>
          <w:szCs w:val="30"/>
        </w:rPr>
        <w:t>积极拓宽外资利用通道。</w:t>
      </w:r>
      <w:r>
        <w:rPr>
          <w:rFonts w:hint="eastAsia" w:eastAsia="方正仿宋_GBK" w:cs="方正仿宋_GBK"/>
          <w:color w:val="auto"/>
          <w:sz w:val="30"/>
          <w:szCs w:val="30"/>
        </w:rPr>
        <w:t>积极对接大同跨境电子商务综合试验区，探索“跨境电商+文旅产品”等模式。深度融入“一带一路”北线通道建设，强化与大同市国家级物流枢纽的衔接，规划建设高效集疏运体系。聚焦开发区等平台，探索建设国际产业合作园，引导外资重点投向高端装备制造、新材料、节能环保、现代物流、文化旅游及高技术制造业和现代服务业。实施服务大同市北向开放战略，加强与天津港、唐山港等沿海港口战略合作，打造“云冈</w:t>
      </w:r>
      <w:r>
        <w:rPr>
          <w:rFonts w:hint="eastAsia" w:eastAsia="方正仿宋_GBK" w:cs="方正仿宋_GBK"/>
          <w:color w:val="auto"/>
          <w:sz w:val="30"/>
          <w:szCs w:val="30"/>
          <w:lang w:eastAsia="zh-CN"/>
        </w:rPr>
        <w:t>—</w:t>
      </w:r>
      <w:r>
        <w:rPr>
          <w:rFonts w:hint="eastAsia" w:eastAsia="方正仿宋_GBK" w:cs="方正仿宋_GBK"/>
          <w:color w:val="auto"/>
          <w:sz w:val="30"/>
          <w:szCs w:val="30"/>
        </w:rPr>
        <w:t>港口”高效便捷的出海通道。</w:t>
      </w:r>
    </w:p>
    <w:p w14:paraId="0F83C503">
      <w:pPr>
        <w:spacing w:line="580" w:lineRule="exact"/>
        <w:ind w:firstLine="480"/>
        <w:rPr>
          <w:rFonts w:eastAsia="方正黑体_GBK" w:cs="方正黑体_GBK"/>
          <w:color w:val="auto"/>
        </w:rPr>
      </w:pPr>
      <w:r>
        <w:rPr>
          <w:rFonts w:hint="eastAsia" w:eastAsia="方正黑体_GBK" w:cs="方正黑体_GBK"/>
          <w:color w:val="auto"/>
        </w:rPr>
        <w:br w:type="page"/>
      </w:r>
    </w:p>
    <w:p w14:paraId="02C04D23">
      <w:pPr>
        <w:pStyle w:val="61"/>
        <w:spacing w:after="0" w:line="580" w:lineRule="exact"/>
        <w:ind w:firstLine="0" w:firstLineChars="0"/>
        <w:jc w:val="center"/>
        <w:rPr>
          <w:rFonts w:ascii="Times New Roman" w:hAnsi="Times New Roman" w:eastAsia="方正黑体_GBK" w:cs="方正黑体_GBK"/>
          <w:color w:val="auto"/>
        </w:rPr>
      </w:pPr>
      <w:bookmarkStart w:id="208" w:name="_Toc492261469"/>
      <w:bookmarkStart w:id="209" w:name="_Toc387160432"/>
      <w:r>
        <w:rPr>
          <w:rFonts w:hint="eastAsia" w:ascii="Times New Roman" w:hAnsi="Times New Roman" w:eastAsia="方正黑体_GBK" w:cs="方正黑体_GBK"/>
          <w:color w:val="auto"/>
        </w:rPr>
        <w:t>第八章 加快农业农村现代化步伐 扎实推动乡村全面振兴</w:t>
      </w:r>
      <w:bookmarkEnd w:id="204"/>
      <w:bookmarkEnd w:id="205"/>
      <w:bookmarkEnd w:id="208"/>
      <w:bookmarkEnd w:id="209"/>
    </w:p>
    <w:p w14:paraId="555BBF4D">
      <w:pPr>
        <w:pStyle w:val="14"/>
        <w:spacing w:line="580" w:lineRule="exact"/>
        <w:ind w:firstLine="600"/>
        <w:rPr>
          <w:rFonts w:eastAsia="方正仿宋_GBK" w:cs="方正仿宋_GBK"/>
          <w:color w:val="auto"/>
          <w:sz w:val="30"/>
          <w:szCs w:val="30"/>
        </w:rPr>
      </w:pPr>
      <w:r>
        <w:rPr>
          <w:rFonts w:hint="eastAsia" w:eastAsia="方正仿宋_GBK" w:cs="方正仿宋_GBK"/>
          <w:color w:val="auto"/>
          <w:sz w:val="30"/>
          <w:szCs w:val="30"/>
        </w:rPr>
        <w:t>坚持农业农村优先发展，深入学习运用“千万工程”经验，全面提升乡村产业、建设、治理水平，推动农村基本具备现代生活条件，推动农业增效益、农村增活力、农民增收入，加快建设宜居宜业和美乡村。</w:t>
      </w:r>
    </w:p>
    <w:p w14:paraId="763CF301">
      <w:pPr>
        <w:spacing w:line="580" w:lineRule="exact"/>
        <w:ind w:firstLine="0" w:firstLineChars="0"/>
        <w:jc w:val="center"/>
        <w:outlineLvl w:val="1"/>
        <w:rPr>
          <w:rFonts w:eastAsia="楷体" w:cs="Times New Roman"/>
          <w:color w:val="auto"/>
          <w:sz w:val="30"/>
          <w:szCs w:val="30"/>
        </w:rPr>
      </w:pPr>
      <w:bookmarkStart w:id="210" w:name="_Toc740137087"/>
      <w:bookmarkStart w:id="211" w:name="_Toc1331501239"/>
      <w:bookmarkStart w:id="212" w:name="_Toc129930214"/>
      <w:bookmarkStart w:id="213" w:name="_Toc794093925"/>
      <w:r>
        <w:rPr>
          <w:rFonts w:hint="eastAsia" w:eastAsia="楷体" w:cs="Times New Roman"/>
          <w:color w:val="auto"/>
          <w:sz w:val="30"/>
          <w:szCs w:val="30"/>
        </w:rPr>
        <w:t>第一节  增强粮食和重要农产品供给保障能力</w:t>
      </w:r>
      <w:bookmarkEnd w:id="210"/>
      <w:bookmarkEnd w:id="211"/>
      <w:bookmarkEnd w:id="212"/>
      <w:bookmarkEnd w:id="213"/>
    </w:p>
    <w:p w14:paraId="3E091B3E">
      <w:pPr>
        <w:pStyle w:val="63"/>
        <w:spacing w:line="580" w:lineRule="exact"/>
        <w:ind w:firstLine="602"/>
        <w:rPr>
          <w:rFonts w:eastAsia="方正仿宋_GBK" w:cs="方正仿宋_GBK"/>
          <w:color w:val="auto"/>
          <w:sz w:val="30"/>
          <w:szCs w:val="30"/>
        </w:rPr>
      </w:pPr>
      <w:r>
        <w:rPr>
          <w:rFonts w:hint="eastAsia" w:eastAsia="方正仿宋_GBK" w:cs="方正仿宋_GBK"/>
          <w:b/>
          <w:bCs/>
          <w:color w:val="auto"/>
          <w:sz w:val="30"/>
          <w:szCs w:val="30"/>
        </w:rPr>
        <w:t>全力保障粮食安全生产</w:t>
      </w:r>
      <w:r>
        <w:rPr>
          <w:rFonts w:hint="eastAsia" w:eastAsia="方正仿宋_GBK" w:cs="方正仿宋_GBK"/>
          <w:color w:val="auto"/>
          <w:sz w:val="30"/>
          <w:szCs w:val="30"/>
        </w:rPr>
        <w:t>。坚持把保障粮食和重要农产品安全放在首要位置，落实最严格的耕地保护制度，坚决守住耕地红线。扎实推进</w:t>
      </w:r>
      <w:r>
        <w:rPr>
          <w:rFonts w:hint="eastAsia" w:eastAsia="方正仿宋_GBK" w:cs="方正仿宋_GBK"/>
          <w:color w:val="auto"/>
          <w:sz w:val="30"/>
          <w:szCs w:val="30"/>
          <w:lang w:val="en-US" w:eastAsia="zh-CN"/>
        </w:rPr>
        <w:t>3</w:t>
      </w:r>
      <w:r>
        <w:rPr>
          <w:rFonts w:hint="eastAsia" w:eastAsia="方正仿宋_GBK" w:cs="方正仿宋_GBK"/>
          <w:color w:val="auto"/>
          <w:sz w:val="30"/>
          <w:szCs w:val="30"/>
        </w:rPr>
        <w:t>万亩高标准农田建设，保持粮食总播种面积稳定在18万亩以上，实现粮食播种面积和产量“双增长”。优化粮食种植结构，提高粮食单产和品质。落实粮食生产扶持政策，保障农民种粮补贴发放，提高种粮积极性。建设农田监测系统，推进田间气象、作物长势、土壤墒情、病虫害等监测预警网络建设，形成覆盖全域的一体化监测体系，加强粮食生产全过程管理。持续强化区级调控粮及成品粮油储备，深入推进高标准粮库建设，不断完善区级粮食应急保障体系。</w:t>
      </w:r>
    </w:p>
    <w:p w14:paraId="41A55236">
      <w:pPr>
        <w:spacing w:line="580" w:lineRule="exact"/>
        <w:ind w:firstLine="602"/>
        <w:rPr>
          <w:rFonts w:eastAsia="方正仿宋_GBK" w:cs="方正仿宋_GBK"/>
          <w:color w:val="auto"/>
          <w:sz w:val="30"/>
          <w:szCs w:val="30"/>
        </w:rPr>
      </w:pPr>
      <w:r>
        <w:rPr>
          <w:rFonts w:hint="eastAsia" w:eastAsia="方正仿宋_GBK" w:cs="方正仿宋_GBK"/>
          <w:b/>
          <w:bCs/>
          <w:color w:val="auto"/>
          <w:sz w:val="30"/>
          <w:szCs w:val="30"/>
        </w:rPr>
        <w:t>提升粮食生产质量效益</w:t>
      </w:r>
      <w:r>
        <w:rPr>
          <w:rFonts w:hint="eastAsia" w:eastAsia="方正仿宋_GBK" w:cs="方正仿宋_GBK"/>
          <w:color w:val="auto"/>
          <w:sz w:val="30"/>
          <w:szCs w:val="30"/>
        </w:rPr>
        <w:t>。加快补齐丘陵山区农机化发展条件短板，加大农机购置补贴力度，推广无人机植保、智能播种机、联合收割机等现代化农机具，提高农机装备运用水平和机械化率。实施种业振兴计划，开展良种联合攻关，加快培育优质高产新品种。加强农田水利设施建设，推进灌区续建配套与现代化改造。推动农业社会化服务主体积极拓展智慧农业服务，培育农机专业合作社、农机大户等服务主体。加强农业保险保障，提高农业抗风险能力。持续落实第二轮土地承包到期后再延长30年试点工作。</w:t>
      </w:r>
    </w:p>
    <w:p w14:paraId="5E36E8D8">
      <w:pPr>
        <w:spacing w:line="580" w:lineRule="exact"/>
        <w:ind w:firstLine="602"/>
        <w:rPr>
          <w:color w:val="auto"/>
        </w:rPr>
      </w:pPr>
      <w:r>
        <w:rPr>
          <w:rFonts w:hint="eastAsia" w:eastAsia="方正仿宋_GBK" w:cs="方正仿宋_GBK"/>
          <w:b/>
          <w:bCs/>
          <w:color w:val="auto"/>
          <w:sz w:val="30"/>
          <w:szCs w:val="30"/>
        </w:rPr>
        <w:t>推动农畜产品精深加工。</w:t>
      </w:r>
      <w:r>
        <w:rPr>
          <w:rFonts w:hint="eastAsia" w:eastAsia="方正仿宋_GBK" w:cs="方正仿宋_GBK"/>
          <w:color w:val="auto"/>
          <w:sz w:val="30"/>
          <w:szCs w:val="30"/>
        </w:rPr>
        <w:t>推动奶、油、醋、小杂粮、道地药材等领域产业链不断延伸，壮大牧同乳业、华建油脂、口泉米醋、恒宗黄芪药茶等龙头企业。推广现代化养殖模式，发展畜禽产品深加工产业。大力发展杂粮现代化烘干、储存和加工产业，延伸杂粮产业链条。壮大设施农业规模，重点在西韩岭乡北村和谢店村等新建与改造提升一批日光温室与塑料大棚，推广水肥一体化、病虫害绿色防控等节本增效技术。大力推广有机旱作膜下滴灌集成技术，提升有机旱作杂粮生产效益。</w:t>
      </w:r>
    </w:p>
    <w:p w14:paraId="5300C6F4">
      <w:pPr>
        <w:spacing w:line="580" w:lineRule="exact"/>
        <w:ind w:firstLine="0" w:firstLineChars="0"/>
        <w:jc w:val="center"/>
        <w:outlineLvl w:val="1"/>
        <w:rPr>
          <w:rFonts w:eastAsia="楷体" w:cs="Times New Roman"/>
          <w:color w:val="auto"/>
          <w:sz w:val="30"/>
          <w:szCs w:val="30"/>
        </w:rPr>
      </w:pPr>
      <w:bookmarkStart w:id="214" w:name="_Toc1873215017"/>
      <w:bookmarkStart w:id="215" w:name="_Toc1893721346"/>
      <w:bookmarkStart w:id="216" w:name="_Toc1761722133"/>
      <w:bookmarkStart w:id="217" w:name="_Toc1258737785"/>
      <w:r>
        <w:rPr>
          <w:rFonts w:hint="eastAsia" w:eastAsia="楷体" w:cs="Times New Roman"/>
          <w:color w:val="auto"/>
          <w:sz w:val="30"/>
          <w:szCs w:val="30"/>
        </w:rPr>
        <w:t xml:space="preserve">第二节  </w:t>
      </w:r>
      <w:bookmarkEnd w:id="214"/>
      <w:r>
        <w:rPr>
          <w:rFonts w:hint="eastAsia" w:eastAsia="楷体" w:cs="Times New Roman"/>
          <w:color w:val="auto"/>
          <w:sz w:val="30"/>
          <w:szCs w:val="30"/>
        </w:rPr>
        <w:t>大力发展特色优质农业</w:t>
      </w:r>
      <w:bookmarkEnd w:id="215"/>
      <w:bookmarkEnd w:id="216"/>
      <w:bookmarkEnd w:id="217"/>
    </w:p>
    <w:p w14:paraId="1C3CA43C">
      <w:pPr>
        <w:spacing w:line="580" w:lineRule="exact"/>
        <w:ind w:firstLine="602"/>
        <w:rPr>
          <w:rFonts w:eastAsia="方正仿宋_GBK" w:cs="方正仿宋_GBK"/>
          <w:color w:val="auto"/>
          <w:sz w:val="30"/>
          <w:szCs w:val="30"/>
        </w:rPr>
      </w:pPr>
      <w:r>
        <w:rPr>
          <w:rFonts w:hint="eastAsia" w:eastAsia="方正仿宋_GBK" w:cs="方正仿宋_GBK"/>
          <w:b/>
          <w:bCs/>
          <w:color w:val="auto"/>
          <w:sz w:val="30"/>
          <w:szCs w:val="30"/>
        </w:rPr>
        <w:t>壮大特色农业发展规模</w:t>
      </w:r>
      <w:r>
        <w:rPr>
          <w:rFonts w:hint="eastAsia" w:eastAsia="方正仿宋_GBK" w:cs="方正仿宋_GBK"/>
          <w:color w:val="auto"/>
          <w:sz w:val="30"/>
          <w:szCs w:val="30"/>
        </w:rPr>
        <w:t>。</w:t>
      </w:r>
      <w:bookmarkStart w:id="218" w:name="_Hlk214039124"/>
      <w:r>
        <w:rPr>
          <w:rFonts w:hint="eastAsia" w:eastAsia="方正仿宋_GBK" w:cs="方正仿宋_GBK"/>
          <w:color w:val="auto"/>
          <w:sz w:val="30"/>
          <w:szCs w:val="30"/>
        </w:rPr>
        <w:t>培育发展都市农业和观光农业，推动建设千亩蔬菜、果园种植园和设施农业种植园区，完善育种、种植、加工、包装、销售、物流等产业全链条。整合优质杂粮、北村甜瓜、贝贝瓜、草莓等高附加值果蔬资源，推动农产品从初级种植向精深加工转型，打造特色食品及农产品加工产业集群。加强蒸汽资源利用效率，面向蒸煮、烘干、灭菌等关键环节构建稳定、低成本供能体系。因地制宜引导</w:t>
      </w:r>
      <w:r>
        <w:rPr>
          <w:rFonts w:hint="eastAsia" w:eastAsia="方正仿宋_GBK" w:cs="Times New Roman"/>
          <w:color w:val="auto"/>
          <w:sz w:val="30"/>
          <w:szCs w:val="30"/>
        </w:rPr>
        <w:t>道地药材等产业精深加工，培育研发药食同源等大健康产品，延伸产业链条。</w:t>
      </w:r>
      <w:r>
        <w:rPr>
          <w:rFonts w:hint="eastAsia" w:eastAsia="方正仿宋_GBK" w:cs="方正仿宋_GBK"/>
          <w:color w:val="auto"/>
          <w:sz w:val="30"/>
          <w:szCs w:val="30"/>
        </w:rPr>
        <w:t>支持西韩岭引进发展以油菜花为主的有机旱作特色景观农业，打造四季农业旅游品牌。推动杨家窑设施渔业扩容增效和提档升级，推进休闲渔业服务提质增效。鼓励口泉乡、平旺乡、西韩岭乡等镇村发展商贸住宿，多渠道拓宽农民增收致富渠道。</w:t>
      </w:r>
    </w:p>
    <w:bookmarkEnd w:id="218"/>
    <w:p w14:paraId="1CCEA704">
      <w:pPr>
        <w:spacing w:line="580" w:lineRule="exact"/>
        <w:ind w:firstLine="602"/>
        <w:rPr>
          <w:rFonts w:eastAsia="方正仿宋_GBK" w:cs="方正仿宋_GBK"/>
          <w:color w:val="auto"/>
          <w:sz w:val="30"/>
          <w:szCs w:val="30"/>
        </w:rPr>
      </w:pPr>
      <w:r>
        <w:rPr>
          <w:rFonts w:hint="eastAsia" w:eastAsia="方正仿宋_GBK" w:cs="方正仿宋_GBK"/>
          <w:b/>
          <w:bCs/>
          <w:color w:val="auto"/>
          <w:sz w:val="30"/>
          <w:szCs w:val="30"/>
        </w:rPr>
        <w:t>实施农产品品牌培育提升行动</w:t>
      </w:r>
      <w:r>
        <w:rPr>
          <w:rFonts w:hint="eastAsia" w:eastAsia="方正仿宋_GBK" w:cs="方正仿宋_GBK"/>
          <w:color w:val="auto"/>
          <w:sz w:val="30"/>
          <w:szCs w:val="30"/>
        </w:rPr>
        <w:t>。加强农产品品牌建设和市场推广，充分利用中国国际农产品交易会、中国绿色食品博览会等展会节庆活动，做好“实尚云冈”“北村瓜果”“口泉老醋”“杨家窑村蝴蝶兰”等特色区域公共品牌推广工作，提升云冈区农产品的知名度和影响力。建立农产品品牌培育、保护和推广机制，加强品牌包装设计和宣传推广，提高品牌附加值。发展农产品电商，建设农村电商服务中心和物流站点，利用电商平台拓宽农产品销售渠道，实现“优质优价”。</w:t>
      </w:r>
    </w:p>
    <w:p w14:paraId="29BF8D3E">
      <w:pPr>
        <w:spacing w:line="580" w:lineRule="exact"/>
        <w:ind w:firstLine="0" w:firstLineChars="0"/>
        <w:jc w:val="center"/>
        <w:outlineLvl w:val="1"/>
        <w:rPr>
          <w:rFonts w:eastAsia="楷体" w:cs="Times New Roman"/>
          <w:color w:val="auto"/>
          <w:sz w:val="30"/>
          <w:szCs w:val="30"/>
        </w:rPr>
      </w:pPr>
      <w:bookmarkStart w:id="219" w:name="_Toc113265913"/>
      <w:bookmarkStart w:id="220" w:name="_Toc1906848142"/>
      <w:bookmarkStart w:id="221" w:name="_Toc195696617"/>
      <w:bookmarkStart w:id="222" w:name="_Toc2067013682"/>
      <w:r>
        <w:rPr>
          <w:rFonts w:hint="eastAsia" w:eastAsia="楷体" w:cs="Times New Roman"/>
          <w:color w:val="auto"/>
          <w:sz w:val="30"/>
          <w:szCs w:val="30"/>
        </w:rPr>
        <w:t>第三节  加快建设宜居宜业和美乡村</w:t>
      </w:r>
      <w:bookmarkEnd w:id="219"/>
      <w:bookmarkEnd w:id="220"/>
      <w:bookmarkEnd w:id="221"/>
      <w:bookmarkEnd w:id="222"/>
    </w:p>
    <w:p w14:paraId="1477F184">
      <w:pPr>
        <w:spacing w:line="580" w:lineRule="exact"/>
        <w:ind w:firstLine="602"/>
        <w:rPr>
          <w:rFonts w:eastAsia="方正仿宋_GBK" w:cs="方正仿宋_GBK"/>
          <w:color w:val="auto"/>
          <w:sz w:val="30"/>
          <w:szCs w:val="30"/>
        </w:rPr>
      </w:pPr>
      <w:r>
        <w:rPr>
          <w:rFonts w:hint="eastAsia" w:eastAsia="方正仿宋_GBK" w:cs="方正仿宋_GBK"/>
          <w:b/>
          <w:bCs/>
          <w:color w:val="auto"/>
          <w:sz w:val="30"/>
          <w:szCs w:val="30"/>
        </w:rPr>
        <w:t>持续推进农村人居环境整治</w:t>
      </w:r>
      <w:r>
        <w:rPr>
          <w:rFonts w:hint="eastAsia" w:eastAsia="方正仿宋_GBK" w:cs="方正仿宋_GBK"/>
          <w:color w:val="auto"/>
          <w:sz w:val="30"/>
          <w:szCs w:val="30"/>
        </w:rPr>
        <w:t>。学习运用“千万工程”经验，构建农村人居环境改善长效机制，扎实推进农村厕所、污水、垃圾“三大革命”。全力推进农村改厕工程，推动新建农房配套建设卫生厕所及粪污处理设施设备，新改厕所逐步入院入室，引导农户自行做好厕所外部和周边环境整治。推进生活垃圾收运处置体系向自然村（组）延伸，全面加强污水处理设施建设，积极推进农村生活污水及黑臭水体治理。推广杨家窑村、东韩岭村乡村治理模式，加强农村居住社区、农村危房改造等现代宜居农房建设，保证庭院和村庄绿化、整洁有序。</w:t>
      </w:r>
    </w:p>
    <w:p w14:paraId="7627289C">
      <w:pPr>
        <w:widowControl/>
        <w:spacing w:line="580" w:lineRule="exact"/>
        <w:ind w:firstLine="602"/>
        <w:jc w:val="left"/>
        <w:rPr>
          <w:rFonts w:eastAsia="方正仿宋_GBK" w:cs="方正仿宋_GBK"/>
          <w:color w:val="auto"/>
          <w:sz w:val="30"/>
          <w:szCs w:val="30"/>
        </w:rPr>
      </w:pPr>
      <w:r>
        <w:rPr>
          <w:rFonts w:hint="eastAsia" w:eastAsia="方正仿宋_GBK" w:cs="方正仿宋_GBK"/>
          <w:b/>
          <w:bCs/>
          <w:color w:val="auto"/>
          <w:sz w:val="30"/>
          <w:szCs w:val="30"/>
        </w:rPr>
        <w:t>加强乡村基础设施建设</w:t>
      </w:r>
      <w:r>
        <w:rPr>
          <w:rFonts w:hint="eastAsia" w:eastAsia="方正仿宋_GBK" w:cs="方正仿宋_GBK"/>
          <w:color w:val="auto"/>
          <w:sz w:val="30"/>
          <w:szCs w:val="30"/>
        </w:rPr>
        <w:t>。推进农村公路提质改造，推进区域公路网向村延伸覆盖，构建便捷畅通的农村路网体系。加强排水、雨污分流、供气采暖设施等各类管网设施建设，促进城乡公共基础设施同规同网。实施口泉乡、西韩岭乡供水保障工程，推进农村</w:t>
      </w:r>
      <w:r>
        <w:rPr>
          <w:rFonts w:hint="eastAsia" w:eastAsia="方正仿宋_GBK" w:cs="方正仿宋_GBK"/>
          <w:color w:val="auto"/>
          <w:sz w:val="30"/>
          <w:szCs w:val="30"/>
          <w:lang w:val="en-US" w:eastAsia="zh-CN"/>
        </w:rPr>
        <w:t>供水管</w:t>
      </w:r>
      <w:r>
        <w:rPr>
          <w:rFonts w:hint="eastAsia" w:eastAsia="方正仿宋_GBK" w:cs="方正仿宋_GBK"/>
          <w:color w:val="auto"/>
          <w:sz w:val="30"/>
          <w:szCs w:val="30"/>
        </w:rPr>
        <w:t>网建设，巩固提升农村供水保障水平。</w:t>
      </w:r>
      <w:r>
        <w:rPr>
          <w:rFonts w:hint="eastAsia" w:eastAsia="方正仿宋_GBK" w:cs="方正仿宋_GBK"/>
          <w:color w:val="auto"/>
          <w:sz w:val="30"/>
          <w:szCs w:val="30"/>
          <w:highlight w:val="none"/>
        </w:rPr>
        <w:t>推进农村天然气等清洁能源利用，</w:t>
      </w:r>
      <w:r>
        <w:rPr>
          <w:rFonts w:hint="eastAsia" w:eastAsia="方正仿宋_GBK" w:cs="方正仿宋_GBK"/>
          <w:color w:val="auto"/>
          <w:sz w:val="30"/>
          <w:szCs w:val="30"/>
        </w:rPr>
        <w:t>加强农村供用电设施改造升级，保障农村电力供应稳定可靠。</w:t>
      </w:r>
      <w:r>
        <w:rPr>
          <w:rFonts w:hint="eastAsia" w:eastAsia="方正仿宋_GBK" w:cs="方正仿宋_GBK"/>
          <w:color w:val="auto"/>
          <w:sz w:val="30"/>
          <w:szCs w:val="30"/>
          <w:lang w:bidi="ar"/>
        </w:rPr>
        <w:t>加快数字乡村建设，</w:t>
      </w:r>
      <w:r>
        <w:rPr>
          <w:rFonts w:hint="eastAsia" w:eastAsia="方正仿宋_GBK" w:cs="方正仿宋_GBK"/>
          <w:color w:val="auto"/>
          <w:sz w:val="30"/>
          <w:szCs w:val="30"/>
        </w:rPr>
        <w:t>完善农村信息通信基础设施，提升乡村治理和服务数字化水平。</w:t>
      </w:r>
    </w:p>
    <w:p w14:paraId="0FBB0060">
      <w:pPr>
        <w:spacing w:line="580" w:lineRule="exact"/>
        <w:ind w:firstLine="602"/>
        <w:rPr>
          <w:rFonts w:eastAsia="方正仿宋_GBK" w:cs="方正仿宋_GBK"/>
          <w:color w:val="auto"/>
          <w:sz w:val="30"/>
          <w:szCs w:val="30"/>
        </w:rPr>
      </w:pPr>
      <w:r>
        <w:rPr>
          <w:rFonts w:hint="eastAsia" w:eastAsia="方正仿宋_GBK" w:cs="方正仿宋_GBK"/>
          <w:b/>
          <w:bCs/>
          <w:color w:val="auto"/>
          <w:sz w:val="30"/>
          <w:szCs w:val="30"/>
        </w:rPr>
        <w:t>提升农村基本公共服务水平</w:t>
      </w:r>
      <w:r>
        <w:rPr>
          <w:rFonts w:hint="eastAsia" w:eastAsia="方正仿宋_GBK" w:cs="方正仿宋_GBK"/>
          <w:color w:val="auto"/>
          <w:sz w:val="30"/>
          <w:szCs w:val="30"/>
        </w:rPr>
        <w:t>。结合农村人口结构和社会形态动态变化，统筹配置乡村公共服务资源，推动城乡公共服务均等化。优化农村教育资源配置，改善农村学校办学条件，加强农村教师队伍建设，提高农村教育质量。推进农村学前教育普及普惠发展，建设农村普惠性幼儿园。支持乡镇卫生院基础设施建设和设备提档升级，提升村卫生室标准化建设和健康管理水平。推动乡镇区域养老服务中心建设，鼓励利用农村闲置设施资源改造建设养老机构，支持村级互助养老服务设施建设，发展普惠型、互助性养老。推进乡村应急管理体系建设，增强防灾减灾救灾能力。</w:t>
      </w:r>
    </w:p>
    <w:p w14:paraId="2658948B">
      <w:pPr>
        <w:spacing w:line="580" w:lineRule="exact"/>
        <w:ind w:firstLine="602"/>
        <w:rPr>
          <w:rFonts w:eastAsia="方正仿宋_GBK" w:cs="方正仿宋_GBK"/>
          <w:color w:val="auto"/>
          <w:sz w:val="30"/>
          <w:szCs w:val="30"/>
        </w:rPr>
      </w:pPr>
      <w:r>
        <w:rPr>
          <w:rFonts w:hint="eastAsia" w:eastAsia="方正仿宋_GBK" w:cs="方正仿宋_GBK"/>
          <w:b/>
          <w:bCs/>
          <w:color w:val="auto"/>
          <w:sz w:val="30"/>
          <w:szCs w:val="30"/>
        </w:rPr>
        <w:t>扎实推进乡村治理能力现代化</w:t>
      </w:r>
      <w:r>
        <w:rPr>
          <w:rFonts w:hint="eastAsia" w:eastAsia="方正仿宋_GBK" w:cs="方正仿宋_GBK"/>
          <w:color w:val="auto"/>
          <w:sz w:val="30"/>
          <w:szCs w:val="30"/>
        </w:rPr>
        <w:t>。加强乡镇、村党组织对本地区基层工作的统一领导，稳步推进农村基层党组织标准化建设，提升基层党组织的凝聚力和战斗力。健全基层监督机制，持续深化“三员合一”制度。加强农村党员队伍建设，发挥党员在乡村治理中的先锋模范作用。完善农村基层党组织领导下的村民自治机制，支持村民委员会、村务监督委员会依法履行职责。以“乡愁”“乡音”为纽带，建立健全区乡村三级干部结对联系在外优秀人才制度，广泛开展异地商会“双招双引”座谈会、“迎老乡、回故乡、建家乡”等活动。实施文明乡风建设工程，深化农村地区移风易俗等突出问题整治。</w:t>
      </w:r>
    </w:p>
    <w:p w14:paraId="5DB9A001">
      <w:pPr>
        <w:spacing w:line="580" w:lineRule="exact"/>
        <w:ind w:firstLine="0" w:firstLineChars="0"/>
        <w:jc w:val="center"/>
        <w:outlineLvl w:val="1"/>
        <w:rPr>
          <w:rFonts w:eastAsia="楷体" w:cs="Times New Roman"/>
          <w:color w:val="auto"/>
          <w:sz w:val="30"/>
          <w:szCs w:val="30"/>
        </w:rPr>
      </w:pPr>
      <w:bookmarkStart w:id="223" w:name="_Toc1498258413"/>
      <w:bookmarkStart w:id="224" w:name="_Toc1275578362"/>
      <w:bookmarkStart w:id="225" w:name="_Toc455995855"/>
      <w:bookmarkStart w:id="226" w:name="_Toc989688549"/>
      <w:r>
        <w:rPr>
          <w:rFonts w:hint="eastAsia" w:eastAsia="楷体" w:cs="Times New Roman"/>
          <w:color w:val="auto"/>
          <w:sz w:val="30"/>
          <w:szCs w:val="30"/>
        </w:rPr>
        <w:t>第四节  全面落实强农惠农富农政策举措</w:t>
      </w:r>
      <w:bookmarkEnd w:id="223"/>
      <w:bookmarkEnd w:id="224"/>
      <w:bookmarkEnd w:id="225"/>
      <w:bookmarkEnd w:id="226"/>
    </w:p>
    <w:p w14:paraId="568098F1">
      <w:pPr>
        <w:spacing w:line="580" w:lineRule="exact"/>
        <w:ind w:firstLine="602"/>
        <w:rPr>
          <w:rFonts w:eastAsia="方正仿宋_GBK" w:cs="方正仿宋_GBK"/>
          <w:color w:val="auto"/>
          <w:sz w:val="30"/>
          <w:szCs w:val="30"/>
        </w:rPr>
      </w:pPr>
      <w:r>
        <w:rPr>
          <w:rFonts w:hint="eastAsia" w:eastAsia="方正仿宋_GBK" w:cs="方正仿宋_GBK"/>
          <w:b/>
          <w:bCs/>
          <w:color w:val="auto"/>
          <w:sz w:val="30"/>
          <w:szCs w:val="30"/>
        </w:rPr>
        <w:t>稳妥推进农村土地制度改革。</w:t>
      </w:r>
      <w:r>
        <w:rPr>
          <w:rFonts w:hint="eastAsia" w:eastAsia="方正仿宋_GBK" w:cs="方正仿宋_GBK"/>
          <w:color w:val="auto"/>
          <w:sz w:val="30"/>
          <w:szCs w:val="30"/>
        </w:rPr>
        <w:t>深化农村承包地“三权”分置改革，落实集体所有权、稳定农户承包权、放活土地经营权。完善农村承包地确权登记颁证成果，鼓励农民依法自愿有偿流转土地经营权，发展适度规模经营。规范农村集体经营性建设用地入市交易平台，保障农村集体经营性建设用地增值收益分配机制，维护农村集体经济组织和农民的合法权益。扎实做好房地一体宅基地确权登记颁证，积极探索农户通过出租、入股、合作等方式盘活利用合法拥有的住房。以乡镇为基本实施单元，因地制宜开展全域土地综合整治。</w:t>
      </w:r>
    </w:p>
    <w:p w14:paraId="64E2578E">
      <w:pPr>
        <w:spacing w:line="580" w:lineRule="exact"/>
        <w:ind w:firstLine="602"/>
        <w:rPr>
          <w:rFonts w:eastAsia="方正仿宋_GBK" w:cs="方正仿宋_GBK"/>
          <w:color w:val="auto"/>
          <w:sz w:val="30"/>
          <w:szCs w:val="30"/>
        </w:rPr>
      </w:pPr>
      <w:r>
        <w:rPr>
          <w:rFonts w:hint="eastAsia" w:eastAsia="方正仿宋_GBK" w:cs="方正仿宋_GBK"/>
          <w:b/>
          <w:bCs/>
          <w:color w:val="auto"/>
          <w:sz w:val="30"/>
          <w:szCs w:val="30"/>
        </w:rPr>
        <w:t>创新新型农业经营方式</w:t>
      </w:r>
      <w:r>
        <w:rPr>
          <w:rFonts w:hint="eastAsia" w:eastAsia="方正仿宋_GBK" w:cs="方正仿宋_GBK"/>
          <w:color w:val="auto"/>
          <w:sz w:val="30"/>
          <w:szCs w:val="30"/>
        </w:rPr>
        <w:t>。发展壮大集体经济，因地制宜发展特色产业、物业租赁、乡村旅游等产业，增加村集体经济收入。着力培育壮大家庭农场、农民合作社等新型农业经营主体，推广“龙头企业+合作社+农户”的联农带农模式，通过订单农业、入股分红等方式保障农民收益。健全农业专业化社会化服务体系，支持各类服务组织为小农户和新型主体提供全产业链服务，实现小农户和现代农业有机衔接。鼓励发展农业产业化联合体，建立紧密的利益联结机制，全面提升农业生产的组织化、社会化水平和市场竞争力。</w:t>
      </w:r>
    </w:p>
    <w:p w14:paraId="13FA2085">
      <w:pPr>
        <w:spacing w:line="580" w:lineRule="exact"/>
        <w:ind w:firstLine="602"/>
        <w:rPr>
          <w:rFonts w:hint="eastAsia" w:eastAsia="方正仿宋_GBK" w:cs="方正仿宋_GBK"/>
          <w:color w:val="auto"/>
          <w:sz w:val="30"/>
          <w:szCs w:val="30"/>
        </w:rPr>
      </w:pPr>
      <w:bookmarkStart w:id="227" w:name="OLE_LINK15"/>
      <w:bookmarkStart w:id="228" w:name="OLE_LINK14"/>
      <w:r>
        <w:rPr>
          <w:rFonts w:hint="eastAsia" w:eastAsia="方正仿宋_GBK" w:cs="方正仿宋_GBK"/>
          <w:b/>
          <w:bCs/>
          <w:color w:val="auto"/>
          <w:sz w:val="30"/>
          <w:szCs w:val="30"/>
        </w:rPr>
        <w:t>健全常态化防止返贫机制</w:t>
      </w:r>
      <w:bookmarkEnd w:id="227"/>
      <w:r>
        <w:rPr>
          <w:rFonts w:hint="eastAsia" w:eastAsia="方正仿宋_GBK" w:cs="方正仿宋_GBK"/>
          <w:b/>
          <w:bCs/>
          <w:color w:val="auto"/>
          <w:sz w:val="30"/>
          <w:szCs w:val="30"/>
        </w:rPr>
        <w:t>。</w:t>
      </w:r>
      <w:r>
        <w:rPr>
          <w:rFonts w:hint="eastAsia" w:eastAsia="方正仿宋_GBK" w:cs="方正仿宋_GBK"/>
          <w:color w:val="auto"/>
          <w:sz w:val="30"/>
          <w:szCs w:val="30"/>
        </w:rPr>
        <w:t>持续深化脱贫攻坚成果同乡村振兴有效衔接，强化产业帮扶和就业帮扶。聚焦重点人群，实行“乡干部包村、村干部包组、组长包户”的工作机制，推行网格化管理。精准识别监测对象，针对收入下降、产业失败及突发意外事故影响较大的农户，加强跟踪排查，确保应纳尽纳，做到“早发现、早帮扶、早受益”。健全扶志扶智长效机制，制定针对性帮扶措施，增强其内生发展动力。</w:t>
      </w:r>
    </w:p>
    <w:p w14:paraId="103397A1">
      <w:pPr>
        <w:spacing w:line="580" w:lineRule="exact"/>
        <w:ind w:firstLine="602"/>
        <w:rPr>
          <w:rFonts w:hint="eastAsia" w:eastAsia="方正仿宋_GBK" w:cs="方正仿宋_GBK"/>
          <w:color w:val="auto"/>
          <w:sz w:val="30"/>
          <w:szCs w:val="30"/>
        </w:rPr>
      </w:pP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42251E3">
        <w:tc>
          <w:tcPr>
            <w:tcW w:w="8522" w:type="dxa"/>
          </w:tcPr>
          <w:p w14:paraId="2A7B3FA7">
            <w:pPr>
              <w:widowControl/>
              <w:topLinePunct w:val="0"/>
              <w:adjustRightInd/>
              <w:snapToGrid/>
              <w:spacing w:line="500" w:lineRule="exact"/>
              <w:ind w:firstLine="0" w:firstLineChars="0"/>
              <w:jc w:val="center"/>
              <w:outlineLvl w:val="3"/>
              <w:rPr>
                <w:rFonts w:eastAsia="Times New Roman" w:cs="Times New Roman"/>
                <w:color w:val="auto"/>
                <w:sz w:val="28"/>
                <w:szCs w:val="28"/>
              </w:rPr>
            </w:pPr>
            <w:r>
              <w:rPr>
                <w:rFonts w:hint="eastAsia" w:eastAsia="方正黑体_GBK" w:cs="Times New Roman"/>
                <w:color w:val="auto"/>
                <w:sz w:val="28"/>
                <w:szCs w:val="28"/>
              </w:rPr>
              <w:t>专栏5 农业领域重点项目</w:t>
            </w:r>
          </w:p>
          <w:p w14:paraId="5B392718">
            <w:pPr>
              <w:spacing w:line="500" w:lineRule="exact"/>
              <w:ind w:firstLine="560" w:firstLineChars="0"/>
              <w:outlineLvl w:val="3"/>
              <w:rPr>
                <w:rFonts w:eastAsia="Times New Roman"/>
                <w:color w:val="auto"/>
              </w:rPr>
            </w:pPr>
            <w:r>
              <w:rPr>
                <w:rFonts w:hint="eastAsia" w:eastAsia="仿宋" w:cs="仿宋"/>
                <w:color w:val="auto"/>
                <w:kern w:val="0"/>
                <w:sz w:val="28"/>
                <w:szCs w:val="28"/>
              </w:rPr>
              <w:t>实施云冈镇、西韩岭乡、口泉乡、鸦儿崖乡、高山镇、平旺乡高标准农田建设项目。实施鸦儿崖乡、云冈镇、口泉乡</w:t>
            </w:r>
            <w:r>
              <w:rPr>
                <w:rFonts w:hint="eastAsia" w:eastAsia="仿宋" w:cs="仿宋"/>
                <w:color w:val="auto"/>
                <w:kern w:val="0"/>
                <w:sz w:val="28"/>
                <w:szCs w:val="28"/>
                <w:lang w:val="en-US" w:eastAsia="zh-CN"/>
              </w:rPr>
              <w:t>等乡镇</w:t>
            </w:r>
            <w:r>
              <w:rPr>
                <w:rFonts w:hint="eastAsia" w:eastAsia="仿宋" w:cs="仿宋"/>
                <w:color w:val="auto"/>
                <w:kern w:val="0"/>
                <w:sz w:val="28"/>
                <w:szCs w:val="28"/>
              </w:rPr>
              <w:t>采煤沉陷区（村庄）土地综合复垦项目。实施口泉乡堡子店村立体农业种植、5G智能立体植物工厂暨研学基地、标准化蛋鸡场项目、麻鸭养殖场、农场生猪养殖项目；千亩蔬菜种植园、设施农业种植园区、西瓜种植设施大棚改造项目</w:t>
            </w:r>
            <w:r>
              <w:rPr>
                <w:rFonts w:hint="eastAsia" w:eastAsia="仿宋" w:cs="仿宋"/>
                <w:color w:val="auto"/>
                <w:kern w:val="0"/>
                <w:sz w:val="28"/>
                <w:szCs w:val="28"/>
                <w:lang w:bidi="ar"/>
              </w:rPr>
              <w:t>。</w:t>
            </w:r>
          </w:p>
        </w:tc>
      </w:tr>
    </w:tbl>
    <w:p w14:paraId="09ECA714">
      <w:pPr>
        <w:pStyle w:val="14"/>
        <w:spacing w:line="580" w:lineRule="exact"/>
        <w:ind w:firstLine="480"/>
        <w:rPr>
          <w:color w:val="auto"/>
        </w:rPr>
      </w:pPr>
    </w:p>
    <w:bookmarkEnd w:id="141"/>
    <w:bookmarkEnd w:id="142"/>
    <w:bookmarkEnd w:id="143"/>
    <w:bookmarkEnd w:id="228"/>
    <w:p w14:paraId="4B199736">
      <w:pPr>
        <w:spacing w:line="580" w:lineRule="exact"/>
        <w:ind w:firstLine="480"/>
        <w:rPr>
          <w:rFonts w:eastAsia="方正黑体_GBK" w:cs="方正黑体_GBK"/>
          <w:color w:val="auto"/>
        </w:rPr>
      </w:pPr>
      <w:bookmarkStart w:id="229" w:name="_Toc1964837895"/>
      <w:r>
        <w:rPr>
          <w:rFonts w:hint="eastAsia" w:eastAsia="方正黑体_GBK" w:cs="方正黑体_GBK"/>
          <w:color w:val="auto"/>
        </w:rPr>
        <w:br w:type="page"/>
      </w:r>
    </w:p>
    <w:p w14:paraId="05C54C15">
      <w:pPr>
        <w:pStyle w:val="61"/>
        <w:spacing w:before="156" w:beforeLines="50" w:after="156" w:afterLines="50" w:line="580" w:lineRule="exact"/>
        <w:ind w:firstLine="0" w:firstLineChars="0"/>
        <w:jc w:val="center"/>
        <w:rPr>
          <w:rFonts w:ascii="Times New Roman" w:hAnsi="Times New Roman" w:eastAsia="方正黑体_GBK" w:cs="方正黑体_GBK"/>
          <w:color w:val="auto"/>
        </w:rPr>
      </w:pPr>
      <w:bookmarkStart w:id="230" w:name="_Toc1983386216"/>
      <w:bookmarkStart w:id="231" w:name="_Toc1700682489"/>
      <w:r>
        <w:rPr>
          <w:rFonts w:hint="eastAsia" w:ascii="Times New Roman" w:hAnsi="Times New Roman" w:eastAsia="方正黑体_GBK" w:cs="方正黑体_GBK"/>
          <w:color w:val="auto"/>
        </w:rPr>
        <w:t>第九章 统筹城乡融合发展 建设宜居韧性智慧品质城区</w:t>
      </w:r>
      <w:bookmarkEnd w:id="230"/>
      <w:bookmarkEnd w:id="231"/>
    </w:p>
    <w:p w14:paraId="4140E49F">
      <w:pPr>
        <w:pStyle w:val="65"/>
        <w:spacing w:line="580" w:lineRule="exact"/>
        <w:ind w:firstLine="600"/>
        <w:rPr>
          <w:rFonts w:eastAsia="楷体"/>
          <w:color w:val="auto"/>
          <w:sz w:val="30"/>
          <w:szCs w:val="30"/>
        </w:rPr>
      </w:pPr>
      <w:r>
        <w:rPr>
          <w:rFonts w:hint="eastAsia" w:eastAsia="方正仿宋_GBK" w:cs="方正仿宋_GBK"/>
          <w:color w:val="auto"/>
          <w:sz w:val="30"/>
          <w:szCs w:val="30"/>
        </w:rPr>
        <w:t>深入贯彻落实中央城市工作会议精神，以城市更新行动为重要抓手，坚持城市内涵式发展，落实“五个转变”要求，深化城市建设、运营、治理体制改革，全面提升城市精细化治理现代化水平，着力构建彰显云冈特色、城乡互补、协调发展的城乡融合发展新格局，建设创新、宜居、美丽、韧性、文明、智慧的现代化人民城市。</w:t>
      </w:r>
    </w:p>
    <w:p w14:paraId="6F86F64E">
      <w:pPr>
        <w:spacing w:line="580" w:lineRule="exact"/>
        <w:ind w:firstLine="0" w:firstLineChars="0"/>
        <w:jc w:val="center"/>
        <w:outlineLvl w:val="1"/>
        <w:rPr>
          <w:rFonts w:eastAsia="楷体"/>
          <w:color w:val="auto"/>
          <w:sz w:val="30"/>
          <w:szCs w:val="30"/>
        </w:rPr>
      </w:pPr>
      <w:bookmarkStart w:id="232" w:name="_Toc1530963578"/>
      <w:bookmarkStart w:id="233" w:name="_Toc363251053"/>
      <w:bookmarkStart w:id="234" w:name="_Toc1900837323"/>
      <w:bookmarkStart w:id="235" w:name="_Toc418929881"/>
      <w:r>
        <w:rPr>
          <w:rFonts w:hint="eastAsia" w:eastAsia="楷体"/>
          <w:color w:val="auto"/>
          <w:sz w:val="30"/>
          <w:szCs w:val="30"/>
        </w:rPr>
        <w:t>第一节  优化现代化城市功能体系</w:t>
      </w:r>
      <w:bookmarkEnd w:id="232"/>
      <w:bookmarkEnd w:id="233"/>
    </w:p>
    <w:bookmarkEnd w:id="234"/>
    <w:bookmarkEnd w:id="235"/>
    <w:p w14:paraId="123896B8">
      <w:pPr>
        <w:pStyle w:val="65"/>
        <w:spacing w:line="580" w:lineRule="exact"/>
        <w:ind w:firstLine="602"/>
        <w:rPr>
          <w:rFonts w:eastAsia="方正仿宋_GBK" w:cs="方正仿宋_GBK"/>
          <w:color w:val="auto"/>
          <w:kern w:val="0"/>
          <w:sz w:val="30"/>
          <w:szCs w:val="30"/>
        </w:rPr>
      </w:pPr>
      <w:r>
        <w:rPr>
          <w:rFonts w:hint="eastAsia" w:eastAsia="方正仿宋_GBK" w:cs="方正楷体_GBK"/>
          <w:b/>
          <w:bCs/>
          <w:color w:val="auto"/>
          <w:sz w:val="30"/>
          <w:szCs w:val="30"/>
        </w:rPr>
        <w:t>强化国土空间开发保护。</w:t>
      </w:r>
      <w:r>
        <w:rPr>
          <w:rFonts w:hint="eastAsia" w:eastAsia="方正仿宋_GBK" w:cs="方正仿宋_GBK"/>
          <w:color w:val="auto"/>
          <w:kern w:val="0"/>
          <w:sz w:val="30"/>
          <w:szCs w:val="30"/>
        </w:rPr>
        <w:t>坚决守住耕地保护红线和生态保护红线，全面落实“三区三线”分级分类管控规则。</w:t>
      </w:r>
      <w:r>
        <w:rPr>
          <w:rFonts w:hint="eastAsia" w:eastAsia="方正仿宋_GBK" w:cs="方正仿宋_GBK"/>
          <w:color w:val="auto"/>
          <w:kern w:val="0"/>
          <w:sz w:val="30"/>
          <w:szCs w:val="30"/>
          <w:lang w:bidi="ar"/>
        </w:rPr>
        <w:t>严格保护耕地和永久基本农田，现状耕地应划尽划，应保尽保。</w:t>
      </w:r>
      <w:r>
        <w:rPr>
          <w:rFonts w:hint="eastAsia" w:eastAsia="方正仿宋_GBK" w:cs="方正仿宋_GBK"/>
          <w:color w:val="auto"/>
          <w:kern w:val="0"/>
          <w:sz w:val="30"/>
          <w:szCs w:val="30"/>
        </w:rPr>
        <w:t>强化生态保护红线刚性约束，</w:t>
      </w:r>
      <w:r>
        <w:rPr>
          <w:rFonts w:hint="eastAsia" w:eastAsia="方正仿宋_GBK" w:cs="方正仿宋_GBK"/>
          <w:color w:val="auto"/>
          <w:kern w:val="0"/>
          <w:sz w:val="30"/>
          <w:szCs w:val="30"/>
          <w:lang w:bidi="ar"/>
        </w:rPr>
        <w:t>生态保护红线内严格禁止开发性、生产性建设活动，在符合法律法规的前提下，除国家重大战略项目外，仅允许对生态功能不造成破坏的有限人为活动。</w:t>
      </w:r>
      <w:r>
        <w:rPr>
          <w:rFonts w:hint="eastAsia" w:eastAsia="方正仿宋_GBK" w:cs="方正仿宋_GBK"/>
          <w:color w:val="auto"/>
          <w:kern w:val="0"/>
          <w:sz w:val="30"/>
          <w:szCs w:val="30"/>
        </w:rPr>
        <w:t>科学划定并严格守护城镇开发边界，严控城镇无序扩张。</w:t>
      </w:r>
      <w:r>
        <w:rPr>
          <w:rFonts w:hint="eastAsia" w:eastAsia="方正仿宋_GBK" w:cs="方正仿宋_GBK"/>
          <w:color w:val="auto"/>
          <w:sz w:val="30"/>
          <w:szCs w:val="30"/>
        </w:rPr>
        <w:t>统筹优化城镇、乡村空间布局，健全产业发展用地保障机制</w:t>
      </w:r>
      <w:r>
        <w:rPr>
          <w:rFonts w:hint="eastAsia" w:eastAsia="方正仿宋_GBK" w:cs="方正仿宋_GBK"/>
          <w:color w:val="auto"/>
          <w:kern w:val="0"/>
          <w:sz w:val="30"/>
          <w:szCs w:val="30"/>
        </w:rPr>
        <w:t>，确保空间布局与人口分布、产业发展趋势相匹配，加快构建集约高效、弹性适应、可持续的国土空间开发保护新格局。</w:t>
      </w:r>
    </w:p>
    <w:p w14:paraId="5E44B61F">
      <w:pPr>
        <w:topLinePunct/>
        <w:adjustRightInd w:val="0"/>
        <w:snapToGrid w:val="0"/>
        <w:spacing w:line="580" w:lineRule="exact"/>
        <w:ind w:firstLine="602"/>
        <w:rPr>
          <w:rFonts w:eastAsia="方正仿宋_GBK"/>
          <w:color w:val="auto"/>
          <w:sz w:val="30"/>
          <w:szCs w:val="30"/>
        </w:rPr>
      </w:pPr>
      <w:r>
        <w:rPr>
          <w:rFonts w:hint="eastAsia" w:eastAsia="方正仿宋_GBK"/>
          <w:b/>
          <w:bCs/>
          <w:color w:val="auto"/>
          <w:sz w:val="30"/>
          <w:szCs w:val="30"/>
        </w:rPr>
        <w:t>优化中心城区品质功能。</w:t>
      </w:r>
      <w:r>
        <w:rPr>
          <w:rFonts w:hint="eastAsia" w:eastAsia="方正仿宋_GBK"/>
          <w:color w:val="auto"/>
          <w:sz w:val="30"/>
          <w:szCs w:val="30"/>
        </w:rPr>
        <w:t>强化建成区核心片区行政办公、商业商务与文化服务的核心功能集聚，提升</w:t>
      </w:r>
      <w:r>
        <w:rPr>
          <w:rFonts w:eastAsia="方正仿宋_GBK"/>
          <w:color w:val="auto"/>
          <w:sz w:val="30"/>
          <w:szCs w:val="30"/>
        </w:rPr>
        <w:t>吾悦广场城市综合体</w:t>
      </w:r>
      <w:r>
        <w:rPr>
          <w:rFonts w:hint="eastAsia" w:eastAsia="方正仿宋_GBK"/>
          <w:color w:val="auto"/>
          <w:sz w:val="30"/>
          <w:szCs w:val="30"/>
        </w:rPr>
        <w:t>品质，打造集政务服务、现代商贸、文体休闲于一体的城市综合服务中心。强化口泉地区商业服务、产业配套与公共服务等方面功能，</w:t>
      </w:r>
      <w:r>
        <w:rPr>
          <w:rFonts w:hint="eastAsia" w:eastAsia="方正仿宋_GBK"/>
          <w:color w:val="auto"/>
          <w:sz w:val="30"/>
          <w:szCs w:val="30"/>
          <w:lang w:bidi="ar"/>
        </w:rPr>
        <w:t>承接核心区商业活力氛围，吸引商业投资，为云冈经济技术开发区提供服务支撑。</w:t>
      </w:r>
    </w:p>
    <w:p w14:paraId="3E29922A">
      <w:pPr>
        <w:pStyle w:val="65"/>
        <w:spacing w:line="580" w:lineRule="exact"/>
        <w:ind w:firstLine="602"/>
        <w:rPr>
          <w:rFonts w:eastAsia="方正仿宋_GBK" w:cs="方正仿宋_GBK"/>
          <w:color w:val="auto"/>
          <w:sz w:val="30"/>
          <w:szCs w:val="30"/>
        </w:rPr>
      </w:pPr>
      <w:r>
        <w:rPr>
          <w:rFonts w:hint="eastAsia" w:eastAsia="方正仿宋_GBK"/>
          <w:b/>
          <w:bCs/>
          <w:color w:val="auto"/>
          <w:sz w:val="30"/>
          <w:szCs w:val="30"/>
        </w:rPr>
        <w:t>推动全域联动发展。</w:t>
      </w:r>
      <w:r>
        <w:rPr>
          <w:rFonts w:hint="eastAsia" w:eastAsia="方正仿宋_GBK"/>
          <w:color w:val="auto"/>
          <w:sz w:val="30"/>
          <w:szCs w:val="30"/>
        </w:rPr>
        <w:t>统筹推进云冈新区、恒安新区、平旺地区、口泉地区、西花园片区、经济技术开发区差异化特色化发展，提升全区整体承载能力与服务能级。提升云冈新区人口集聚与承载能力，增强恒安新区客运枢纽功能，支持平旺地区积极发展绿色生态产业，提升口泉地区副中心综合功能，推动西花园片区加快城市更新改造，支持经济技术开发区全力建设现代工业集聚区。贯通发展双轴线，依托西南部开发区至东北西花园地区的主轴线，以及平旺地区、云冈新区、恒安新区的副轴线，强化区域联动发展。</w:t>
      </w:r>
    </w:p>
    <w:p w14:paraId="22BB88E7">
      <w:pPr>
        <w:spacing w:line="580" w:lineRule="exact"/>
        <w:ind w:firstLine="0" w:firstLineChars="0"/>
        <w:jc w:val="center"/>
        <w:outlineLvl w:val="1"/>
        <w:rPr>
          <w:rFonts w:eastAsia="方正仿宋_GBK"/>
          <w:color w:val="auto"/>
          <w:sz w:val="30"/>
          <w:szCs w:val="30"/>
        </w:rPr>
      </w:pPr>
      <w:bookmarkStart w:id="236" w:name="_Toc1903280739"/>
      <w:bookmarkStart w:id="237" w:name="_Toc1406154889"/>
      <w:bookmarkStart w:id="238" w:name="_Toc2011922997"/>
      <w:bookmarkStart w:id="239" w:name="_Toc1503115101"/>
      <w:r>
        <w:rPr>
          <w:rFonts w:hint="eastAsia" w:eastAsia="楷体"/>
          <w:color w:val="auto"/>
          <w:sz w:val="30"/>
          <w:szCs w:val="30"/>
        </w:rPr>
        <w:t>第二节  高标准推进城市更新</w:t>
      </w:r>
      <w:bookmarkEnd w:id="236"/>
      <w:bookmarkEnd w:id="237"/>
      <w:bookmarkEnd w:id="238"/>
      <w:bookmarkEnd w:id="239"/>
    </w:p>
    <w:p w14:paraId="23EF8D6B">
      <w:pPr>
        <w:pStyle w:val="65"/>
        <w:spacing w:line="580" w:lineRule="exact"/>
        <w:ind w:firstLine="602"/>
        <w:rPr>
          <w:rFonts w:eastAsia="方正仿宋_GBK"/>
          <w:color w:val="auto"/>
          <w:sz w:val="30"/>
          <w:szCs w:val="30"/>
        </w:rPr>
      </w:pPr>
      <w:r>
        <w:rPr>
          <w:rFonts w:hint="eastAsia" w:eastAsia="方正仿宋_GBK"/>
          <w:b/>
          <w:bCs/>
          <w:color w:val="auto"/>
          <w:sz w:val="30"/>
          <w:szCs w:val="30"/>
        </w:rPr>
        <w:t>推动重点单元实现更新。</w:t>
      </w:r>
      <w:r>
        <w:rPr>
          <w:rFonts w:hint="eastAsia" w:eastAsia="方正仿宋_GBK"/>
          <w:color w:val="auto"/>
          <w:sz w:val="30"/>
          <w:szCs w:val="30"/>
        </w:rPr>
        <w:t>推进老旧厂区（街区）、城中村等更新改造，针对同煤更新单元，加快旧工厂等低效用地功能置换，植入新业态新功能，优化街区风貌。针对塔山更新单元，有序开展城中村、城边村拆迁安置与村庄整治。持续推进</w:t>
      </w:r>
      <w:r>
        <w:rPr>
          <w:rFonts w:hint="eastAsia" w:eastAsia="方正仿宋_GBK" w:cs="方正仿宋_GBK"/>
          <w:color w:val="auto"/>
          <w:sz w:val="30"/>
          <w:szCs w:val="30"/>
        </w:rPr>
        <w:t>2000年底前建成的城镇老旧小区改造，对平旺及西花园、口泉更新单元，重点整治周边环境，拆除危旧建筑物，增设基础设施、公共设施与公共绿地，加快</w:t>
      </w:r>
      <w:r>
        <w:rPr>
          <w:rFonts w:hint="eastAsia" w:eastAsia="方正仿宋_GBK"/>
          <w:color w:val="auto"/>
          <w:sz w:val="30"/>
          <w:szCs w:val="30"/>
        </w:rPr>
        <w:t>616</w:t>
      </w:r>
      <w:r>
        <w:rPr>
          <w:rFonts w:hint="eastAsia" w:eastAsia="方正仿宋_GBK" w:cs="方正仿宋_GBK"/>
          <w:color w:val="auto"/>
          <w:sz w:val="30"/>
          <w:szCs w:val="30"/>
        </w:rPr>
        <w:t>柴</w:t>
      </w:r>
      <w:r>
        <w:rPr>
          <w:rFonts w:hint="eastAsia" w:eastAsia="方正仿宋_GBK"/>
          <w:color w:val="auto"/>
          <w:sz w:val="30"/>
          <w:szCs w:val="30"/>
        </w:rPr>
        <w:t>油机厂周边环境整治，塑造宜人街</w:t>
      </w:r>
      <w:r>
        <w:rPr>
          <w:rFonts w:hint="eastAsia" w:eastAsia="方正仿宋_GBK" w:cs="方正仿宋_GBK"/>
          <w:color w:val="auto"/>
          <w:sz w:val="30"/>
          <w:szCs w:val="30"/>
        </w:rPr>
        <w:t>道空间。加强既有建筑改造与综合利用，持续改善人民群众居住条件和生活环境。</w:t>
      </w:r>
    </w:p>
    <w:p w14:paraId="6324B272">
      <w:pPr>
        <w:pStyle w:val="13"/>
        <w:spacing w:line="580" w:lineRule="exact"/>
        <w:ind w:firstLine="602"/>
        <w:rPr>
          <w:rFonts w:eastAsia="方正仿宋_GBK"/>
          <w:color w:val="auto"/>
          <w:sz w:val="30"/>
          <w:szCs w:val="30"/>
        </w:rPr>
      </w:pPr>
      <w:r>
        <w:rPr>
          <w:rFonts w:hint="eastAsia" w:eastAsia="方正仿宋_GBK"/>
          <w:b/>
          <w:bCs/>
          <w:color w:val="auto"/>
          <w:sz w:val="30"/>
          <w:szCs w:val="30"/>
        </w:rPr>
        <w:t>推动城市基础设施更新</w:t>
      </w:r>
      <w:r>
        <w:rPr>
          <w:rFonts w:hint="eastAsia" w:eastAsia="方正仿宋_GBK"/>
          <w:color w:val="auto"/>
          <w:sz w:val="30"/>
          <w:szCs w:val="30"/>
        </w:rPr>
        <w:t>。围绕城市更新需求，系统推进市政基础设施更新改造，全面提升城市基础设施承载能力和运行效率。统筹推动老旧小区雨污分流等改造，重点实施口泉老街历史地段老城区地下管网更新工程，畅通城市交通微循环，增强防洪排涝能力。推进西花园便民市场等公共服务设施建设，结合城市更新同步完善水电气暖等管网系统。</w:t>
      </w:r>
    </w:p>
    <w:p w14:paraId="401AC240">
      <w:pPr>
        <w:pStyle w:val="65"/>
        <w:spacing w:line="580" w:lineRule="exact"/>
        <w:ind w:firstLine="602"/>
        <w:rPr>
          <w:rFonts w:eastAsia="方正仿宋_GBK" w:cs="方正仿宋_GBK"/>
          <w:color w:val="auto"/>
          <w:sz w:val="30"/>
          <w:szCs w:val="30"/>
        </w:rPr>
      </w:pPr>
      <w:r>
        <w:rPr>
          <w:rFonts w:hint="eastAsia" w:eastAsia="方正仿宋_GBK"/>
          <w:b/>
          <w:bCs/>
          <w:color w:val="auto"/>
          <w:sz w:val="30"/>
          <w:szCs w:val="30"/>
        </w:rPr>
        <w:t>优化城市更新机制。</w:t>
      </w:r>
      <w:r>
        <w:rPr>
          <w:rFonts w:hint="eastAsia" w:eastAsia="方正仿宋_GBK"/>
          <w:color w:val="auto"/>
          <w:sz w:val="30"/>
          <w:szCs w:val="30"/>
        </w:rPr>
        <w:t>一体化推进城市体检和城市更新，完善城市建设、运营、治理体制，探索建立可持续的更新模式。建立城市更新规划动态调整机制，结合发展实际与群众反馈，灵活优化更新范围、时序与策略。探索政府引导、市场运作、公众参与的更新模式，通过功能混合、土地复合利用及存量资源盘活，实现经济、社会、环境综合效益平衡。创新多元化投融资机制，积极争取中央预算内投资、专项债券等政策性资金，推广政府与社会资本合作（</w:t>
      </w:r>
      <w:r>
        <w:rPr>
          <w:rFonts w:eastAsia="方正仿宋_GBK"/>
          <w:color w:val="auto"/>
          <w:sz w:val="30"/>
          <w:szCs w:val="30"/>
        </w:rPr>
        <w:t>PPP</w:t>
      </w:r>
      <w:r>
        <w:rPr>
          <w:rFonts w:hint="eastAsia" w:eastAsia="方正仿宋_GBK"/>
          <w:color w:val="auto"/>
          <w:sz w:val="30"/>
          <w:szCs w:val="30"/>
        </w:rPr>
        <w:t>）模式，鼓励国有企业、社会资本以多种方式参与城市更新。</w:t>
      </w:r>
    </w:p>
    <w:p w14:paraId="7B4062F9">
      <w:pPr>
        <w:spacing w:line="580" w:lineRule="exact"/>
        <w:ind w:firstLine="0" w:firstLineChars="0"/>
        <w:jc w:val="center"/>
        <w:outlineLvl w:val="1"/>
        <w:rPr>
          <w:rFonts w:eastAsia="楷体"/>
          <w:color w:val="auto"/>
          <w:sz w:val="30"/>
          <w:szCs w:val="30"/>
        </w:rPr>
      </w:pPr>
      <w:bookmarkStart w:id="240" w:name="_Toc2005362846"/>
      <w:bookmarkStart w:id="241" w:name="_Toc187684188"/>
      <w:bookmarkStart w:id="242" w:name="_Toc1670458308"/>
      <w:bookmarkStart w:id="243" w:name="_Toc112304917"/>
      <w:r>
        <w:rPr>
          <w:rFonts w:hint="eastAsia" w:eastAsia="楷体"/>
          <w:color w:val="auto"/>
          <w:sz w:val="30"/>
          <w:szCs w:val="30"/>
        </w:rPr>
        <w:t xml:space="preserve">第三节  </w:t>
      </w:r>
      <w:bookmarkEnd w:id="240"/>
      <w:bookmarkEnd w:id="241"/>
      <w:r>
        <w:rPr>
          <w:rFonts w:hint="eastAsia" w:eastAsia="楷体"/>
          <w:color w:val="auto"/>
          <w:sz w:val="30"/>
          <w:szCs w:val="30"/>
        </w:rPr>
        <w:t>全面提升城市宜居程度</w:t>
      </w:r>
      <w:bookmarkEnd w:id="242"/>
      <w:bookmarkEnd w:id="243"/>
    </w:p>
    <w:p w14:paraId="4F51FB1D">
      <w:pPr>
        <w:pStyle w:val="65"/>
        <w:spacing w:line="580" w:lineRule="exact"/>
        <w:ind w:firstLine="602"/>
        <w:rPr>
          <w:rFonts w:eastAsia="方正仿宋_GBK"/>
          <w:color w:val="auto"/>
          <w:sz w:val="30"/>
          <w:szCs w:val="30"/>
        </w:rPr>
      </w:pPr>
      <w:r>
        <w:rPr>
          <w:rFonts w:hint="eastAsia" w:eastAsia="方正仿宋_GBK"/>
          <w:b/>
          <w:bCs/>
          <w:color w:val="auto"/>
          <w:sz w:val="30"/>
          <w:szCs w:val="30"/>
        </w:rPr>
        <w:t>构建高品质公共服务设施体系。</w:t>
      </w:r>
      <w:r>
        <w:rPr>
          <w:rFonts w:hint="eastAsia" w:eastAsia="方正仿宋_GBK"/>
          <w:color w:val="auto"/>
          <w:sz w:val="30"/>
          <w:szCs w:val="30"/>
        </w:rPr>
        <w:t>健全社区基本服务、便民商业、公共活动场地等设施，推进建设文化活动中心、档案服务中心、西花园市民体育运动广场等重点项目，提升居民生活便利度与舒适度。完善基层文化设施建设，建设社区体育公园、社区图书室等。提升小区环境品质与配套设施水平，补齐公共服务短板，增强居民生活便利性与幸福感。健全体育设施网络，充分利用闲置厂房、校舍操场等场所拓展体育设施活动，满足群众多层次的健身需求。</w:t>
      </w:r>
    </w:p>
    <w:p w14:paraId="3306BB0F">
      <w:pPr>
        <w:pStyle w:val="65"/>
        <w:spacing w:line="580" w:lineRule="exact"/>
        <w:ind w:firstLine="602"/>
        <w:rPr>
          <w:rFonts w:eastAsia="方正仿宋_GBK"/>
          <w:color w:val="auto"/>
          <w:sz w:val="30"/>
          <w:szCs w:val="30"/>
        </w:rPr>
      </w:pPr>
      <w:r>
        <w:rPr>
          <w:rFonts w:hint="eastAsia" w:eastAsia="方正仿宋_GBK"/>
          <w:b/>
          <w:bCs/>
          <w:color w:val="auto"/>
          <w:sz w:val="30"/>
          <w:szCs w:val="30"/>
        </w:rPr>
        <w:t>拓展城市绿色空间。</w:t>
      </w:r>
      <w:r>
        <w:rPr>
          <w:rFonts w:hint="eastAsia" w:eastAsia="方正仿宋_GBK"/>
          <w:color w:val="auto"/>
          <w:sz w:val="30"/>
          <w:szCs w:val="30"/>
        </w:rPr>
        <w:t>以西部生态涵养区和七峰山生态屏障为主体，以十里河生态廊道和口泉河生态廊道为主脉，以甘河沿岸景观轴带、大同绕城高速防护绿带、大西高铁防护带为轴线，以重要独立山体、湿地系统和各类自然公园为补充，构建“山水相拥、双廊、三轴、多园”的新城绿色空间结构。全面推进辖区内河流生态建设，以十里河、口泉河为重点，恢复河流生态功能。均衡布局综合公园、专类公园与口袋公园，推进废弃地、边角地见缝插绿，实现“开窗见绿、出门入园”，高标准建设社区绿化配套。</w:t>
      </w:r>
    </w:p>
    <w:p w14:paraId="1EBBAC53">
      <w:pPr>
        <w:pStyle w:val="65"/>
        <w:spacing w:line="580" w:lineRule="exact"/>
        <w:ind w:firstLine="602"/>
        <w:rPr>
          <w:rFonts w:eastAsia="方正仿宋_GBK"/>
          <w:color w:val="auto"/>
          <w:sz w:val="30"/>
          <w:szCs w:val="30"/>
        </w:rPr>
      </w:pPr>
      <w:bookmarkStart w:id="244" w:name="_Toc1524996704"/>
      <w:bookmarkStart w:id="245" w:name="_Toc1902153920"/>
      <w:r>
        <w:rPr>
          <w:rFonts w:hint="eastAsia" w:eastAsia="方正仿宋_GBK"/>
          <w:b/>
          <w:bCs/>
          <w:color w:val="auto"/>
          <w:sz w:val="30"/>
          <w:szCs w:val="30"/>
        </w:rPr>
        <w:t>筑牢韧性安全底线。</w:t>
      </w:r>
      <w:r>
        <w:rPr>
          <w:rFonts w:hint="eastAsia" w:eastAsia="方正仿宋_GBK"/>
          <w:color w:val="auto"/>
          <w:sz w:val="30"/>
          <w:szCs w:val="30"/>
        </w:rPr>
        <w:t>系统化全域化推进海绵城市建设，加强雨污管网、地下综合管廊建设和老旧管线改造升级，全面推进平旺地区排水改造工程，增强城市防洪排涝功能。开展矿区沉降带建筑抗震加固。筑牢社区安全基础，结合老旧小区改造工程，增补消防通道、应急避难场所、智能安防设施，完成小区隐患整治。构建高水平应急体系，搭建城市安全风险综合监测平台。积极稳步推进“平急两用”公共基础设施建设，健全地下管线、地质灾害全域预警机制，加强人防工程建设，大幅提升城市应对突发公共事件的能力。</w:t>
      </w:r>
    </w:p>
    <w:p w14:paraId="50EA30C2">
      <w:pPr>
        <w:spacing w:line="580" w:lineRule="exact"/>
        <w:ind w:firstLine="0" w:firstLineChars="0"/>
        <w:jc w:val="center"/>
        <w:outlineLvl w:val="1"/>
        <w:rPr>
          <w:rFonts w:eastAsia="楷体"/>
          <w:color w:val="auto"/>
          <w:sz w:val="30"/>
          <w:szCs w:val="30"/>
        </w:rPr>
      </w:pPr>
      <w:bookmarkStart w:id="246" w:name="_Toc2018097953"/>
      <w:bookmarkStart w:id="247" w:name="_Toc1339065325"/>
      <w:r>
        <w:rPr>
          <w:rFonts w:hint="eastAsia" w:eastAsia="楷体"/>
          <w:color w:val="auto"/>
          <w:sz w:val="30"/>
          <w:szCs w:val="30"/>
        </w:rPr>
        <w:t>第四节  加快推动城乡融合发展</w:t>
      </w:r>
      <w:bookmarkEnd w:id="244"/>
      <w:bookmarkEnd w:id="245"/>
      <w:bookmarkEnd w:id="246"/>
      <w:bookmarkEnd w:id="247"/>
    </w:p>
    <w:p w14:paraId="2A7AB3EB">
      <w:pPr>
        <w:pStyle w:val="65"/>
        <w:spacing w:line="580" w:lineRule="exact"/>
        <w:ind w:firstLine="602"/>
        <w:rPr>
          <w:rFonts w:eastAsia="方正仿宋_GBK" w:cs="方正仿宋_GBK"/>
          <w:color w:val="auto"/>
          <w:sz w:val="30"/>
          <w:szCs w:val="30"/>
        </w:rPr>
      </w:pPr>
      <w:r>
        <w:rPr>
          <w:rFonts w:hint="eastAsia" w:eastAsia="方正仿宋_GBK"/>
          <w:b/>
          <w:bCs/>
          <w:color w:val="auto"/>
          <w:sz w:val="30"/>
          <w:szCs w:val="30"/>
        </w:rPr>
        <w:t>推进农业转移人口市民化。</w:t>
      </w:r>
      <w:r>
        <w:rPr>
          <w:rFonts w:hint="eastAsia" w:eastAsia="方正仿宋_GBK" w:cs="方正仿宋_GBK"/>
          <w:color w:val="auto"/>
          <w:sz w:val="30"/>
          <w:szCs w:val="30"/>
        </w:rPr>
        <w:t>进一步深化户籍制度改革，大力落实放开放宽城市落户条件的各项政策。</w:t>
      </w:r>
      <w:r>
        <w:rPr>
          <w:rFonts w:hint="eastAsia" w:eastAsia="方正仿宋_GBK"/>
          <w:color w:val="auto"/>
          <w:sz w:val="30"/>
          <w:szCs w:val="30"/>
        </w:rPr>
        <w:t>将随迁子女纳入流入地义务教育、普惠性学前教育、中等职业教育、高中教育保障范围，持续提高随迁子女在公办学校的就读比例，切实保障符合条件的随迁子女在当地参加中考和高中阶段学校招生录取。将农业转移人口纳入城镇社区卫生服务体系。推进居住证与身份证功能衔接，稳步实现基本公共服务由常住地供给、覆盖全部常住人口。全面取消在就业地参保户籍限制，逐步放宽居民在常住地或就业地参加医疗保险的户籍限制，引导农业转移人口按规定参加职工基本养老保险。</w:t>
      </w:r>
    </w:p>
    <w:p w14:paraId="5C1548CF">
      <w:pPr>
        <w:pStyle w:val="65"/>
        <w:spacing w:line="580" w:lineRule="exact"/>
        <w:ind w:firstLine="602"/>
        <w:rPr>
          <w:rFonts w:eastAsia="方正仿宋_GBK"/>
          <w:color w:val="auto"/>
          <w:sz w:val="30"/>
          <w:szCs w:val="30"/>
        </w:rPr>
      </w:pPr>
      <w:r>
        <w:rPr>
          <w:rFonts w:hint="eastAsia" w:eastAsia="方正仿宋_GBK"/>
          <w:b/>
          <w:bCs/>
          <w:color w:val="auto"/>
          <w:sz w:val="30"/>
          <w:szCs w:val="30"/>
        </w:rPr>
        <w:t>推进城市公共服务向农村延伸。</w:t>
      </w:r>
      <w:r>
        <w:rPr>
          <w:rFonts w:hint="eastAsia" w:eastAsia="方正仿宋_GBK"/>
          <w:color w:val="auto"/>
          <w:sz w:val="30"/>
          <w:szCs w:val="30"/>
        </w:rPr>
        <w:t>缩小城乡公共服务水平差距，构建城乡一体的公共服务体系。鼓励城区优质学校与乡村学校结对共建，常态化开展教师交流与远程互动教学。健全区、乡、村三级医疗卫生服务网络，加强村卫生室标准化建设与乡村医生能力培训，推动区级医院骨干医师下乡坐诊，提升农村地区医疗服务的可及性与专业性。支持乡镇建设具备综合功能的养老服务机构，鼓励村级邻里互助养老、农村幸福院等模式创新，推动养老服务设施覆盖全部乡镇和部分人口集中的行政村。推动区级图书馆、文化馆资源向农村流动，丰富农民精神文化生活。</w:t>
      </w:r>
    </w:p>
    <w:p w14:paraId="5DAF2B61">
      <w:pPr>
        <w:pStyle w:val="65"/>
        <w:spacing w:line="580" w:lineRule="exact"/>
        <w:ind w:firstLine="602"/>
        <w:rPr>
          <w:rFonts w:eastAsia="方正仿宋_GBK"/>
          <w:color w:val="auto"/>
          <w:sz w:val="30"/>
          <w:szCs w:val="30"/>
        </w:rPr>
      </w:pPr>
      <w:r>
        <w:rPr>
          <w:rFonts w:hint="eastAsia" w:eastAsia="方正仿宋_GBK"/>
          <w:b/>
          <w:bCs/>
          <w:color w:val="auto"/>
          <w:sz w:val="30"/>
          <w:szCs w:val="30"/>
        </w:rPr>
        <w:t>推动城乡基础设施一体化发展。</w:t>
      </w:r>
      <w:r>
        <w:rPr>
          <w:rFonts w:hint="eastAsia" w:eastAsia="方正仿宋_GBK"/>
          <w:color w:val="auto"/>
          <w:sz w:val="30"/>
          <w:szCs w:val="30"/>
        </w:rPr>
        <w:t>强化乡村基础设施延伸覆盖，促进城乡公共基础设施同规同网。支持农田水利、防洪排涝、农村供水、水生态保护与治理等民生水利项目建设，补齐乡村基础设施短板，提升农村生产生活保障能力。以西韩岭北村、口泉乡赵家小村为</w:t>
      </w:r>
      <w:r>
        <w:rPr>
          <w:rFonts w:hint="eastAsia" w:eastAsia="方正仿宋_GBK"/>
          <w:color w:val="auto"/>
          <w:sz w:val="30"/>
          <w:szCs w:val="30"/>
          <w:lang w:val="en-US" w:eastAsia="zh-CN"/>
        </w:rPr>
        <w:t>重点</w:t>
      </w:r>
      <w:r>
        <w:rPr>
          <w:rFonts w:hint="eastAsia" w:eastAsia="方正仿宋_GBK"/>
          <w:color w:val="auto"/>
          <w:sz w:val="30"/>
          <w:szCs w:val="30"/>
        </w:rPr>
        <w:t>，探索基础设施一体化建设路径，形成可复制、可推广的经验，带动全域城乡基础设施水平提升。</w:t>
      </w:r>
    </w:p>
    <w:tbl>
      <w:tblPr>
        <w:tblStyle w:val="66"/>
        <w:tblW w:w="8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0"/>
      </w:tblGrid>
      <w:tr w14:paraId="4C7FC2F7">
        <w:trPr>
          <w:trHeight w:val="1471" w:hRule="atLeast"/>
        </w:trPr>
        <w:tc>
          <w:tcPr>
            <w:tcW w:w="8280" w:type="dxa"/>
            <w:tcBorders>
              <w:top w:val="single" w:color="auto" w:sz="4" w:space="0"/>
              <w:left w:val="single" w:color="auto" w:sz="4" w:space="0"/>
              <w:bottom w:val="single" w:color="auto" w:sz="4" w:space="0"/>
              <w:right w:val="single" w:color="auto" w:sz="4" w:space="0"/>
            </w:tcBorders>
          </w:tcPr>
          <w:p w14:paraId="17125E76">
            <w:pPr>
              <w:widowControl/>
              <w:topLinePunct w:val="0"/>
              <w:adjustRightInd/>
              <w:snapToGrid/>
              <w:spacing w:line="500" w:lineRule="exact"/>
              <w:ind w:firstLine="0" w:firstLineChars="0"/>
              <w:jc w:val="center"/>
              <w:rPr>
                <w:rFonts w:eastAsia="方正黑体_GBK" w:cs="Times New Roman"/>
                <w:color w:val="auto"/>
                <w:sz w:val="28"/>
                <w:szCs w:val="28"/>
              </w:rPr>
            </w:pPr>
            <w:r>
              <w:rPr>
                <w:rFonts w:hint="eastAsia" w:eastAsia="方正黑体_GBK" w:cs="Times New Roman"/>
                <w:color w:val="auto"/>
                <w:sz w:val="28"/>
                <w:szCs w:val="28"/>
              </w:rPr>
              <w:t>专栏6 宜居韧性智慧品质城区建设重点项目</w:t>
            </w:r>
          </w:p>
          <w:p w14:paraId="60A04A25">
            <w:pPr>
              <w:spacing w:after="0"/>
              <w:ind w:firstLine="562"/>
              <w:rPr>
                <w:color w:val="auto"/>
              </w:rPr>
            </w:pPr>
            <w:r>
              <w:rPr>
                <w:rFonts w:hint="eastAsia" w:eastAsia="方正仿宋_GBK"/>
                <w:color w:val="auto"/>
                <w:kern w:val="0"/>
                <w:sz w:val="28"/>
                <w:szCs w:val="28"/>
              </w:rPr>
              <w:t>重点推进西花园片区孔家渠以东危旧房安置工程、口泉街道泉民街社区市属破产企业危旧房改造工程（一期）、云冈区同泉路泉新段环境综合整治项目、西花园便民市场建设工程</w:t>
            </w:r>
            <w:r>
              <w:rPr>
                <w:rFonts w:hint="eastAsia" w:eastAsia="方正仿宋_GBK"/>
                <w:color w:val="auto"/>
                <w:kern w:val="0"/>
                <w:sz w:val="28"/>
                <w:szCs w:val="28"/>
                <w:lang w:bidi="ar"/>
              </w:rPr>
              <w:t>。</w:t>
            </w:r>
            <w:r>
              <w:rPr>
                <w:rFonts w:hint="eastAsia" w:eastAsia="方正仿宋_GBK"/>
                <w:color w:val="auto"/>
                <w:kern w:val="0"/>
                <w:sz w:val="28"/>
                <w:szCs w:val="28"/>
              </w:rPr>
              <w:t>云冈区口泉公园</w:t>
            </w:r>
            <w:r>
              <w:rPr>
                <w:rFonts w:hint="eastAsia" w:eastAsia="方正仿宋_GBK"/>
                <w:color w:val="auto"/>
                <w:kern w:val="0"/>
                <w:sz w:val="28"/>
                <w:szCs w:val="28"/>
                <w:lang w:val="en-US" w:eastAsia="zh-CN"/>
              </w:rPr>
              <w:t>改造</w:t>
            </w:r>
            <w:r>
              <w:rPr>
                <w:rFonts w:hint="eastAsia" w:eastAsia="方正仿宋_GBK"/>
                <w:color w:val="auto"/>
                <w:kern w:val="0"/>
                <w:sz w:val="28"/>
                <w:szCs w:val="28"/>
              </w:rPr>
              <w:t>项目。</w:t>
            </w:r>
          </w:p>
        </w:tc>
      </w:tr>
      <w:bookmarkEnd w:id="72"/>
      <w:bookmarkEnd w:id="229"/>
    </w:tbl>
    <w:p w14:paraId="7CA0EF9C">
      <w:pPr>
        <w:rPr>
          <w:rFonts w:hint="eastAsia" w:ascii="Times New Roman" w:hAnsi="Times New Roman" w:eastAsia="方正黑体_GBK" w:cs="方正黑体_GBK"/>
          <w:color w:val="auto"/>
        </w:rPr>
      </w:pPr>
      <w:bookmarkStart w:id="248" w:name="_Toc42296715"/>
      <w:bookmarkStart w:id="249" w:name="_Toc815575353"/>
      <w:bookmarkStart w:id="250" w:name="_Toc1424430942"/>
      <w:r>
        <w:rPr>
          <w:rFonts w:hint="eastAsia" w:ascii="Times New Roman" w:hAnsi="Times New Roman" w:eastAsia="方正黑体_GBK" w:cs="方正黑体_GBK"/>
          <w:color w:val="auto"/>
        </w:rPr>
        <w:br w:type="page"/>
      </w:r>
    </w:p>
    <w:p w14:paraId="6DD90E38">
      <w:pPr>
        <w:pStyle w:val="61"/>
        <w:spacing w:before="156" w:beforeLines="50" w:after="156" w:afterLines="50" w:line="580" w:lineRule="exact"/>
        <w:ind w:firstLine="0" w:firstLineChars="0"/>
        <w:jc w:val="center"/>
        <w:rPr>
          <w:rFonts w:ascii="Times New Roman" w:hAnsi="Times New Roman" w:eastAsia="方正黑体_GBK" w:cs="方正黑体_GBK"/>
          <w:color w:val="auto"/>
        </w:rPr>
      </w:pPr>
      <w:r>
        <w:rPr>
          <w:rFonts w:hint="eastAsia" w:ascii="Times New Roman" w:hAnsi="Times New Roman" w:eastAsia="方正黑体_GBK" w:cs="方正黑体_GBK"/>
          <w:color w:val="auto"/>
        </w:rPr>
        <w:t xml:space="preserve">第十章 </w:t>
      </w:r>
      <w:bookmarkStart w:id="251" w:name="OLE_LINK31"/>
      <w:r>
        <w:rPr>
          <w:rFonts w:hint="eastAsia" w:ascii="Times New Roman" w:hAnsi="Times New Roman" w:eastAsia="方正黑体_GBK" w:cs="方正黑体_GBK"/>
          <w:color w:val="auto"/>
        </w:rPr>
        <w:t>推进基础设施建设 增强发展支撑保障能力</w:t>
      </w:r>
      <w:bookmarkEnd w:id="248"/>
      <w:bookmarkEnd w:id="249"/>
      <w:bookmarkEnd w:id="251"/>
    </w:p>
    <w:p w14:paraId="41C1557D">
      <w:pPr>
        <w:adjustRightInd w:val="0"/>
        <w:snapToGrid w:val="0"/>
        <w:spacing w:line="580" w:lineRule="exact"/>
        <w:ind w:firstLine="600"/>
        <w:rPr>
          <w:rFonts w:eastAsia="方正仿宋_GBK"/>
          <w:color w:val="auto"/>
          <w:sz w:val="30"/>
          <w:szCs w:val="30"/>
        </w:rPr>
      </w:pPr>
      <w:r>
        <w:rPr>
          <w:rFonts w:hint="eastAsia" w:eastAsia="方正仿宋_GBK"/>
          <w:color w:val="auto"/>
          <w:sz w:val="30"/>
          <w:szCs w:val="30"/>
        </w:rPr>
        <w:t>加强基础设施统筹规划，优化基础设施布局、结构、功能和发展模式，提升基础设施安全韧性和运营可持续性，构建现代化基础设施体系，为开创云冈高质量发展新局面打下坚实基础。</w:t>
      </w:r>
    </w:p>
    <w:p w14:paraId="07CB4A79">
      <w:pPr>
        <w:adjustRightInd w:val="0"/>
        <w:snapToGrid w:val="0"/>
        <w:spacing w:line="580" w:lineRule="exact"/>
        <w:ind w:firstLine="0" w:firstLineChars="0"/>
        <w:jc w:val="center"/>
        <w:outlineLvl w:val="1"/>
        <w:rPr>
          <w:rFonts w:eastAsia="方正楷体_GBK"/>
          <w:color w:val="auto"/>
          <w:sz w:val="30"/>
          <w:szCs w:val="30"/>
        </w:rPr>
      </w:pPr>
      <w:bookmarkStart w:id="252" w:name="_Toc2134322717"/>
      <w:bookmarkStart w:id="253" w:name="_Toc1298588530"/>
      <w:bookmarkStart w:id="254" w:name="_Toc1207925315"/>
      <w:bookmarkStart w:id="255" w:name="_Toc217274733"/>
      <w:bookmarkStart w:id="256" w:name="_Toc63801848"/>
      <w:r>
        <w:rPr>
          <w:rFonts w:hint="eastAsia" w:eastAsia="方正楷体_GBK"/>
          <w:color w:val="auto"/>
          <w:sz w:val="30"/>
          <w:szCs w:val="30"/>
        </w:rPr>
        <w:t>第一节  建设高效便捷综合交通网</w:t>
      </w:r>
      <w:bookmarkEnd w:id="252"/>
      <w:bookmarkEnd w:id="253"/>
      <w:bookmarkEnd w:id="254"/>
      <w:bookmarkEnd w:id="255"/>
      <w:bookmarkEnd w:id="256"/>
    </w:p>
    <w:p w14:paraId="20AE74B2">
      <w:pPr>
        <w:overflowPunct w:val="0"/>
        <w:adjustRightInd w:val="0"/>
        <w:snapToGrid w:val="0"/>
        <w:spacing w:line="580" w:lineRule="exact"/>
        <w:ind w:firstLine="602"/>
        <w:rPr>
          <w:rFonts w:eastAsia="方正仿宋_GBK"/>
          <w:color w:val="auto"/>
          <w:sz w:val="30"/>
          <w:szCs w:val="30"/>
        </w:rPr>
      </w:pPr>
      <w:r>
        <w:rPr>
          <w:rFonts w:hint="eastAsia" w:eastAsia="方正仿宋_GBK"/>
          <w:b/>
          <w:bCs/>
          <w:color w:val="auto"/>
          <w:sz w:val="30"/>
          <w:szCs w:val="30"/>
        </w:rPr>
        <w:t>进一步完善交通运输通道。</w:t>
      </w:r>
      <w:r>
        <w:rPr>
          <w:rFonts w:hint="eastAsia" w:eastAsia="方正仿宋_GBK"/>
          <w:color w:val="auto"/>
          <w:sz w:val="30"/>
          <w:szCs w:val="30"/>
        </w:rPr>
        <w:t>健全畅达高效的高速公路网，配合大同绕城高速公路陈庄至肥村段工程建设，提升区域交通互联互通水平。完善普通国省干线公路网，配合实施国道109线、208线改线工程，推进省道214线（原省道339线）改线工程。谋划省道</w:t>
      </w:r>
      <w:r>
        <w:rPr>
          <w:rFonts w:eastAsia="方正仿宋_GBK"/>
          <w:color w:val="auto"/>
          <w:sz w:val="30"/>
          <w:szCs w:val="30"/>
        </w:rPr>
        <w:t>S205</w:t>
      </w:r>
      <w:r>
        <w:rPr>
          <w:rFonts w:hint="eastAsia" w:eastAsia="方正仿宋_GBK"/>
          <w:color w:val="auto"/>
          <w:sz w:val="30"/>
          <w:szCs w:val="30"/>
        </w:rPr>
        <w:t>云冈区段拓宽改造及五一桥互通立交建设工程、云冈区至左云县公路建设工程、云冈区至怀仁市快速路工程，加强与周边地区通道连接。实施县道云店线、新黑线、兴王线改造工程，加快王家园至云冈石窟旅游公路改造工程。打通工业园区路网，配合推进湖东电厂铁路线建设。抓好“四好农村路”建设，高质量推进长城一号旅游公路沿线提质增效三年行动，构建结构合理、功能齐全、服务优良的旅游公路体系。</w:t>
      </w:r>
    </w:p>
    <w:p w14:paraId="433F05A2">
      <w:pPr>
        <w:adjustRightInd w:val="0"/>
        <w:snapToGrid w:val="0"/>
        <w:spacing w:line="580" w:lineRule="exact"/>
        <w:ind w:firstLine="602"/>
        <w:rPr>
          <w:rFonts w:eastAsia="方正仿宋_GBK"/>
          <w:color w:val="auto"/>
          <w:sz w:val="30"/>
          <w:szCs w:val="30"/>
        </w:rPr>
      </w:pPr>
      <w:r>
        <w:rPr>
          <w:rFonts w:hint="eastAsia" w:eastAsia="方正仿宋_GBK"/>
          <w:b/>
          <w:bCs/>
          <w:color w:val="auto"/>
          <w:sz w:val="30"/>
          <w:szCs w:val="30"/>
        </w:rPr>
        <w:t>健全客货运输综合枢纽体系。</w:t>
      </w:r>
      <w:r>
        <w:rPr>
          <w:rFonts w:hint="eastAsia" w:eastAsia="方正仿宋_GBK"/>
          <w:color w:val="auto"/>
          <w:sz w:val="30"/>
          <w:szCs w:val="30"/>
        </w:rPr>
        <w:t>统筹公路、铁路等各种交通方式，推进交通基础设施融合衔接，优化客货运输综合枢纽空间布局。以汽车站、火车站为枢纽节点，结合乡镇发展定位、场站规模及对外交通条件，对全区客货运输综合枢纽实行分级建设和精准管理。推动城际班线与城市公共交通有效衔接，不断提升旅客联程运输服务质量和水平。优化平旺站、韩家岭站周边公路网，加强铁路和其他交通方式衔接，提升火车站运输能力、服务品质和运行效率。推进综合货运枢纽集疏运体系建设，谋划建设京东物流中心。健全城乡商贸流通网络，推进寄递物流网络节点建设，支持北京·大同新发地农副产品物流园等完善冷链物流设施，鼓励农村物流整合商贸流通、供销集配、邮政快递等功能。</w:t>
      </w:r>
    </w:p>
    <w:p w14:paraId="3AB8AE18">
      <w:pPr>
        <w:adjustRightInd w:val="0"/>
        <w:snapToGrid w:val="0"/>
        <w:spacing w:line="580" w:lineRule="exact"/>
        <w:ind w:firstLine="602"/>
        <w:rPr>
          <w:rFonts w:eastAsia="方正仿宋_GBK"/>
          <w:color w:val="auto"/>
          <w:sz w:val="30"/>
          <w:szCs w:val="30"/>
        </w:rPr>
      </w:pPr>
      <w:r>
        <w:rPr>
          <w:rFonts w:hint="eastAsia" w:eastAsia="方正仿宋_GBK"/>
          <w:b/>
          <w:bCs/>
          <w:color w:val="auto"/>
          <w:sz w:val="30"/>
          <w:szCs w:val="30"/>
        </w:rPr>
        <w:t>构建智慧安全绿色交通网络。</w:t>
      </w:r>
      <w:r>
        <w:rPr>
          <w:rFonts w:hint="eastAsia" w:eastAsia="方正仿宋_GBK"/>
          <w:color w:val="auto"/>
          <w:sz w:val="30"/>
          <w:szCs w:val="30"/>
        </w:rPr>
        <w:t>以数字化、网络化、智能化为主线，推动智慧交通基础设施建设，提升交通运输服务和保障水平。构建全区交通数据采集体系，增加重点场站、路段和交通设施设备运行监测，搭建交通大数据平台。建设智能公共交通系统，设置智能公交电子站牌，推动停车场接入智慧停车诱导系统。实施低空经济发展应用场景项目，加快探索景点航拍、同城速递、应急（医疗）救援、工程运输作业等多个实景测试。实施公路安全生命防护工程，继续开展公路安全隐患治理和危旧桥梁改造，提升公路安全防护能力。持续推进绿色交通基础设施建设，提升干线公路预防性养护比率，加强对已建旅游公路、风景道的养护。</w:t>
      </w:r>
    </w:p>
    <w:p w14:paraId="54AF71D6">
      <w:pPr>
        <w:adjustRightInd w:val="0"/>
        <w:snapToGrid w:val="0"/>
        <w:spacing w:line="580" w:lineRule="exact"/>
        <w:ind w:firstLine="0" w:firstLineChars="0"/>
        <w:jc w:val="center"/>
        <w:outlineLvl w:val="1"/>
        <w:rPr>
          <w:rFonts w:eastAsia="方正楷体_GBK"/>
          <w:color w:val="auto"/>
          <w:sz w:val="30"/>
          <w:szCs w:val="30"/>
        </w:rPr>
      </w:pPr>
      <w:bookmarkStart w:id="257" w:name="_Toc501119249"/>
      <w:bookmarkStart w:id="258" w:name="_Toc2142548778"/>
      <w:bookmarkStart w:id="259" w:name="_Toc723319483"/>
      <w:bookmarkStart w:id="260" w:name="_Toc217274734"/>
      <w:bookmarkStart w:id="261" w:name="_Toc1437854114"/>
      <w:r>
        <w:rPr>
          <w:rFonts w:hint="eastAsia" w:eastAsia="方正楷体_GBK"/>
          <w:color w:val="auto"/>
          <w:sz w:val="30"/>
          <w:szCs w:val="30"/>
        </w:rPr>
        <w:t>第二节  构建清洁低碳现代能源</w:t>
      </w:r>
      <w:bookmarkEnd w:id="257"/>
      <w:r>
        <w:rPr>
          <w:rFonts w:hint="eastAsia" w:eastAsia="方正楷体_GBK"/>
          <w:color w:val="auto"/>
          <w:sz w:val="30"/>
          <w:szCs w:val="30"/>
        </w:rPr>
        <w:t>网</w:t>
      </w:r>
      <w:bookmarkEnd w:id="258"/>
      <w:bookmarkEnd w:id="259"/>
      <w:bookmarkEnd w:id="260"/>
      <w:bookmarkEnd w:id="261"/>
    </w:p>
    <w:p w14:paraId="325452CA">
      <w:pPr>
        <w:adjustRightInd w:val="0"/>
        <w:snapToGrid w:val="0"/>
        <w:spacing w:line="580" w:lineRule="exact"/>
        <w:ind w:firstLine="602"/>
        <w:rPr>
          <w:rFonts w:eastAsia="方正仿宋_GBK"/>
          <w:color w:val="auto"/>
          <w:sz w:val="30"/>
          <w:szCs w:val="30"/>
        </w:rPr>
      </w:pPr>
      <w:r>
        <w:rPr>
          <w:rFonts w:hint="eastAsia" w:eastAsia="方正仿宋_GBK"/>
          <w:b/>
          <w:bCs/>
          <w:color w:val="auto"/>
          <w:sz w:val="30"/>
          <w:szCs w:val="30"/>
        </w:rPr>
        <w:t>优化加强电网主网架。</w:t>
      </w:r>
      <w:r>
        <w:rPr>
          <w:rFonts w:hint="eastAsia" w:eastAsia="方正仿宋_GBK"/>
          <w:color w:val="auto"/>
          <w:sz w:val="30"/>
          <w:szCs w:val="30"/>
        </w:rPr>
        <w:t>完善电网主网架布局和结构，夯实电力系统物理基础，提升电网安全和智能化水平，保障电力安全稳定供应。围绕构网型技术、系统友好型新能源电站等方向加快建设新型能源基础设施，有序推动山西晋北采煤沉陷区新能源基地（云冈）220kV升压站及送出工程。提升电网设施全寿命周期智能化、数字化水平，支撑新型电力系统安全稳定运行和各类并网主体健康发展。</w:t>
      </w:r>
    </w:p>
    <w:p w14:paraId="53EFB048">
      <w:pPr>
        <w:adjustRightInd w:val="0"/>
        <w:snapToGrid w:val="0"/>
        <w:spacing w:line="580" w:lineRule="exact"/>
        <w:ind w:firstLine="602"/>
        <w:rPr>
          <w:rFonts w:eastAsia="方正仿宋_GBK"/>
          <w:color w:val="auto"/>
          <w:sz w:val="30"/>
          <w:szCs w:val="30"/>
        </w:rPr>
      </w:pPr>
      <w:r>
        <w:rPr>
          <w:rFonts w:hint="eastAsia" w:eastAsia="方正仿宋_GBK"/>
          <w:b/>
          <w:bCs/>
          <w:color w:val="auto"/>
          <w:sz w:val="30"/>
          <w:szCs w:val="30"/>
        </w:rPr>
        <w:t>推进配电网建设改造。</w:t>
      </w:r>
      <w:r>
        <w:rPr>
          <w:rFonts w:hint="eastAsia" w:eastAsia="方正仿宋_GBK"/>
          <w:color w:val="auto"/>
          <w:sz w:val="30"/>
          <w:szCs w:val="30"/>
        </w:rPr>
        <w:t>健全配电网全过程管理，推动玉龙35kV变电站改造工程，新建和改造恒安新区10kV开关站二电源工程。构建高质量充（换）电基础设施体系，加强云泰公司与宁德时代、中国石化合作，推进新能源换电重卡换电站项目建设，针对性提升新能源、电动汽车充电设施接网能力。因地制宜完善农村电网，统筹高压电网延伸覆盖和中低压电网更新改造，优化变电站和配变台区布点，推进农村电网装备标准化和智能化建设。探索应用主配微网协同的新型有源配电网调度模式，提升配电网层面就地平衡能力和对主网的主动支撑能力。</w:t>
      </w:r>
    </w:p>
    <w:p w14:paraId="311C3702">
      <w:pPr>
        <w:adjustRightInd w:val="0"/>
        <w:snapToGrid w:val="0"/>
        <w:spacing w:line="580" w:lineRule="exact"/>
        <w:ind w:firstLine="602"/>
        <w:rPr>
          <w:rFonts w:eastAsia="方正仿宋_GBK"/>
          <w:color w:val="auto"/>
          <w:sz w:val="30"/>
          <w:szCs w:val="30"/>
        </w:rPr>
      </w:pPr>
      <w:r>
        <w:rPr>
          <w:rFonts w:hint="eastAsia" w:eastAsia="方正仿宋_GBK"/>
          <w:b/>
          <w:bCs/>
          <w:color w:val="auto"/>
          <w:sz w:val="30"/>
          <w:szCs w:val="30"/>
        </w:rPr>
        <w:t>推动风光火储一体化。</w:t>
      </w:r>
      <w:r>
        <w:rPr>
          <w:rFonts w:hint="eastAsia" w:eastAsia="方正仿宋_GBK"/>
          <w:color w:val="auto"/>
          <w:sz w:val="30"/>
          <w:szCs w:val="30"/>
        </w:rPr>
        <w:t>聚焦新型能源开发利用布局一批储能电站，构建火力发电与风光发电双轮驱动的电力供应结构。统筹推进现役煤电机组超低排放和节能改造，高标准推进同热、合邦、国宁时代</w:t>
      </w:r>
      <w:r>
        <w:rPr>
          <w:rFonts w:hint="eastAsia" w:eastAsia="方正仿宋_GBK"/>
          <w:color w:val="auto"/>
          <w:sz w:val="30"/>
          <w:szCs w:val="30"/>
          <w:lang w:eastAsia="zh-CN"/>
        </w:rPr>
        <w:t>（</w:t>
      </w:r>
      <w:r>
        <w:rPr>
          <w:rFonts w:hint="eastAsia" w:eastAsia="方正仿宋_GBK"/>
          <w:color w:val="auto"/>
          <w:sz w:val="30"/>
          <w:szCs w:val="30"/>
          <w:lang w:val="en-US" w:eastAsia="zh-CN"/>
        </w:rPr>
        <w:t>二期</w:t>
      </w:r>
      <w:r>
        <w:rPr>
          <w:rFonts w:hint="eastAsia" w:eastAsia="方正仿宋_GBK"/>
          <w:color w:val="auto"/>
          <w:sz w:val="30"/>
          <w:szCs w:val="30"/>
          <w:lang w:eastAsia="zh-CN"/>
        </w:rPr>
        <w:t>）</w:t>
      </w:r>
      <w:r>
        <w:rPr>
          <w:rFonts w:hint="eastAsia" w:eastAsia="方正仿宋_GBK"/>
          <w:color w:val="auto"/>
          <w:sz w:val="30"/>
          <w:szCs w:val="30"/>
        </w:rPr>
        <w:t>相关项目建设，发挥火电机组、储能设施调节能力，实施存量“风光火储一体化”提升，探索增量“风光储一体化”，实现多能互补和时空互济，增强电力保供和新能源消纳能力。</w:t>
      </w:r>
    </w:p>
    <w:p w14:paraId="3C740CC5">
      <w:pPr>
        <w:adjustRightInd w:val="0"/>
        <w:snapToGrid w:val="0"/>
        <w:spacing w:line="580" w:lineRule="exact"/>
        <w:ind w:firstLine="0" w:firstLineChars="0"/>
        <w:jc w:val="center"/>
        <w:outlineLvl w:val="1"/>
        <w:rPr>
          <w:rFonts w:eastAsia="方正楷体_GBK"/>
          <w:color w:val="auto"/>
          <w:sz w:val="30"/>
          <w:szCs w:val="30"/>
        </w:rPr>
      </w:pPr>
      <w:bookmarkStart w:id="262" w:name="_Toc2027838056"/>
      <w:bookmarkStart w:id="263" w:name="_Toc380614307"/>
      <w:bookmarkStart w:id="264" w:name="_Toc217274735"/>
      <w:bookmarkStart w:id="265" w:name="_Toc811518950"/>
      <w:bookmarkStart w:id="266" w:name="_Toc2073108761"/>
      <w:r>
        <w:rPr>
          <w:rFonts w:hint="eastAsia" w:eastAsia="方正楷体_GBK"/>
          <w:color w:val="auto"/>
          <w:sz w:val="30"/>
          <w:szCs w:val="30"/>
        </w:rPr>
        <w:t>第三节  完善安全韧性现代水网</w:t>
      </w:r>
      <w:bookmarkEnd w:id="262"/>
      <w:bookmarkEnd w:id="263"/>
      <w:bookmarkEnd w:id="264"/>
      <w:bookmarkEnd w:id="265"/>
      <w:bookmarkEnd w:id="266"/>
    </w:p>
    <w:p w14:paraId="63096E66">
      <w:pPr>
        <w:adjustRightInd w:val="0"/>
        <w:snapToGrid w:val="0"/>
        <w:spacing w:line="580" w:lineRule="exact"/>
        <w:ind w:firstLine="602"/>
        <w:rPr>
          <w:rFonts w:eastAsia="方正仿宋_GBK"/>
          <w:color w:val="auto"/>
          <w:sz w:val="30"/>
          <w:szCs w:val="30"/>
        </w:rPr>
      </w:pPr>
      <w:r>
        <w:rPr>
          <w:rFonts w:hint="eastAsia" w:eastAsia="方正仿宋_GBK"/>
          <w:b/>
          <w:bCs/>
          <w:color w:val="auto"/>
          <w:sz w:val="30"/>
          <w:szCs w:val="30"/>
        </w:rPr>
        <w:t>全面提升供水安全保障能力。</w:t>
      </w:r>
      <w:r>
        <w:rPr>
          <w:rFonts w:hint="eastAsia" w:eastAsia="方正仿宋_GBK"/>
          <w:color w:val="auto"/>
          <w:sz w:val="30"/>
          <w:szCs w:val="30"/>
        </w:rPr>
        <w:t>坚持以水定城、以水定地、以水定人、以水定产，优化水资源配置，加强重点水源工程建设，稳妥推进</w:t>
      </w:r>
      <w:r>
        <w:rPr>
          <w:rFonts w:hint="eastAsia" w:eastAsia="方正仿宋_GBK"/>
          <w:color w:val="auto"/>
          <w:sz w:val="30"/>
          <w:szCs w:val="30"/>
          <w:lang w:val="en-US" w:eastAsia="zh-CN"/>
        </w:rPr>
        <w:t>河道水网建设</w:t>
      </w:r>
      <w:r>
        <w:rPr>
          <w:rFonts w:hint="eastAsia" w:eastAsia="方正仿宋_GBK"/>
          <w:color w:val="auto"/>
          <w:sz w:val="30"/>
          <w:szCs w:val="30"/>
        </w:rPr>
        <w:t>工程、西韩岭乡御河片区水源置换工程，强化供水工程协调配套，构建与全方位推动高质量发展相适应的水安全保障体系。遵循“农村供水城市化、城乡供水一体化”思路，依托大水源、建设大水厂、构建大管网，全面提升农村供水保障能力，强化农村供水工程运行管理和农村饮水安全状况动态监测。逐步建立节水型生产和生活方式，提高全社会用水效率和效益。</w:t>
      </w:r>
    </w:p>
    <w:p w14:paraId="0F9DAC04">
      <w:pPr>
        <w:adjustRightInd w:val="0"/>
        <w:snapToGrid w:val="0"/>
        <w:spacing w:line="580" w:lineRule="exact"/>
        <w:ind w:firstLine="602"/>
        <w:rPr>
          <w:rFonts w:eastAsia="方正仿宋_GBK"/>
          <w:color w:val="auto"/>
          <w:sz w:val="30"/>
          <w:szCs w:val="30"/>
        </w:rPr>
      </w:pPr>
      <w:r>
        <w:rPr>
          <w:rFonts w:hint="eastAsia" w:eastAsia="方正仿宋_GBK"/>
          <w:b/>
          <w:bCs/>
          <w:color w:val="auto"/>
          <w:sz w:val="30"/>
          <w:szCs w:val="30"/>
        </w:rPr>
        <w:t>大力推进防洪减灾体系建设。</w:t>
      </w:r>
      <w:r>
        <w:rPr>
          <w:rFonts w:hint="eastAsia" w:eastAsia="方正仿宋_GBK"/>
          <w:color w:val="auto"/>
          <w:sz w:val="30"/>
          <w:szCs w:val="30"/>
        </w:rPr>
        <w:t>推动重要堤防加固和重点易涝区能力建设，增强主要河流防洪能力，加快推进十里河、口泉河等中小河流治理，有序实施甘河、于家园河、峰子涧支沟河道整治和雷公山排洪渠山洪沟治理等工程，推动御河西韩岭乡北村</w:t>
      </w:r>
      <w:r>
        <w:rPr>
          <w:rFonts w:hint="eastAsia" w:eastAsia="方正仿宋_GBK"/>
          <w:color w:val="auto"/>
          <w:sz w:val="30"/>
          <w:szCs w:val="30"/>
          <w:lang w:eastAsia="zh-CN"/>
        </w:rPr>
        <w:t>—</w:t>
      </w:r>
      <w:r>
        <w:rPr>
          <w:rFonts w:hint="eastAsia" w:eastAsia="方正仿宋_GBK"/>
          <w:color w:val="auto"/>
          <w:sz w:val="30"/>
          <w:szCs w:val="30"/>
        </w:rPr>
        <w:t>谢店村段、口泉河和十里河工矿区段等重要河段防洪能力提档升级。建设具有“四预”功能的防洪调度平台，全面提升全区防洪调度能力水平。</w:t>
      </w:r>
    </w:p>
    <w:p w14:paraId="4A555263">
      <w:pPr>
        <w:adjustRightInd w:val="0"/>
        <w:snapToGrid w:val="0"/>
        <w:spacing w:line="580" w:lineRule="exact"/>
        <w:ind w:firstLine="602"/>
        <w:rPr>
          <w:rFonts w:eastAsia="方正仿宋_GBK"/>
          <w:color w:val="auto"/>
          <w:sz w:val="30"/>
          <w:szCs w:val="30"/>
        </w:rPr>
      </w:pPr>
      <w:r>
        <w:rPr>
          <w:rFonts w:hint="eastAsia" w:eastAsia="方正仿宋_GBK"/>
          <w:b/>
          <w:bCs/>
          <w:color w:val="auto"/>
          <w:sz w:val="30"/>
          <w:szCs w:val="30"/>
        </w:rPr>
        <w:t>加快构建数字孪生水网。</w:t>
      </w:r>
      <w:r>
        <w:rPr>
          <w:rFonts w:hint="eastAsia" w:eastAsia="方正仿宋_GBK"/>
          <w:color w:val="auto"/>
          <w:sz w:val="30"/>
          <w:szCs w:val="30"/>
        </w:rPr>
        <w:t>坚持“需求牵引、应用至上，数智赋能、提升能力”，完善水文、水资源、水利工程等监测站网布局，构建“天空地水工”一体化监测感知系统，为水网运行管理提供决策支持。将全区堤防、蓄水池、闸坝、排污口、取水口等各类水利工程逐步纳入已建成的智慧田长和“多长合一”智慧监管系统，建立完善全区“水利一张图”。坚持抓当前与谋长远并重，为全区数字孪生水利发展留足升级空间。</w:t>
      </w:r>
    </w:p>
    <w:p w14:paraId="21192A84">
      <w:pPr>
        <w:adjustRightInd w:val="0"/>
        <w:snapToGrid w:val="0"/>
        <w:spacing w:line="580" w:lineRule="exact"/>
        <w:ind w:firstLine="0" w:firstLineChars="0"/>
        <w:jc w:val="center"/>
        <w:outlineLvl w:val="1"/>
        <w:rPr>
          <w:rFonts w:eastAsia="方正楷体_GBK"/>
          <w:color w:val="auto"/>
          <w:sz w:val="30"/>
          <w:szCs w:val="30"/>
        </w:rPr>
      </w:pPr>
      <w:bookmarkStart w:id="267" w:name="_Toc1255507674"/>
      <w:bookmarkStart w:id="268" w:name="_Toc530350553"/>
      <w:bookmarkStart w:id="269" w:name="_Toc1964257199"/>
      <w:r>
        <w:rPr>
          <w:rFonts w:hint="eastAsia" w:eastAsia="方正楷体_GBK"/>
          <w:color w:val="auto"/>
          <w:sz w:val="30"/>
          <w:szCs w:val="30"/>
        </w:rPr>
        <w:t>第四节</w:t>
      </w:r>
      <w:r>
        <w:rPr>
          <w:rFonts w:eastAsia="方正楷体_GBK"/>
          <w:color w:val="auto"/>
          <w:sz w:val="30"/>
          <w:szCs w:val="30"/>
        </w:rPr>
        <w:t xml:space="preserve">  布局</w:t>
      </w:r>
      <w:r>
        <w:rPr>
          <w:rFonts w:hint="eastAsia" w:eastAsia="方正楷体_GBK"/>
          <w:color w:val="auto"/>
          <w:sz w:val="30"/>
          <w:szCs w:val="30"/>
        </w:rPr>
        <w:t>智能互联</w:t>
      </w:r>
      <w:r>
        <w:rPr>
          <w:rFonts w:eastAsia="方正楷体_GBK"/>
          <w:color w:val="auto"/>
          <w:sz w:val="30"/>
          <w:szCs w:val="30"/>
        </w:rPr>
        <w:t>新型基础设施</w:t>
      </w:r>
      <w:bookmarkEnd w:id="267"/>
      <w:bookmarkEnd w:id="268"/>
      <w:bookmarkEnd w:id="269"/>
    </w:p>
    <w:p w14:paraId="1A98C8A1">
      <w:pPr>
        <w:adjustRightInd w:val="0"/>
        <w:snapToGrid w:val="0"/>
        <w:spacing w:line="580" w:lineRule="exact"/>
        <w:ind w:firstLine="602"/>
        <w:rPr>
          <w:rFonts w:eastAsia="方正仿宋_GBK"/>
          <w:color w:val="auto"/>
          <w:sz w:val="30"/>
          <w:szCs w:val="30"/>
        </w:rPr>
      </w:pPr>
      <w:r>
        <w:rPr>
          <w:rFonts w:hint="eastAsia" w:eastAsia="方正仿宋_GBK"/>
          <w:b/>
          <w:bCs/>
          <w:color w:val="auto"/>
          <w:sz w:val="30"/>
          <w:szCs w:val="30"/>
        </w:rPr>
        <w:t>筑牢数字基础设施底座。</w:t>
      </w:r>
      <w:r>
        <w:rPr>
          <w:rFonts w:hint="eastAsia" w:eastAsia="方正仿宋_GBK"/>
          <w:color w:val="auto"/>
          <w:sz w:val="30"/>
          <w:szCs w:val="30"/>
        </w:rPr>
        <w:t>适度超前建设数字基础设施，有序推进5G网络向5G-A升级，推动</w:t>
      </w:r>
      <w:r>
        <w:rPr>
          <w:rFonts w:eastAsia="方正仿宋_GBK"/>
          <w:color w:val="auto"/>
          <w:sz w:val="30"/>
          <w:szCs w:val="30"/>
        </w:rPr>
        <w:t>IPv6规模部署和应用</w:t>
      </w:r>
      <w:r>
        <w:rPr>
          <w:rFonts w:hint="eastAsia" w:eastAsia="方正仿宋_GBK"/>
          <w:color w:val="auto"/>
          <w:sz w:val="30"/>
          <w:szCs w:val="30"/>
        </w:rPr>
        <w:t>，探索实现“</w:t>
      </w:r>
      <w:r>
        <w:rPr>
          <w:rFonts w:eastAsia="方正仿宋_GBK"/>
          <w:color w:val="auto"/>
          <w:sz w:val="30"/>
          <w:szCs w:val="30"/>
        </w:rPr>
        <w:t>5G+Wi</w:t>
      </w:r>
      <w:r>
        <w:rPr>
          <w:rFonts w:hint="eastAsia" w:eastAsia="方正仿宋_GBK"/>
          <w:color w:val="auto"/>
          <w:sz w:val="30"/>
          <w:szCs w:val="30"/>
        </w:rPr>
        <w:t>-</w:t>
      </w:r>
      <w:r>
        <w:rPr>
          <w:rFonts w:eastAsia="方正仿宋_GBK"/>
          <w:color w:val="auto"/>
          <w:sz w:val="30"/>
          <w:szCs w:val="30"/>
        </w:rPr>
        <w:t>Fi6</w:t>
      </w:r>
      <w:r>
        <w:rPr>
          <w:rFonts w:hint="eastAsia" w:eastAsia="方正仿宋_GBK"/>
          <w:color w:val="auto"/>
          <w:sz w:val="30"/>
          <w:szCs w:val="30"/>
        </w:rPr>
        <w:t>”</w:t>
      </w:r>
      <w:r>
        <w:rPr>
          <w:rFonts w:eastAsia="方正仿宋_GBK"/>
          <w:color w:val="auto"/>
          <w:sz w:val="30"/>
          <w:szCs w:val="30"/>
        </w:rPr>
        <w:t>在</w:t>
      </w:r>
      <w:r>
        <w:rPr>
          <w:rFonts w:hint="eastAsia" w:eastAsia="方正仿宋_GBK"/>
          <w:color w:val="auto"/>
          <w:sz w:val="30"/>
          <w:szCs w:val="30"/>
        </w:rPr>
        <w:t>交通枢纽和主要</w:t>
      </w:r>
      <w:r>
        <w:rPr>
          <w:rFonts w:eastAsia="方正仿宋_GBK"/>
          <w:color w:val="auto"/>
          <w:sz w:val="30"/>
          <w:szCs w:val="30"/>
        </w:rPr>
        <w:t>景区</w:t>
      </w:r>
      <w:r>
        <w:rPr>
          <w:rFonts w:hint="eastAsia" w:eastAsia="方正仿宋_GBK"/>
          <w:color w:val="auto"/>
          <w:sz w:val="30"/>
          <w:szCs w:val="30"/>
        </w:rPr>
        <w:t>深度覆盖，推动“</w:t>
      </w:r>
      <w:r>
        <w:rPr>
          <w:rFonts w:eastAsia="方正仿宋_GBK"/>
          <w:color w:val="auto"/>
          <w:sz w:val="30"/>
          <w:szCs w:val="30"/>
        </w:rPr>
        <w:t>双千兆</w:t>
      </w:r>
      <w:r>
        <w:rPr>
          <w:rFonts w:hint="eastAsia" w:eastAsia="方正仿宋_GBK"/>
          <w:color w:val="auto"/>
          <w:sz w:val="30"/>
          <w:szCs w:val="30"/>
        </w:rPr>
        <w:t>”</w:t>
      </w:r>
      <w:r>
        <w:rPr>
          <w:rFonts w:eastAsia="方正仿宋_GBK"/>
          <w:color w:val="auto"/>
          <w:sz w:val="30"/>
          <w:szCs w:val="30"/>
        </w:rPr>
        <w:t>网络</w:t>
      </w:r>
      <w:r>
        <w:rPr>
          <w:rFonts w:hint="eastAsia" w:eastAsia="方正仿宋_GBK"/>
          <w:color w:val="auto"/>
          <w:sz w:val="30"/>
          <w:szCs w:val="30"/>
        </w:rPr>
        <w:t>向乡镇和农村地区延伸。统筹推进绿色算力、边缘算力设施建设，深化算力电力协同，高水平建设光莆电子人工智能大数据能源管理系统、中能建低碳大数据中心等项目，布局绿电直连等配套设施。谋划布局区级低空飞行服务中心和分布式无人机自动机场、起降场，</w:t>
      </w:r>
      <w:r>
        <w:rPr>
          <w:rFonts w:eastAsia="方正仿宋_GBK"/>
          <w:color w:val="auto"/>
          <w:sz w:val="30"/>
          <w:szCs w:val="30"/>
        </w:rPr>
        <w:t>支持新建住宅、商业楼宇</w:t>
      </w:r>
      <w:r>
        <w:rPr>
          <w:rFonts w:hint="eastAsia" w:eastAsia="方正仿宋_GBK"/>
          <w:color w:val="auto"/>
          <w:sz w:val="30"/>
          <w:szCs w:val="30"/>
        </w:rPr>
        <w:t>布局</w:t>
      </w:r>
      <w:r>
        <w:rPr>
          <w:rFonts w:eastAsia="方正仿宋_GBK"/>
          <w:color w:val="auto"/>
          <w:sz w:val="30"/>
          <w:szCs w:val="30"/>
        </w:rPr>
        <w:t>低空基础设施</w:t>
      </w:r>
      <w:r>
        <w:rPr>
          <w:rFonts w:hint="eastAsia" w:eastAsia="方正仿宋_GBK"/>
          <w:color w:val="auto"/>
          <w:sz w:val="30"/>
          <w:szCs w:val="30"/>
        </w:rPr>
        <w:t>。</w:t>
      </w:r>
    </w:p>
    <w:p w14:paraId="2AE7FA1D">
      <w:pPr>
        <w:adjustRightInd w:val="0"/>
        <w:snapToGrid w:val="0"/>
        <w:spacing w:line="580" w:lineRule="exact"/>
        <w:ind w:firstLine="602"/>
        <w:rPr>
          <w:rFonts w:eastAsia="方正仿宋_GBK"/>
          <w:color w:val="auto"/>
          <w:sz w:val="30"/>
          <w:szCs w:val="30"/>
        </w:rPr>
      </w:pPr>
      <w:r>
        <w:rPr>
          <w:rFonts w:hint="eastAsia" w:eastAsia="方正仿宋_GBK"/>
          <w:b/>
          <w:bCs/>
          <w:color w:val="auto"/>
          <w:sz w:val="30"/>
          <w:szCs w:val="30"/>
        </w:rPr>
        <w:t>推进基础设施智能化改造。</w:t>
      </w:r>
      <w:r>
        <w:rPr>
          <w:rFonts w:hint="eastAsia" w:eastAsia="方正仿宋_GBK"/>
          <w:color w:val="auto"/>
          <w:sz w:val="30"/>
          <w:szCs w:val="30"/>
        </w:rPr>
        <w:t>建设网络化、智能化、协同化融合基础设施，支撑新产业、新业态发展。构建数字农业基础设施，推动建设智慧农业产业园、智慧农场。探索开展智慧物流，布局建设智能仓储基地和智慧物流产业园。开展数字能源</w:t>
      </w:r>
      <w:r>
        <w:rPr>
          <w:rFonts w:hint="eastAsia" w:eastAsia="方正仿宋_GBK"/>
          <w:color w:val="auto"/>
          <w:sz w:val="30"/>
          <w:szCs w:val="30"/>
          <w:lang w:val="en-US" w:eastAsia="zh-CN"/>
        </w:rPr>
        <w:t>建设</w:t>
      </w:r>
      <w:r>
        <w:rPr>
          <w:rFonts w:hint="eastAsia" w:eastAsia="方正仿宋_GBK"/>
          <w:color w:val="auto"/>
          <w:sz w:val="30"/>
          <w:szCs w:val="30"/>
        </w:rPr>
        <w:t>工程，培育智能煤矿、智慧电厂、智慧光伏项目。完善工业互联网标识解析体系，夯实数字化转型基础支撑。</w:t>
      </w:r>
    </w:p>
    <w:p w14:paraId="488546FF">
      <w:pPr>
        <w:pStyle w:val="14"/>
        <w:spacing w:line="580" w:lineRule="exact"/>
        <w:ind w:firstLine="602"/>
        <w:rPr>
          <w:rFonts w:eastAsia="方正仿宋_GBK"/>
          <w:color w:val="auto"/>
          <w:sz w:val="30"/>
          <w:szCs w:val="30"/>
        </w:rPr>
      </w:pPr>
      <w:r>
        <w:rPr>
          <w:rFonts w:hint="eastAsia" w:eastAsia="方正仿宋_GBK"/>
          <w:b/>
          <w:bCs/>
          <w:color w:val="auto"/>
          <w:sz w:val="30"/>
          <w:szCs w:val="30"/>
        </w:rPr>
        <w:t>建设城市数字公共基础设施。</w:t>
      </w:r>
      <w:r>
        <w:rPr>
          <w:rFonts w:hint="eastAsia" w:eastAsia="方正仿宋_GBK"/>
          <w:color w:val="auto"/>
          <w:sz w:val="30"/>
          <w:szCs w:val="30"/>
        </w:rPr>
        <w:t>推动数字技术综合赋能教育、医疗、康养、文旅、交通等领域，推进城市建筑、道路桥梁、园林绿地、地下管廊、水利水务、燃气热力、环境卫生等公共设施数字化改造、智能化运营。建设</w:t>
      </w:r>
      <w:r>
        <w:rPr>
          <w:rFonts w:eastAsia="方正仿宋_GBK"/>
          <w:color w:val="auto"/>
          <w:sz w:val="30"/>
          <w:szCs w:val="30"/>
        </w:rPr>
        <w:t>城市信息模型平台</w:t>
      </w:r>
      <w:r>
        <w:rPr>
          <w:rFonts w:hint="eastAsia" w:eastAsia="方正仿宋_GBK"/>
          <w:color w:val="auto"/>
          <w:sz w:val="30"/>
          <w:szCs w:val="30"/>
        </w:rPr>
        <w:t>，</w:t>
      </w:r>
      <w:r>
        <w:rPr>
          <w:rFonts w:eastAsia="方正仿宋_GBK"/>
          <w:color w:val="auto"/>
          <w:sz w:val="30"/>
          <w:szCs w:val="30"/>
        </w:rPr>
        <w:t>推动城市运行</w:t>
      </w:r>
      <w:r>
        <w:rPr>
          <w:rFonts w:hint="eastAsia" w:eastAsia="方正仿宋_GBK"/>
          <w:color w:val="auto"/>
          <w:sz w:val="30"/>
          <w:szCs w:val="30"/>
        </w:rPr>
        <w:t>“</w:t>
      </w:r>
      <w:r>
        <w:rPr>
          <w:rFonts w:eastAsia="方正仿宋_GBK"/>
          <w:color w:val="auto"/>
          <w:sz w:val="30"/>
          <w:szCs w:val="30"/>
        </w:rPr>
        <w:t>一网统管</w:t>
      </w:r>
      <w:r>
        <w:rPr>
          <w:rFonts w:hint="eastAsia" w:eastAsia="方正仿宋_GBK"/>
          <w:color w:val="auto"/>
          <w:sz w:val="30"/>
          <w:szCs w:val="30"/>
        </w:rPr>
        <w:t>”</w:t>
      </w:r>
      <w:r>
        <w:rPr>
          <w:rFonts w:eastAsia="方正仿宋_GBK"/>
          <w:color w:val="auto"/>
          <w:sz w:val="30"/>
          <w:szCs w:val="30"/>
        </w:rPr>
        <w:t>、公共服务</w:t>
      </w:r>
      <w:r>
        <w:rPr>
          <w:rFonts w:hint="eastAsia" w:eastAsia="方正仿宋_GBK"/>
          <w:color w:val="auto"/>
          <w:sz w:val="30"/>
          <w:szCs w:val="30"/>
        </w:rPr>
        <w:t>“</w:t>
      </w:r>
      <w:r>
        <w:rPr>
          <w:rFonts w:eastAsia="方正仿宋_GBK"/>
          <w:color w:val="auto"/>
          <w:sz w:val="30"/>
          <w:szCs w:val="30"/>
        </w:rPr>
        <w:t>一网通享</w:t>
      </w:r>
      <w:r>
        <w:rPr>
          <w:rFonts w:hint="eastAsia" w:eastAsia="方正仿宋_GBK"/>
          <w:color w:val="auto"/>
          <w:sz w:val="30"/>
          <w:szCs w:val="30"/>
        </w:rPr>
        <w:t>”，推动城市治理智慧化、精细化。</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4579D8BF">
        <w:tc>
          <w:tcPr>
            <w:tcW w:w="8296" w:type="dxa"/>
          </w:tcPr>
          <w:p w14:paraId="6F293C42">
            <w:pPr>
              <w:widowControl/>
              <w:adjustRightInd w:val="0"/>
              <w:snapToGrid w:val="0"/>
              <w:spacing w:line="500" w:lineRule="exact"/>
              <w:ind w:firstLine="0" w:firstLineChars="0"/>
              <w:jc w:val="center"/>
              <w:rPr>
                <w:rFonts w:eastAsia="Times New Roman" w:cs="Times New Roman"/>
                <w:color w:val="auto"/>
                <w:sz w:val="28"/>
                <w:szCs w:val="28"/>
              </w:rPr>
            </w:pPr>
            <w:r>
              <w:rPr>
                <w:rFonts w:hint="eastAsia" w:eastAsia="方正黑体_GBK" w:cs="Times New Roman"/>
                <w:color w:val="auto"/>
                <w:sz w:val="28"/>
                <w:szCs w:val="28"/>
              </w:rPr>
              <w:t>专栏7 基础设施建设重点工程</w:t>
            </w:r>
          </w:p>
          <w:p w14:paraId="4260ABBE">
            <w:pPr>
              <w:adjustRightInd w:val="0"/>
              <w:snapToGrid w:val="0"/>
              <w:spacing w:line="500" w:lineRule="exact"/>
              <w:ind w:firstLine="560"/>
              <w:rPr>
                <w:rFonts w:eastAsia="方正仿宋_GBK"/>
                <w:color w:val="auto"/>
                <w:sz w:val="28"/>
                <w:szCs w:val="28"/>
              </w:rPr>
            </w:pPr>
            <w:r>
              <w:rPr>
                <w:rFonts w:hint="eastAsia" w:eastAsia="方正黑体_GBK" w:cs="Times New Roman"/>
                <w:color w:val="auto"/>
                <w:sz w:val="28"/>
                <w:szCs w:val="28"/>
              </w:rPr>
              <w:t>综合交通网络建设重点工程。</w:t>
            </w:r>
            <w:r>
              <w:rPr>
                <w:rFonts w:hint="eastAsia" w:eastAsia="方正仿宋_GBK"/>
                <w:b/>
                <w:bCs/>
                <w:color w:val="auto"/>
                <w:sz w:val="28"/>
                <w:szCs w:val="28"/>
              </w:rPr>
              <w:t>高速公路：</w:t>
            </w:r>
            <w:r>
              <w:rPr>
                <w:rFonts w:hint="eastAsia" w:eastAsia="方正仿宋_GBK"/>
                <w:color w:val="auto"/>
                <w:sz w:val="28"/>
                <w:szCs w:val="28"/>
              </w:rPr>
              <w:t>大同绕城高速公路陈庄至肥村段工程。</w:t>
            </w:r>
            <w:r>
              <w:rPr>
                <w:rFonts w:hint="eastAsia" w:eastAsia="方正仿宋_GBK"/>
                <w:b/>
                <w:bCs/>
                <w:color w:val="auto"/>
                <w:sz w:val="28"/>
                <w:szCs w:val="28"/>
              </w:rPr>
              <w:t>国省干线公路：</w:t>
            </w:r>
            <w:r>
              <w:rPr>
                <w:rFonts w:hint="eastAsia" w:eastAsia="方正仿宋_GBK"/>
                <w:color w:val="auto"/>
                <w:sz w:val="28"/>
                <w:szCs w:val="28"/>
              </w:rPr>
              <w:t>国道109线改线工程、国道208线改线工程、省道214线（原省道339线）改线工程、省道S205云冈区段拓宽改造及五一桥互通立交建设工程。</w:t>
            </w:r>
            <w:r>
              <w:rPr>
                <w:rFonts w:hint="eastAsia" w:eastAsia="方正仿宋_GBK"/>
                <w:b/>
                <w:bCs/>
                <w:color w:val="auto"/>
                <w:sz w:val="28"/>
                <w:szCs w:val="28"/>
              </w:rPr>
              <w:t>市政道路：</w:t>
            </w:r>
            <w:r>
              <w:rPr>
                <w:rFonts w:hint="eastAsia" w:eastAsia="方正仿宋_GBK"/>
                <w:color w:val="auto"/>
                <w:sz w:val="28"/>
                <w:szCs w:val="28"/>
              </w:rPr>
              <w:t>旺泉路北延道路建设工程、校南街西延市政道路建设工程、煤海大道北延道路建设工程。</w:t>
            </w:r>
            <w:r>
              <w:rPr>
                <w:rFonts w:hint="eastAsia" w:eastAsia="方正仿宋_GBK"/>
                <w:b/>
                <w:bCs/>
                <w:color w:val="auto"/>
                <w:sz w:val="28"/>
                <w:szCs w:val="28"/>
              </w:rPr>
              <w:t>旅游公路：</w:t>
            </w:r>
            <w:r>
              <w:rPr>
                <w:rFonts w:hint="eastAsia" w:eastAsia="方正仿宋_GBK"/>
                <w:color w:val="auto"/>
                <w:sz w:val="28"/>
                <w:szCs w:val="28"/>
              </w:rPr>
              <w:t>王家园至云冈石窟旅游公路改造工程、魏都水世界西-G208大秦铁路桥公路改造工程、长城一号旅游公路配套设施、云冈景区出口桥梁和引道工程。</w:t>
            </w:r>
            <w:r>
              <w:rPr>
                <w:rFonts w:hint="eastAsia" w:eastAsia="方正仿宋_GBK"/>
                <w:b/>
                <w:bCs/>
                <w:color w:val="auto"/>
                <w:sz w:val="28"/>
                <w:szCs w:val="28"/>
              </w:rPr>
              <w:t>县乡公路：</w:t>
            </w:r>
            <w:r>
              <w:rPr>
                <w:rFonts w:hint="eastAsia" w:eastAsia="方正仿宋_GBK"/>
                <w:color w:val="auto"/>
                <w:sz w:val="28"/>
                <w:szCs w:val="28"/>
              </w:rPr>
              <w:t>县道新黑线改造工程、县道兴王线改造工程、县道云店线荣华皂</w:t>
            </w:r>
            <w:r>
              <w:rPr>
                <w:rFonts w:hint="eastAsia" w:eastAsia="方正仿宋_GBK"/>
                <w:color w:val="auto"/>
                <w:sz w:val="28"/>
                <w:szCs w:val="28"/>
                <w:lang w:val="en-US" w:eastAsia="zh-CN"/>
              </w:rPr>
              <w:t>—</w:t>
            </w:r>
            <w:r>
              <w:rPr>
                <w:rFonts w:hint="eastAsia" w:eastAsia="方正仿宋_GBK"/>
                <w:color w:val="auto"/>
                <w:sz w:val="28"/>
                <w:szCs w:val="28"/>
              </w:rPr>
              <w:t>东店湾段公路改造工程、乡道塔儿村</w:t>
            </w:r>
            <w:r>
              <w:rPr>
                <w:rFonts w:hint="eastAsia" w:eastAsia="方正仿宋_GBK"/>
                <w:color w:val="auto"/>
                <w:sz w:val="28"/>
                <w:szCs w:val="28"/>
                <w:lang w:val="en-US" w:eastAsia="zh-CN"/>
              </w:rPr>
              <w:t>—</w:t>
            </w:r>
            <w:r>
              <w:rPr>
                <w:rFonts w:hint="eastAsia" w:eastAsia="方正仿宋_GBK"/>
                <w:color w:val="auto"/>
                <w:sz w:val="28"/>
                <w:szCs w:val="28"/>
              </w:rPr>
              <w:t>冯庄线漫水桥修复改造工程、乡道姜家湾</w:t>
            </w:r>
            <w:r>
              <w:rPr>
                <w:rFonts w:hint="eastAsia" w:eastAsia="方正仿宋_GBK"/>
                <w:color w:val="auto"/>
                <w:sz w:val="28"/>
                <w:szCs w:val="28"/>
                <w:lang w:val="en-US" w:eastAsia="zh-CN"/>
              </w:rPr>
              <w:t>—</w:t>
            </w:r>
            <w:r>
              <w:rPr>
                <w:rFonts w:hint="eastAsia" w:eastAsia="方正仿宋_GBK"/>
                <w:color w:val="auto"/>
                <w:sz w:val="28"/>
                <w:szCs w:val="28"/>
              </w:rPr>
              <w:t>三道沟线公路改造工程</w:t>
            </w:r>
            <w:r>
              <w:rPr>
                <w:rFonts w:hint="eastAsia" w:eastAsia="方正仿宋_GBK"/>
                <w:color w:val="auto"/>
                <w:sz w:val="28"/>
                <w:szCs w:val="28"/>
                <w:lang w:eastAsia="zh-CN"/>
              </w:rPr>
              <w:t>、</w:t>
            </w:r>
            <w:r>
              <w:rPr>
                <w:rFonts w:hint="eastAsia" w:eastAsia="方正仿宋_GBK"/>
                <w:color w:val="auto"/>
                <w:sz w:val="28"/>
                <w:szCs w:val="28"/>
                <w:lang w:val="en-US" w:eastAsia="zh-CN"/>
              </w:rPr>
              <w:t>乡道兴旺庄—荣华皂线公路改造工程</w:t>
            </w:r>
            <w:r>
              <w:rPr>
                <w:rFonts w:hint="eastAsia" w:eastAsia="方正仿宋_GBK"/>
                <w:color w:val="auto"/>
                <w:sz w:val="28"/>
                <w:szCs w:val="28"/>
              </w:rPr>
              <w:t>。</w:t>
            </w:r>
            <w:r>
              <w:rPr>
                <w:rFonts w:hint="eastAsia" w:eastAsia="方正仿宋_GBK"/>
                <w:b/>
                <w:bCs/>
                <w:color w:val="auto"/>
                <w:sz w:val="28"/>
                <w:szCs w:val="28"/>
              </w:rPr>
              <w:t>园区公路：</w:t>
            </w:r>
            <w:r>
              <w:rPr>
                <w:rFonts w:hint="eastAsia" w:eastAsia="方正仿宋_GBK"/>
                <w:color w:val="auto"/>
                <w:sz w:val="28"/>
                <w:szCs w:val="28"/>
              </w:rPr>
              <w:t>经开区现代煤化工对外通道工程、经开区煤化工园区纵一路新建工程、经开区煤化工园区横一路新建工程、经开区清洁能源产业园配套道路。</w:t>
            </w:r>
          </w:p>
          <w:p w14:paraId="42DCDA38">
            <w:pPr>
              <w:adjustRightInd w:val="0"/>
              <w:snapToGrid w:val="0"/>
              <w:spacing w:line="500" w:lineRule="exact"/>
              <w:ind w:firstLine="560"/>
              <w:rPr>
                <w:rFonts w:eastAsia="方正仿宋_GBK"/>
                <w:color w:val="auto"/>
                <w:sz w:val="28"/>
                <w:szCs w:val="28"/>
              </w:rPr>
            </w:pPr>
            <w:r>
              <w:rPr>
                <w:rFonts w:hint="eastAsia" w:eastAsia="方正黑体_GBK" w:cs="Times New Roman"/>
                <w:color w:val="auto"/>
                <w:sz w:val="28"/>
                <w:szCs w:val="28"/>
              </w:rPr>
              <w:t>新型能源体系构建重点工程。</w:t>
            </w:r>
            <w:r>
              <w:rPr>
                <w:rFonts w:hint="eastAsia" w:eastAsia="方正仿宋_GBK"/>
                <w:color w:val="auto"/>
                <w:sz w:val="28"/>
                <w:szCs w:val="28"/>
              </w:rPr>
              <w:t>山西晋北采煤沉陷区新能源基地（云冈）220kV升压站及送出工程、煤化工园区道路工程规划110KV变电站建设项目、新能源充换电重卡换电站项目。</w:t>
            </w:r>
          </w:p>
          <w:p w14:paraId="5445A2F0">
            <w:pPr>
              <w:adjustRightInd w:val="0"/>
              <w:snapToGrid w:val="0"/>
              <w:spacing w:line="500" w:lineRule="exact"/>
              <w:ind w:firstLine="560"/>
              <w:rPr>
                <w:rFonts w:eastAsia="方正仿宋_GBK"/>
                <w:color w:val="auto"/>
                <w:sz w:val="28"/>
                <w:szCs w:val="28"/>
              </w:rPr>
            </w:pPr>
            <w:r>
              <w:rPr>
                <w:rFonts w:hint="eastAsia" w:eastAsia="方正黑体_GBK"/>
                <w:color w:val="auto"/>
                <w:sz w:val="28"/>
                <w:szCs w:val="28"/>
              </w:rPr>
              <w:t>现代水网建设重点工程。</w:t>
            </w:r>
            <w:r>
              <w:rPr>
                <w:rFonts w:hint="eastAsia" w:eastAsia="方正仿宋_GBK"/>
                <w:color w:val="auto"/>
                <w:sz w:val="28"/>
                <w:szCs w:val="28"/>
              </w:rPr>
              <w:t>甘河防洪治理工程、于家园河河道整治工程、峰子涧支沟河道整治工程、雷公山排洪渠山洪沟治理工程、口泉乡井灌片区水源置换工程、西韩岭乡御河片区水源置换工程、农村集中连片供水工程。</w:t>
            </w:r>
          </w:p>
        </w:tc>
      </w:tr>
      <w:bookmarkEnd w:id="250"/>
    </w:tbl>
    <w:p w14:paraId="10DB44F6">
      <w:pPr>
        <w:spacing w:line="580" w:lineRule="exact"/>
        <w:ind w:firstLine="480"/>
        <w:rPr>
          <w:rFonts w:eastAsia="方正黑体_GBK" w:cs="方正黑体_GBK"/>
          <w:color w:val="auto"/>
        </w:rPr>
      </w:pPr>
      <w:bookmarkStart w:id="270" w:name="_Toc1285866140"/>
      <w:bookmarkStart w:id="271" w:name="_Toc168414335"/>
      <w:bookmarkStart w:id="272" w:name="_Toc623122614"/>
      <w:bookmarkStart w:id="273" w:name="_Toc1833422421"/>
      <w:r>
        <w:rPr>
          <w:rFonts w:hint="eastAsia" w:eastAsia="方正黑体_GBK" w:cs="方正黑体_GBK"/>
          <w:color w:val="auto"/>
        </w:rPr>
        <w:br w:type="page"/>
      </w:r>
    </w:p>
    <w:p w14:paraId="38769608">
      <w:pPr>
        <w:pStyle w:val="61"/>
        <w:spacing w:before="0" w:beforeLines="-2147483648" w:after="0" w:afterLines="-2147483648" w:line="580" w:lineRule="exact"/>
        <w:ind w:firstLine="0" w:firstLineChars="0"/>
        <w:jc w:val="center"/>
        <w:rPr>
          <w:rFonts w:ascii="Times New Roman" w:hAnsi="Times New Roman" w:eastAsia="方正黑体_GBK" w:cs="方正黑体_GBK"/>
          <w:color w:val="auto"/>
        </w:rPr>
      </w:pPr>
      <w:bookmarkStart w:id="274" w:name="_Toc4638262"/>
      <w:bookmarkStart w:id="275" w:name="_Toc1544609221"/>
      <w:r>
        <w:rPr>
          <w:rFonts w:hint="eastAsia" w:ascii="Times New Roman" w:hAnsi="Times New Roman" w:eastAsia="方正黑体_GBK" w:cs="方正黑体_GBK"/>
          <w:color w:val="auto"/>
        </w:rPr>
        <w:t>第十一章 做强开发区主阵地 打造转型发展增长极</w:t>
      </w:r>
      <w:bookmarkEnd w:id="270"/>
      <w:bookmarkEnd w:id="271"/>
      <w:bookmarkEnd w:id="274"/>
      <w:bookmarkEnd w:id="275"/>
    </w:p>
    <w:p w14:paraId="4D2A5CD1">
      <w:pPr>
        <w:spacing w:line="580" w:lineRule="exact"/>
        <w:ind w:firstLine="600"/>
        <w:rPr>
          <w:rFonts w:eastAsia="方正仿宋_GBK" w:cs="Times New Roman"/>
          <w:color w:val="auto"/>
          <w:sz w:val="30"/>
          <w:szCs w:val="30"/>
        </w:rPr>
      </w:pPr>
      <w:r>
        <w:rPr>
          <w:rFonts w:hint="eastAsia" w:eastAsia="方正仿宋_GBK" w:cs="Times New Roman"/>
          <w:color w:val="auto"/>
          <w:sz w:val="30"/>
          <w:szCs w:val="30"/>
        </w:rPr>
        <w:t>充分发挥云冈经济技术开发区转型主战场作用，错位推动产业转型，推动园区差异化、集群化、集约化发展，实现经开区发展能级、招商引资效能和管理体制效能“三个倍增”，打造全区高质量发展核心引擎。</w:t>
      </w:r>
    </w:p>
    <w:p w14:paraId="63A8C2B0">
      <w:pPr>
        <w:spacing w:line="580" w:lineRule="exact"/>
        <w:ind w:firstLine="0" w:firstLineChars="0"/>
        <w:jc w:val="center"/>
        <w:outlineLvl w:val="1"/>
        <w:rPr>
          <w:rFonts w:eastAsia="楷体" w:cs="方正仿宋_GBK"/>
          <w:b/>
          <w:bCs/>
          <w:color w:val="auto"/>
          <w:sz w:val="30"/>
          <w:szCs w:val="30"/>
        </w:rPr>
      </w:pPr>
      <w:bookmarkStart w:id="276" w:name="_Toc156281599"/>
      <w:bookmarkStart w:id="277" w:name="_Toc1424275219"/>
      <w:bookmarkStart w:id="278" w:name="_Toc645858142"/>
      <w:bookmarkStart w:id="279" w:name="_Toc1464852411"/>
      <w:r>
        <w:rPr>
          <w:rFonts w:hint="eastAsia" w:eastAsia="楷体" w:cs="Times New Roman"/>
          <w:color w:val="auto"/>
          <w:sz w:val="30"/>
          <w:szCs w:val="30"/>
        </w:rPr>
        <w:t>第一节  持续增强四园发展能级</w:t>
      </w:r>
      <w:bookmarkEnd w:id="276"/>
      <w:bookmarkEnd w:id="277"/>
      <w:bookmarkEnd w:id="278"/>
      <w:bookmarkEnd w:id="279"/>
    </w:p>
    <w:p w14:paraId="4EC76219">
      <w:pPr>
        <w:pStyle w:val="65"/>
        <w:spacing w:line="580" w:lineRule="exact"/>
        <w:ind w:firstLine="602"/>
        <w:rPr>
          <w:rFonts w:eastAsia="方正仿宋_GBK" w:cs="方正仿宋_GBK"/>
          <w:b/>
          <w:bCs/>
          <w:color w:val="auto"/>
          <w:sz w:val="30"/>
          <w:szCs w:val="30"/>
        </w:rPr>
      </w:pPr>
      <w:r>
        <w:rPr>
          <w:rFonts w:hint="eastAsia" w:eastAsia="方正仿宋_GBK" w:cs="方正仿宋_GBK"/>
          <w:b/>
          <w:bCs/>
          <w:color w:val="auto"/>
          <w:sz w:val="30"/>
          <w:szCs w:val="30"/>
        </w:rPr>
        <w:t>因地制宜推进四园转型发展。</w:t>
      </w:r>
      <w:r>
        <w:rPr>
          <w:rFonts w:hint="eastAsia" w:eastAsia="方正仿宋_GBK" w:cs="方正仿宋_GBK"/>
          <w:color w:val="auto"/>
          <w:sz w:val="30"/>
          <w:szCs w:val="30"/>
          <w:lang w:bidi="ar"/>
        </w:rPr>
        <w:t>锚定四园发展基础，差异化确立发展路径。以固废综合治理和资源化利用为核心育强塔山循环产业园，重点培育储能装备及低碳建材，打造全省领先的固废资源利用产业高地。推动同忻循环产业园存量提质增效，</w:t>
      </w:r>
      <w:r>
        <w:rPr>
          <w:rFonts w:hint="eastAsia" w:eastAsia="方正仿宋_GBK" w:cs="方正仿宋_GBK"/>
          <w:color w:val="auto"/>
          <w:sz w:val="30"/>
          <w:szCs w:val="30"/>
        </w:rPr>
        <w:t>引导有条件企业共享厂房与仓储设施，</w:t>
      </w:r>
      <w:r>
        <w:rPr>
          <w:rFonts w:hint="eastAsia" w:eastAsia="方正仿宋_GBK" w:cs="方正仿宋_GBK"/>
          <w:color w:val="auto"/>
          <w:sz w:val="30"/>
          <w:szCs w:val="30"/>
          <w:lang w:bidi="ar"/>
        </w:rPr>
        <w:t>推动煤机装备智能化升级与绿色建材发展，形成多元协同的产业格局。强化清洁能源产业园新兴产业引领，聚焦新能源、碳纤维及算力产业，建设创新驱动、特色鲜明的清洁能源产业集聚区。加强现代煤化工产业园绿色制造配套与物流枢纽建设，</w:t>
      </w:r>
      <w:r>
        <w:rPr>
          <w:rFonts w:hint="eastAsia" w:eastAsia="方正仿宋_GBK" w:cs="方正仿宋_GBK"/>
          <w:color w:val="auto"/>
          <w:sz w:val="30"/>
          <w:szCs w:val="30"/>
        </w:rPr>
        <w:t>引入工业固废精细化加工与节能设备维保企业，</w:t>
      </w:r>
      <w:r>
        <w:rPr>
          <w:rFonts w:hint="eastAsia" w:eastAsia="方正仿宋_GBK" w:cs="方正仿宋_GBK"/>
          <w:color w:val="auto"/>
          <w:sz w:val="30"/>
          <w:szCs w:val="30"/>
          <w:lang w:bidi="ar"/>
        </w:rPr>
        <w:t>为全区能源转型提供坚实支撑。</w:t>
      </w:r>
    </w:p>
    <w:p w14:paraId="5EE04E04">
      <w:pPr>
        <w:pStyle w:val="65"/>
        <w:widowControl/>
        <w:spacing w:line="580" w:lineRule="exact"/>
        <w:ind w:firstLine="602"/>
        <w:rPr>
          <w:rFonts w:eastAsia="方正仿宋_GBK" w:cs="方正仿宋_GBK"/>
          <w:color w:val="auto"/>
          <w:sz w:val="30"/>
          <w:szCs w:val="30"/>
        </w:rPr>
      </w:pPr>
      <w:r>
        <w:rPr>
          <w:rFonts w:hint="eastAsia" w:eastAsia="方正仿宋_GBK" w:cs="方正仿宋_GBK"/>
          <w:b/>
          <w:bCs/>
          <w:color w:val="auto"/>
          <w:sz w:val="30"/>
          <w:szCs w:val="30"/>
        </w:rPr>
        <w:t>完善基础设施与公共服务配套</w:t>
      </w:r>
      <w:r>
        <w:rPr>
          <w:rFonts w:hint="eastAsia" w:eastAsia="方正仿宋_GBK" w:cs="方正仿宋_GBK"/>
          <w:color w:val="auto"/>
          <w:sz w:val="30"/>
          <w:szCs w:val="30"/>
        </w:rPr>
        <w:t>。大力发展绿色物流，打造区域物流枢纽，发挥韩家岭综合物流优势，扩建智能仓储中心，升级物流信息平台，实现资源集约利用与废弃物协同处置。加强园区安全水平和硬件条件，强化园区基础设施建设与35KV变电站、工业污水处理厂等服务供给，</w:t>
      </w:r>
      <w:r>
        <w:rPr>
          <w:rFonts w:hint="eastAsia" w:ascii="Times New Roman" w:hAnsi="Times New Roman" w:eastAsia="方正仿宋_GBK" w:cs="方正仿宋_GBK"/>
          <w:color w:val="auto"/>
          <w:sz w:val="30"/>
          <w:szCs w:val="30"/>
        </w:rPr>
        <w:t>推行厂房与办公楼的定制化改造服务</w:t>
      </w:r>
      <w:r>
        <w:rPr>
          <w:rFonts w:hint="eastAsia" w:eastAsia="方正仿宋_GBK" w:cs="方正仿宋_GBK"/>
          <w:color w:val="auto"/>
          <w:sz w:val="30"/>
          <w:szCs w:val="30"/>
        </w:rPr>
        <w:t>，提供生态型服务保障。充分利用闲置厂区，打造人才资源平台和投融资平台，优化产业发展生态。</w:t>
      </w:r>
    </w:p>
    <w:p w14:paraId="1412C6D0">
      <w:pPr>
        <w:pStyle w:val="65"/>
        <w:widowControl/>
        <w:spacing w:line="580" w:lineRule="exact"/>
        <w:ind w:firstLine="602"/>
        <w:rPr>
          <w:rFonts w:eastAsia="方正仿宋_GBK" w:cs="方正仿宋_GBK"/>
          <w:b/>
          <w:bCs/>
          <w:color w:val="auto"/>
          <w:sz w:val="30"/>
          <w:szCs w:val="30"/>
        </w:rPr>
      </w:pPr>
      <w:r>
        <w:rPr>
          <w:rFonts w:hint="eastAsia" w:eastAsia="方正仿宋_GBK" w:cs="方正仿宋_GBK"/>
          <w:b/>
          <w:bCs/>
          <w:color w:val="auto"/>
          <w:sz w:val="30"/>
          <w:szCs w:val="30"/>
        </w:rPr>
        <w:t>打造绿智赋能特色园区。</w:t>
      </w:r>
      <w:r>
        <w:rPr>
          <w:rFonts w:hint="eastAsia" w:eastAsia="方正仿宋_GBK" w:cs="方正仿宋_GBK"/>
          <w:b w:val="0"/>
          <w:bCs w:val="0"/>
          <w:color w:val="auto"/>
          <w:sz w:val="30"/>
          <w:szCs w:val="30"/>
        </w:rPr>
        <w:t>以精准服务企业核心需求为导向，重点打造绿电园区、零碳园区、固废园区</w:t>
      </w:r>
      <w:r>
        <w:rPr>
          <w:rFonts w:hint="eastAsia" w:eastAsia="方正仿宋_GBK" w:cs="方正仿宋_GBK"/>
          <w:color w:val="auto"/>
          <w:sz w:val="30"/>
          <w:szCs w:val="30"/>
        </w:rPr>
        <w:t>等</w:t>
      </w:r>
      <w:r>
        <w:rPr>
          <w:rFonts w:hint="eastAsia" w:eastAsia="方正仿宋_GBK" w:cs="方正仿宋_GBK"/>
          <w:b w:val="0"/>
          <w:bCs w:val="0"/>
          <w:color w:val="auto"/>
          <w:sz w:val="30"/>
          <w:szCs w:val="30"/>
        </w:rPr>
        <w:t>特色</w:t>
      </w:r>
      <w:r>
        <w:rPr>
          <w:rFonts w:hint="eastAsia" w:eastAsia="方正仿宋_GBK" w:cs="方正仿宋_GBK"/>
          <w:color w:val="auto"/>
          <w:sz w:val="30"/>
          <w:szCs w:val="30"/>
        </w:rPr>
        <w:t>园区</w:t>
      </w:r>
      <w:r>
        <w:rPr>
          <w:rFonts w:hint="eastAsia" w:eastAsia="方正仿宋_GBK" w:cs="方正仿宋_GBK"/>
          <w:b w:val="0"/>
          <w:bCs w:val="0"/>
          <w:color w:val="auto"/>
          <w:sz w:val="30"/>
          <w:szCs w:val="30"/>
        </w:rPr>
        <w:t>，通过资源共享、服务集成</w:t>
      </w:r>
      <w:r>
        <w:rPr>
          <w:rFonts w:hint="eastAsia" w:eastAsia="方正仿宋_GBK" w:cs="方正仿宋_GBK"/>
          <w:color w:val="auto"/>
          <w:sz w:val="30"/>
          <w:szCs w:val="30"/>
        </w:rPr>
        <w:t>助力</w:t>
      </w:r>
      <w:r>
        <w:rPr>
          <w:rFonts w:hint="eastAsia" w:eastAsia="方正仿宋_GBK" w:cs="方正仿宋_GBK"/>
          <w:b w:val="0"/>
          <w:bCs w:val="0"/>
          <w:color w:val="auto"/>
          <w:sz w:val="30"/>
          <w:szCs w:val="30"/>
        </w:rPr>
        <w:t>企业压缩成本、提升效益。整合风电、光伏等</w:t>
      </w:r>
      <w:r>
        <w:rPr>
          <w:rFonts w:hint="eastAsia" w:eastAsia="方正仿宋_GBK" w:cs="方正仿宋_GBK"/>
          <w:color w:val="auto"/>
          <w:sz w:val="30"/>
          <w:szCs w:val="30"/>
        </w:rPr>
        <w:t>可再生能源</w:t>
      </w:r>
      <w:r>
        <w:rPr>
          <w:rFonts w:hint="eastAsia" w:eastAsia="方正仿宋_GBK" w:cs="方正仿宋_GBK"/>
          <w:b w:val="0"/>
          <w:bCs w:val="0"/>
          <w:color w:val="auto"/>
          <w:sz w:val="30"/>
          <w:szCs w:val="30"/>
        </w:rPr>
        <w:t>，</w:t>
      </w:r>
      <w:r>
        <w:rPr>
          <w:rFonts w:hint="eastAsia" w:eastAsia="方正仿宋_GBK" w:cs="方正仿宋_GBK"/>
          <w:color w:val="auto"/>
          <w:sz w:val="30"/>
          <w:szCs w:val="30"/>
        </w:rPr>
        <w:t>采用“绿电专线+绿电专变”的绿电直供方式，</w:t>
      </w:r>
      <w:r>
        <w:rPr>
          <w:rFonts w:hint="eastAsia" w:eastAsia="方正仿宋_GBK" w:cs="方正仿宋_GBK"/>
          <w:color w:val="auto"/>
          <w:sz w:val="30"/>
          <w:szCs w:val="30"/>
          <w:lang w:val="en-US" w:eastAsia="zh-CN"/>
        </w:rPr>
        <w:t>探索</w:t>
      </w:r>
      <w:r>
        <w:rPr>
          <w:rFonts w:hint="eastAsia" w:eastAsia="方正仿宋_GBK" w:cs="方正仿宋_GBK"/>
          <w:b w:val="0"/>
          <w:bCs w:val="0"/>
          <w:color w:val="auto"/>
          <w:sz w:val="30"/>
          <w:szCs w:val="30"/>
          <w:lang w:val="en-US" w:eastAsia="zh-CN"/>
        </w:rPr>
        <w:t>打造绿电园区</w:t>
      </w:r>
      <w:r>
        <w:rPr>
          <w:rFonts w:hint="eastAsia" w:eastAsia="方正仿宋_GBK" w:cs="方正仿宋_GBK"/>
          <w:color w:val="auto"/>
          <w:sz w:val="30"/>
          <w:szCs w:val="30"/>
        </w:rPr>
        <w:t>。全力打造零碳园区样板，</w:t>
      </w:r>
      <w:r>
        <w:rPr>
          <w:rFonts w:hint="eastAsia" w:eastAsia="方正仿宋_GBK" w:cs="方正仿宋_GBK"/>
          <w:b w:val="0"/>
          <w:bCs w:val="0"/>
          <w:color w:val="auto"/>
          <w:sz w:val="30"/>
          <w:szCs w:val="30"/>
        </w:rPr>
        <w:t>形成可复制的“绿电支撑+零碳管理”模式，推动更多企业低碳转型、提质增效。</w:t>
      </w:r>
    </w:p>
    <w:p w14:paraId="397B58D9">
      <w:pPr>
        <w:spacing w:line="580" w:lineRule="exact"/>
        <w:ind w:firstLine="0" w:firstLineChars="0"/>
        <w:jc w:val="center"/>
        <w:outlineLvl w:val="1"/>
        <w:rPr>
          <w:rFonts w:eastAsia="楷体" w:cs="Times New Roman"/>
          <w:color w:val="auto"/>
          <w:sz w:val="30"/>
          <w:szCs w:val="30"/>
        </w:rPr>
      </w:pPr>
      <w:bookmarkStart w:id="280" w:name="_Toc1940876271"/>
      <w:bookmarkStart w:id="281" w:name="_Toc1021942469"/>
      <w:bookmarkStart w:id="282" w:name="_Toc1555440656"/>
      <w:r>
        <w:rPr>
          <w:rFonts w:hint="eastAsia" w:eastAsia="楷体"/>
          <w:color w:val="auto"/>
          <w:sz w:val="30"/>
          <w:szCs w:val="30"/>
        </w:rPr>
        <w:t xml:space="preserve">第二节  </w:t>
      </w:r>
      <w:bookmarkStart w:id="283" w:name="_Toc252334112"/>
      <w:r>
        <w:rPr>
          <w:rFonts w:hint="eastAsia" w:eastAsia="楷体" w:cs="Times New Roman"/>
          <w:color w:val="auto"/>
          <w:sz w:val="30"/>
          <w:szCs w:val="30"/>
        </w:rPr>
        <w:t>提升招商引资</w:t>
      </w:r>
      <w:bookmarkEnd w:id="280"/>
      <w:r>
        <w:rPr>
          <w:rFonts w:hint="eastAsia" w:eastAsia="楷体" w:cs="Times New Roman"/>
          <w:color w:val="auto"/>
          <w:sz w:val="30"/>
          <w:szCs w:val="30"/>
        </w:rPr>
        <w:t>实效与</w:t>
      </w:r>
      <w:bookmarkEnd w:id="283"/>
      <w:r>
        <w:rPr>
          <w:rFonts w:hint="eastAsia" w:eastAsia="楷体" w:cs="Times New Roman"/>
          <w:color w:val="auto"/>
          <w:sz w:val="30"/>
          <w:szCs w:val="30"/>
        </w:rPr>
        <w:t>水平</w:t>
      </w:r>
      <w:bookmarkEnd w:id="281"/>
      <w:bookmarkEnd w:id="282"/>
    </w:p>
    <w:p w14:paraId="434266E5">
      <w:pPr>
        <w:spacing w:line="580" w:lineRule="exact"/>
        <w:ind w:firstLine="602"/>
        <w:rPr>
          <w:rFonts w:eastAsia="方正仿宋_GBK" w:cs="方正仿宋_GBK"/>
          <w:color w:val="auto"/>
          <w:sz w:val="30"/>
          <w:szCs w:val="30"/>
        </w:rPr>
      </w:pPr>
      <w:r>
        <w:rPr>
          <w:rFonts w:hint="eastAsia" w:eastAsia="方正仿宋_GBK" w:cs="方正仿宋_GBK"/>
          <w:b/>
          <w:bCs/>
          <w:color w:val="auto"/>
          <w:sz w:val="30"/>
          <w:szCs w:val="30"/>
        </w:rPr>
        <w:t>精准开展产业链招商</w:t>
      </w:r>
      <w:r>
        <w:rPr>
          <w:rFonts w:hint="eastAsia" w:eastAsia="方正仿宋_GBK" w:cs="方正仿宋_GBK"/>
          <w:color w:val="auto"/>
          <w:sz w:val="30"/>
          <w:szCs w:val="30"/>
        </w:rPr>
        <w:t>。按照主导产业、错位发展、共生互补的原则，瞄准新材料、固废利用、储能、大数据、电动重卡等上下游关键环节，按照“以群引链，以链撑群”的思路，完善重点产业链图谱，吸引上下游配套企业集聚，弥补产业链关键环节缺口。发挥“三大招商平台”作用，积极对接京津冀、长三角、粤港澳大湾区等地区，引进一批具有核心竞争力的头部企业，推动共建产业合作园区。建立并动态更新项目储备库，完善“产业链研究—精准跟踪对接—推进解决—项目签约落地”的闭环机制。</w:t>
      </w:r>
    </w:p>
    <w:p w14:paraId="3156ABD5">
      <w:pPr>
        <w:pStyle w:val="36"/>
        <w:autoSpaceDE/>
        <w:autoSpaceDN/>
        <w:spacing w:line="580" w:lineRule="exact"/>
        <w:ind w:firstLine="602" w:firstLineChars="200"/>
        <w:rPr>
          <w:rFonts w:eastAsia="方正仿宋_GBK" w:cs="方正仿宋_GBK"/>
          <w:color w:val="auto"/>
          <w:sz w:val="30"/>
          <w:szCs w:val="30"/>
        </w:rPr>
      </w:pPr>
      <w:r>
        <w:rPr>
          <w:rFonts w:hint="eastAsia" w:eastAsia="方正仿宋_GBK" w:cs="方正仿宋_GBK"/>
          <w:b/>
          <w:bCs/>
          <w:color w:val="auto"/>
          <w:sz w:val="30"/>
          <w:szCs w:val="30"/>
        </w:rPr>
        <w:t>建设数智化园区平台。</w:t>
      </w:r>
      <w:r>
        <w:rPr>
          <w:rFonts w:hint="eastAsia" w:eastAsia="方正仿宋_GBK" w:cs="方正仿宋_GBK"/>
          <w:color w:val="auto"/>
          <w:sz w:val="30"/>
          <w:szCs w:val="30"/>
        </w:rPr>
        <w:t>依托开发区内绿电园区、零碳园区等载体建设，整合现有企业运营与政府监管平台资源，打造覆盖企业全生命周期的监测与服务一体化工业互联网平台。推动环保、土地、审批、应急等现有系统端口互联与数据共享，提升园区整体运营与服务协同能力。以数字基础设施建设为支撑，衔接数字应用场景与企业发展需求，夯实企业发展硬件与软件基础。</w:t>
      </w:r>
    </w:p>
    <w:p w14:paraId="1037F86A">
      <w:pPr>
        <w:pStyle w:val="36"/>
        <w:autoSpaceDE/>
        <w:autoSpaceDN/>
        <w:spacing w:line="580" w:lineRule="exact"/>
        <w:ind w:firstLine="602" w:firstLineChars="200"/>
        <w:rPr>
          <w:rFonts w:eastAsia="方正仿宋_GBK" w:cs="方正仿宋_GBK"/>
          <w:color w:val="auto"/>
          <w:sz w:val="30"/>
          <w:szCs w:val="30"/>
        </w:rPr>
      </w:pPr>
      <w:r>
        <w:rPr>
          <w:rFonts w:hint="eastAsia" w:eastAsia="方正仿宋_GBK" w:cs="方正仿宋_GBK"/>
          <w:b/>
          <w:bCs/>
          <w:color w:val="auto"/>
          <w:sz w:val="30"/>
          <w:szCs w:val="30"/>
        </w:rPr>
        <w:t>优化开发区服务质量。</w:t>
      </w:r>
      <w:r>
        <w:rPr>
          <w:rFonts w:hint="eastAsia" w:eastAsia="方正仿宋_GBK" w:cs="方正仿宋_GBK"/>
          <w:b w:val="0"/>
          <w:bCs w:val="0"/>
          <w:color w:val="auto"/>
          <w:sz w:val="30"/>
          <w:szCs w:val="30"/>
        </w:rPr>
        <w:t>按照“全员帮办、全域覆盖、专班推进、负责到底”的帮办原则，为企业提供“全天候、全流程、全标准、全事项、全免费、全人员”的“六全程代办”服务模式。</w:t>
      </w:r>
      <w:r>
        <w:rPr>
          <w:rFonts w:hint="eastAsia" w:eastAsia="方正仿宋_GBK" w:cs="方正仿宋_GBK"/>
          <w:color w:val="auto"/>
          <w:sz w:val="30"/>
          <w:szCs w:val="30"/>
        </w:rPr>
        <w:t>完善联动审批服务机制，纵深推进“承诺制+标准地+全代办”改革，切实做到“区内事区内办”。健全周沟通、半月调度、月督导和现场办公机制，为企业和项目提供“零距离、保姆式、一站式”服务，推动项目提质提速。</w:t>
      </w:r>
    </w:p>
    <w:p w14:paraId="20C85010">
      <w:pPr>
        <w:spacing w:line="580" w:lineRule="exact"/>
        <w:ind w:firstLine="0" w:firstLineChars="0"/>
        <w:jc w:val="center"/>
        <w:outlineLvl w:val="1"/>
        <w:rPr>
          <w:rFonts w:eastAsia="楷体" w:cs="Times New Roman"/>
          <w:color w:val="auto"/>
          <w:sz w:val="30"/>
          <w:szCs w:val="30"/>
        </w:rPr>
      </w:pPr>
      <w:bookmarkStart w:id="284" w:name="_Toc972670461"/>
      <w:bookmarkStart w:id="285" w:name="_Toc212867777"/>
      <w:r>
        <w:rPr>
          <w:rFonts w:hint="eastAsia" w:eastAsia="楷体" w:cs="Times New Roman"/>
          <w:color w:val="auto"/>
          <w:sz w:val="30"/>
          <w:szCs w:val="30"/>
        </w:rPr>
        <w:t>第三节  全力提高土地开发利用效率</w:t>
      </w:r>
      <w:bookmarkEnd w:id="284"/>
      <w:bookmarkEnd w:id="285"/>
    </w:p>
    <w:p w14:paraId="26BF06D5">
      <w:pPr>
        <w:widowControl/>
        <w:spacing w:line="580" w:lineRule="exact"/>
        <w:ind w:firstLine="602"/>
        <w:jc w:val="left"/>
        <w:rPr>
          <w:rFonts w:eastAsia="方正仿宋_GBK" w:cs="方正仿宋_GBK"/>
          <w:color w:val="auto"/>
          <w:sz w:val="30"/>
          <w:szCs w:val="30"/>
          <w:lang w:bidi="ar"/>
        </w:rPr>
      </w:pPr>
      <w:r>
        <w:rPr>
          <w:rFonts w:hint="eastAsia" w:eastAsia="方正仿宋_GBK" w:cs="方正仿宋_GBK"/>
          <w:b/>
          <w:bCs/>
          <w:color w:val="auto"/>
          <w:sz w:val="30"/>
          <w:szCs w:val="30"/>
        </w:rPr>
        <w:t>加强空间规划管控和准入</w:t>
      </w:r>
      <w:r>
        <w:rPr>
          <w:rFonts w:hint="eastAsia" w:eastAsia="方正仿宋_GBK" w:cs="方正仿宋_GBK"/>
          <w:color w:val="auto"/>
          <w:sz w:val="30"/>
          <w:szCs w:val="30"/>
        </w:rPr>
        <w:t>。</w:t>
      </w:r>
      <w:r>
        <w:rPr>
          <w:rFonts w:hint="eastAsia" w:eastAsia="方正仿宋_GBK" w:cs="方正仿宋_GBK"/>
          <w:color w:val="auto"/>
          <w:kern w:val="0"/>
          <w:sz w:val="30"/>
          <w:szCs w:val="30"/>
          <w:lang w:bidi="ar"/>
        </w:rPr>
        <w:t>严格</w:t>
      </w:r>
      <w:r>
        <w:rPr>
          <w:rFonts w:hint="eastAsia" w:eastAsia="方正仿宋_GBK" w:cs="方正仿宋_GBK"/>
          <w:color w:val="auto"/>
          <w:sz w:val="30"/>
          <w:szCs w:val="30"/>
          <w:lang w:bidi="ar"/>
        </w:rPr>
        <w:t>落实</w:t>
      </w:r>
      <w:r>
        <w:rPr>
          <w:rFonts w:hint="eastAsia" w:eastAsia="方正仿宋_GBK" w:cs="方正仿宋_GBK"/>
          <w:color w:val="auto"/>
          <w:kern w:val="0"/>
          <w:sz w:val="30"/>
          <w:szCs w:val="30"/>
          <w:lang w:bidi="ar"/>
        </w:rPr>
        <w:t>“三区三线”管控，合理</w:t>
      </w:r>
      <w:r>
        <w:rPr>
          <w:rFonts w:hint="eastAsia" w:eastAsia="方正仿宋_GBK" w:cs="方正仿宋_GBK"/>
          <w:color w:val="auto"/>
          <w:sz w:val="30"/>
          <w:szCs w:val="30"/>
          <w:lang w:bidi="ar"/>
        </w:rPr>
        <w:t>优化</w:t>
      </w:r>
      <w:r>
        <w:rPr>
          <w:rFonts w:hint="eastAsia" w:eastAsia="方正仿宋_GBK" w:cs="方正仿宋_GBK"/>
          <w:color w:val="auto"/>
          <w:kern w:val="0"/>
          <w:sz w:val="30"/>
          <w:szCs w:val="30"/>
          <w:lang w:bidi="ar"/>
        </w:rPr>
        <w:t>开发区四至边界范围。坚持集中连片开发，推进零散工业用地整合，合理确定开发区用地规模。稳定开发区工业用地总量，明晰工业用地用途转换负面清单。</w:t>
      </w:r>
      <w:r>
        <w:rPr>
          <w:rFonts w:hint="eastAsia" w:eastAsia="方正仿宋_GBK" w:cs="方正仿宋_GBK"/>
          <w:color w:val="auto"/>
          <w:sz w:val="30"/>
          <w:szCs w:val="30"/>
          <w:lang w:bidi="ar"/>
        </w:rPr>
        <w:t>把好项目用地准入关，落实生态环境保护负面清单。加强开发区项目准入审查，新建、改（扩）建工业项目容积率、建筑系数、投入产出等必须符合工业项目建设用地控制指标。</w:t>
      </w:r>
    </w:p>
    <w:p w14:paraId="3FF83803">
      <w:pPr>
        <w:widowControl/>
        <w:spacing w:line="580" w:lineRule="exact"/>
        <w:ind w:firstLine="480"/>
        <w:jc w:val="left"/>
        <w:rPr>
          <w:rFonts w:eastAsia="方正仿宋_GBK" w:cs="方正仿宋_GBK"/>
          <w:color w:val="auto"/>
          <w:sz w:val="30"/>
          <w:szCs w:val="30"/>
          <w:lang w:bidi="ar"/>
        </w:rPr>
      </w:pPr>
      <w:r>
        <w:rPr>
          <w:rFonts w:hint="eastAsia" w:eastAsia="方正仿宋_GBK" w:cs="方正仿宋_GBK"/>
          <w:b/>
          <w:bCs/>
          <w:color w:val="auto"/>
          <w:sz w:val="30"/>
          <w:szCs w:val="30"/>
          <w:lang w:bidi="ar"/>
        </w:rPr>
        <w:t>深入推进“标准地”制度改革。</w:t>
      </w:r>
      <w:r>
        <w:rPr>
          <w:rFonts w:hint="eastAsia" w:eastAsia="方正仿宋_GBK" w:cs="方正仿宋_GBK"/>
          <w:b w:val="0"/>
          <w:bCs w:val="0"/>
          <w:color w:val="auto"/>
          <w:sz w:val="30"/>
          <w:szCs w:val="30"/>
          <w:lang w:bidi="ar"/>
        </w:rPr>
        <w:t>以优化产业空间布局为导向，强化“标准地”资源的精准配置，重点向物流仓储、研发设计、工业互联网等关键生产性服务业倾斜，引导工业企业向</w:t>
      </w:r>
      <w:r>
        <w:rPr>
          <w:rFonts w:hint="eastAsia" w:eastAsia="方正仿宋_GBK" w:cs="方正仿宋_GBK"/>
          <w:color w:val="auto"/>
          <w:sz w:val="30"/>
          <w:szCs w:val="30"/>
          <w:lang w:bidi="ar"/>
        </w:rPr>
        <w:t>产业</w:t>
      </w:r>
      <w:r>
        <w:rPr>
          <w:rFonts w:hint="eastAsia" w:eastAsia="方正仿宋_GBK" w:cs="方正仿宋_GBK"/>
          <w:b w:val="0"/>
          <w:bCs w:val="0"/>
          <w:color w:val="auto"/>
          <w:sz w:val="30"/>
          <w:szCs w:val="30"/>
          <w:lang w:bidi="ar"/>
        </w:rPr>
        <w:t>融合发展的综合体转型。完善开发区“增存挂钩”机制，系统建立低效用地清单与年度盘活计划，综合运用有偿收回、收储回购等方式处置闲置土地。积极推广资产重组、联合招商等模式推动低效用地再开发。对利用存量工业用地转型发展信息服务、研发设计等业态的，实施过渡期管理并配套动态绩效评估与退出办法，加速实现园区产业“腾笼换鸟”。</w:t>
      </w:r>
    </w:p>
    <w:p w14:paraId="7549EB4D">
      <w:pPr>
        <w:pStyle w:val="14"/>
        <w:widowControl/>
        <w:spacing w:after="0" w:line="580" w:lineRule="exact"/>
        <w:ind w:firstLine="602"/>
        <w:jc w:val="left"/>
        <w:rPr>
          <w:color w:val="auto"/>
        </w:rPr>
      </w:pPr>
      <w:r>
        <w:rPr>
          <w:rFonts w:hint="eastAsia" w:eastAsia="方正仿宋_GBK" w:cs="方正仿宋_GBK"/>
          <w:b/>
          <w:bCs/>
          <w:color w:val="auto"/>
          <w:sz w:val="30"/>
          <w:szCs w:val="30"/>
          <w:lang w:bidi="ar"/>
        </w:rPr>
        <w:t>全面提升土地利用综合效益</w:t>
      </w:r>
      <w:r>
        <w:rPr>
          <w:rFonts w:hint="eastAsia" w:eastAsia="方正仿宋_GBK" w:cs="方正仿宋_GBK"/>
          <w:color w:val="auto"/>
          <w:sz w:val="30"/>
          <w:szCs w:val="30"/>
          <w:lang w:bidi="ar"/>
        </w:rPr>
        <w:t>。以“节约集约、高效适配”为核心，多维度推动开发区土地高质量利用。鼓励开发区规划建设科创园、科技企业孵化器等创新载体，积极探索混合产业用地复合利用模式。</w:t>
      </w:r>
      <w:r>
        <w:rPr>
          <w:rFonts w:hint="eastAsia" w:eastAsia="方正仿宋_GBK" w:cs="方正仿宋_GBK"/>
          <w:color w:val="auto"/>
          <w:sz w:val="30"/>
          <w:szCs w:val="30"/>
        </w:rPr>
        <w:t>强化项目全生命周期管理，</w:t>
      </w:r>
      <w:r>
        <w:rPr>
          <w:rFonts w:hint="eastAsia" w:eastAsia="方正仿宋_GBK" w:cs="方正仿宋_GBK"/>
          <w:color w:val="auto"/>
          <w:sz w:val="30"/>
          <w:szCs w:val="30"/>
          <w:lang w:bidi="ar"/>
        </w:rPr>
        <w:t>树立开发区“亩均论英雄”鲜明导向，建立健全涵盖亩均投入、亩均产值、亩均税收等关键指标的评价体系，持续开展土地集约利用全面评价与动态监测。</w:t>
      </w:r>
    </w:p>
    <w:p w14:paraId="3A9D6C4E">
      <w:pPr>
        <w:spacing w:line="580" w:lineRule="exact"/>
        <w:ind w:firstLine="0" w:firstLineChars="0"/>
        <w:jc w:val="center"/>
        <w:outlineLvl w:val="1"/>
        <w:rPr>
          <w:rFonts w:eastAsia="楷体" w:cs="Times New Roman"/>
          <w:color w:val="auto"/>
          <w:sz w:val="30"/>
          <w:szCs w:val="30"/>
        </w:rPr>
      </w:pPr>
      <w:bookmarkStart w:id="286" w:name="_Toc2108455784"/>
      <w:bookmarkStart w:id="287" w:name="_Toc1846701206"/>
      <w:bookmarkStart w:id="288" w:name="_Toc1026917063"/>
      <w:bookmarkStart w:id="289" w:name="_Toc30888767"/>
      <w:r>
        <w:rPr>
          <w:rFonts w:hint="eastAsia" w:eastAsia="楷体" w:cs="Times New Roman"/>
          <w:color w:val="auto"/>
          <w:sz w:val="30"/>
          <w:szCs w:val="30"/>
        </w:rPr>
        <w:t>第四节  深化开发区管理体制改革</w:t>
      </w:r>
      <w:bookmarkEnd w:id="286"/>
      <w:bookmarkEnd w:id="287"/>
      <w:bookmarkEnd w:id="288"/>
      <w:bookmarkEnd w:id="289"/>
    </w:p>
    <w:p w14:paraId="272BCBE4">
      <w:pPr>
        <w:spacing w:line="580" w:lineRule="exact"/>
        <w:ind w:firstLine="602"/>
        <w:rPr>
          <w:rFonts w:hint="eastAsia" w:eastAsia="方正仿宋_GBK" w:cs="方正仿宋_GBK"/>
          <w:color w:val="auto"/>
          <w:sz w:val="30"/>
          <w:szCs w:val="30"/>
        </w:rPr>
      </w:pPr>
      <w:r>
        <w:rPr>
          <w:rFonts w:hint="eastAsia" w:eastAsia="方正仿宋_GBK" w:cs="方正仿宋_GBK"/>
          <w:b/>
          <w:bCs/>
          <w:color w:val="auto"/>
          <w:sz w:val="30"/>
          <w:szCs w:val="30"/>
        </w:rPr>
        <w:t>全力优化体制机制改革。</w:t>
      </w:r>
      <w:r>
        <w:rPr>
          <w:rFonts w:hint="eastAsia" w:eastAsia="方正仿宋_GBK" w:cs="方正仿宋_GBK"/>
          <w:b w:val="0"/>
          <w:bCs w:val="0"/>
          <w:color w:val="auto"/>
          <w:sz w:val="30"/>
          <w:szCs w:val="30"/>
        </w:rPr>
        <w:t>推进</w:t>
      </w:r>
      <w:r>
        <w:rPr>
          <w:rFonts w:hint="eastAsia" w:eastAsia="方正仿宋_GBK" w:cs="方正仿宋_GBK"/>
          <w:color w:val="auto"/>
          <w:sz w:val="30"/>
          <w:szCs w:val="30"/>
        </w:rPr>
        <w:t>“一区多制”专业化园区运营模式，完善开发区考核体系，全面推行“全员聘任制、领导干部任期制、岗位绩效工资制”，以市场化激励体系激发干部队伍活力。持续做精管委会、做强园区运营平台公司，积极探索“管委会+公司”的市场化运营模式，有序推进开发园区政企分离、管运分开。实施分层分类专业培训，有针对性邀请能源储能、循环经济、智能装备等领域专业人才，支持企业定期举办储能、低碳新能源等专题论坛。积极推进共建国际国内合作园区进程，推动中法共建合作园区建设。</w:t>
      </w:r>
    </w:p>
    <w:bookmarkEnd w:id="272"/>
    <w:p w14:paraId="0659515C">
      <w:pPr>
        <w:spacing w:line="580" w:lineRule="exact"/>
        <w:ind w:firstLine="602"/>
        <w:rPr>
          <w:rFonts w:eastAsia="方正仿宋_GBK" w:cs="方正仿宋_GBK"/>
          <w:color w:val="auto"/>
          <w:sz w:val="30"/>
          <w:szCs w:val="30"/>
        </w:rPr>
      </w:pPr>
      <w:r>
        <w:rPr>
          <w:rFonts w:hint="eastAsia" w:eastAsia="方正仿宋_GBK" w:cs="方正仿宋_GBK"/>
          <w:b/>
          <w:bCs/>
          <w:color w:val="auto"/>
          <w:sz w:val="30"/>
          <w:szCs w:val="30"/>
        </w:rPr>
        <w:t>建立产业引导基金运营管理体系</w:t>
      </w:r>
      <w:r>
        <w:rPr>
          <w:rFonts w:hint="eastAsia" w:eastAsia="方正仿宋_GBK" w:cs="方正仿宋_GBK"/>
          <w:color w:val="auto"/>
          <w:sz w:val="30"/>
          <w:szCs w:val="30"/>
        </w:rPr>
        <w:t>。依托政府引导母基金，加快设立产业引导基金，实行“母—子”基金管理运作架构。以区国资平台为运作主体，聚焦新能源储能、科技成果转化、中小微企业成长、绿色循环等领域布局新兴产业项目引导基金，加快引进社会资本。引入知名基金管理团队，重点扶持重点产业链配套中小微企业，加速高校院所技术成果产业化。</w:t>
      </w:r>
    </w:p>
    <w:p w14:paraId="51F71B9A">
      <w:pPr>
        <w:pStyle w:val="14"/>
        <w:spacing w:after="0" w:line="580" w:lineRule="exact"/>
        <w:ind w:firstLine="480"/>
        <w:rPr>
          <w:rFonts w:eastAsia="方正黑体_GBK" w:cs="方正黑体_GBK"/>
          <w:color w:val="auto"/>
        </w:rPr>
      </w:pPr>
      <w:r>
        <w:rPr>
          <w:rStyle w:val="31"/>
          <w:rFonts w:hint="eastAsia" w:eastAsia="方正仿宋_GBK" w:cs="方正仿宋_GBK"/>
          <w:bCs/>
          <w:color w:val="auto"/>
          <w:sz w:val="30"/>
          <w:szCs w:val="30"/>
        </w:rPr>
        <w:t>强化改革执行与监督评估机制。</w:t>
      </w:r>
      <w:r>
        <w:rPr>
          <w:rFonts w:hint="eastAsia" w:eastAsia="方正仿宋_GBK" w:cs="方正仿宋_GBK"/>
          <w:color w:val="auto"/>
          <w:sz w:val="30"/>
          <w:szCs w:val="30"/>
        </w:rPr>
        <w:t>细化改革任务清单，建立健全从任务分解到成效评估的全链条工作推进机制，实行“台账管理、动态跟踪、按期销号”。构建改革成效评估体系，围绕管理效能提升、企业满意度、要素保障水平等维度开展阶段性评估，并将评估结果与绩效考核、资源分配相挂钩，形成“部署—落实—反馈—优化”的工作闭环，持续推动开发区管理体制向更高水平演进。</w:t>
      </w:r>
      <w:bookmarkEnd w:id="273"/>
      <w:bookmarkStart w:id="290" w:name="_Toc1392297872"/>
      <w:bookmarkStart w:id="291" w:name="_Toc316282133"/>
      <w:bookmarkStart w:id="292" w:name="_Toc51489101"/>
      <w:bookmarkStart w:id="293" w:name="_Toc1434597028"/>
      <w:bookmarkStart w:id="294" w:name="_Toc1610489037"/>
      <w:bookmarkStart w:id="295" w:name="_Toc1603948042"/>
      <w:bookmarkStart w:id="296" w:name="_Toc2073502798"/>
      <w:bookmarkStart w:id="297" w:name="_Toc1071806261"/>
      <w:bookmarkStart w:id="298" w:name="_Toc2060675157"/>
      <w:bookmarkStart w:id="299" w:name="_Toc1056117110"/>
      <w:bookmarkStart w:id="300" w:name="_Toc1503928588"/>
      <w:bookmarkStart w:id="301" w:name="OLE_LINK25"/>
      <w:bookmarkStart w:id="302" w:name="OLE_LINK1"/>
      <w:bookmarkStart w:id="303" w:name="_Toc359345425"/>
      <w:bookmarkStart w:id="304" w:name="_Toc405560198"/>
      <w:bookmarkStart w:id="305" w:name="OLE_LINK36"/>
      <w:bookmarkStart w:id="306" w:name="_Toc201744127"/>
      <w:bookmarkStart w:id="307" w:name="_Toc1416748355"/>
      <w:bookmarkStart w:id="308" w:name="_Toc1976290530"/>
      <w:bookmarkStart w:id="309" w:name="OLE_LINK53"/>
      <w:r>
        <w:rPr>
          <w:rFonts w:hint="eastAsia" w:eastAsia="方正黑体_GBK" w:cs="方正黑体_GBK"/>
          <w:color w:val="auto"/>
        </w:rPr>
        <w:br w:type="page"/>
      </w:r>
    </w:p>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14:paraId="3010E88C">
      <w:pPr>
        <w:pStyle w:val="61"/>
        <w:spacing w:before="156" w:beforeLines="50" w:after="156" w:afterLines="50" w:line="580" w:lineRule="exact"/>
        <w:ind w:firstLine="0" w:firstLineChars="0"/>
        <w:jc w:val="center"/>
        <w:rPr>
          <w:rFonts w:ascii="Times New Roman" w:hAnsi="Times New Roman" w:eastAsia="方正黑体_GBK" w:cs="方正黑体_GBK"/>
          <w:color w:val="auto"/>
        </w:rPr>
      </w:pPr>
      <w:bookmarkStart w:id="310" w:name="_Toc69006902"/>
      <w:bookmarkStart w:id="311" w:name="_Toc1188702541"/>
      <w:r>
        <w:rPr>
          <w:rFonts w:hint="eastAsia" w:ascii="Times New Roman" w:hAnsi="Times New Roman" w:eastAsia="方正黑体_GBK" w:cs="方正黑体_GBK"/>
          <w:color w:val="auto"/>
        </w:rPr>
        <w:t xml:space="preserve">第十二章 </w:t>
      </w:r>
      <w:bookmarkStart w:id="312" w:name="OLE_LINK18"/>
      <w:bookmarkStart w:id="313" w:name="OLE_LINK20"/>
      <w:bookmarkStart w:id="314" w:name="OLE_LINK22"/>
      <w:r>
        <w:rPr>
          <w:rFonts w:hint="eastAsia" w:ascii="Times New Roman" w:hAnsi="Times New Roman" w:eastAsia="方正黑体_GBK" w:cs="方正黑体_GBK"/>
          <w:color w:val="auto"/>
        </w:rPr>
        <w:t>持续增进民生福祉</w:t>
      </w:r>
      <w:bookmarkEnd w:id="312"/>
      <w:r>
        <w:rPr>
          <w:rFonts w:ascii="Times New Roman" w:hAnsi="Times New Roman" w:eastAsia="方正黑体_GBK" w:cs="方正黑体_GBK"/>
          <w:color w:val="auto"/>
        </w:rPr>
        <w:t xml:space="preserve"> </w:t>
      </w:r>
      <w:bookmarkStart w:id="315" w:name="OLE_LINK21"/>
      <w:r>
        <w:rPr>
          <w:rFonts w:hint="eastAsia" w:ascii="Times New Roman" w:hAnsi="Times New Roman" w:eastAsia="方正黑体_GBK" w:cs="方正黑体_GBK"/>
          <w:color w:val="auto"/>
        </w:rPr>
        <w:t>稳步推进共同富裕云冈实践</w:t>
      </w:r>
      <w:bookmarkEnd w:id="310"/>
      <w:bookmarkEnd w:id="311"/>
      <w:bookmarkEnd w:id="313"/>
      <w:bookmarkEnd w:id="314"/>
      <w:bookmarkEnd w:id="315"/>
    </w:p>
    <w:p w14:paraId="3202D15F">
      <w:pPr>
        <w:widowControl/>
        <w:spacing w:line="580" w:lineRule="exact"/>
        <w:ind w:firstLine="600" w:firstLineChars="0"/>
        <w:rPr>
          <w:rFonts w:eastAsia="方正仿宋_GBK" w:cs="Times New Roman"/>
          <w:color w:val="auto"/>
          <w:sz w:val="30"/>
          <w:szCs w:val="30"/>
        </w:rPr>
      </w:pPr>
      <w:r>
        <w:rPr>
          <w:rFonts w:hint="eastAsia" w:eastAsia="方正仿宋_GBK" w:cs="Times New Roman"/>
          <w:color w:val="auto"/>
          <w:sz w:val="30"/>
          <w:szCs w:val="30"/>
        </w:rPr>
        <w:t>坚持民生为大，加大保障和改善民生力度，加强普惠性、基础性、兜底性民生建设，解决好人民群众急难愁盼问题，健全覆盖全人群、全生命周期的人口服务体系，稳步推进基本公共服务均等化，努力为人民群众多办实事，让发展成果更多更公平惠及全区人民。</w:t>
      </w:r>
    </w:p>
    <w:p w14:paraId="545EEB68">
      <w:pPr>
        <w:spacing w:line="580" w:lineRule="exact"/>
        <w:ind w:firstLine="0" w:firstLineChars="0"/>
        <w:jc w:val="center"/>
        <w:outlineLvl w:val="1"/>
        <w:rPr>
          <w:rFonts w:eastAsia="楷体" w:cs="Times New Roman"/>
          <w:color w:val="auto"/>
          <w:sz w:val="30"/>
          <w:szCs w:val="30"/>
        </w:rPr>
      </w:pPr>
      <w:bookmarkStart w:id="316" w:name="_Toc2144386117"/>
      <w:bookmarkStart w:id="317" w:name="_Toc192521103"/>
      <w:bookmarkStart w:id="318" w:name="_Toc157832534"/>
      <w:bookmarkStart w:id="319" w:name="_Toc483238546"/>
      <w:r>
        <w:rPr>
          <w:rFonts w:hint="eastAsia" w:eastAsia="楷体" w:cs="Times New Roman"/>
          <w:color w:val="auto"/>
          <w:sz w:val="30"/>
          <w:szCs w:val="30"/>
        </w:rPr>
        <w:t>第一节  促进高质量充分就业</w:t>
      </w:r>
      <w:bookmarkEnd w:id="316"/>
      <w:bookmarkEnd w:id="317"/>
      <w:r>
        <w:rPr>
          <w:rFonts w:hint="eastAsia" w:eastAsia="楷体" w:cs="Times New Roman"/>
          <w:color w:val="auto"/>
          <w:sz w:val="30"/>
          <w:szCs w:val="30"/>
        </w:rPr>
        <w:t>增收</w:t>
      </w:r>
      <w:bookmarkEnd w:id="318"/>
      <w:bookmarkEnd w:id="319"/>
    </w:p>
    <w:p w14:paraId="290AB005">
      <w:pPr>
        <w:spacing w:line="580" w:lineRule="exact"/>
        <w:ind w:firstLine="602"/>
        <w:rPr>
          <w:rFonts w:eastAsia="方正仿宋_GBK" w:cs="Times New Roman"/>
          <w:color w:val="auto"/>
          <w:sz w:val="30"/>
          <w:szCs w:val="30"/>
        </w:rPr>
      </w:pPr>
      <w:bookmarkStart w:id="320" w:name="OLE_LINK23"/>
      <w:r>
        <w:rPr>
          <w:rFonts w:hint="eastAsia" w:eastAsia="方正仿宋_GBK" w:cs="Times New Roman"/>
          <w:b/>
          <w:bCs/>
          <w:color w:val="auto"/>
          <w:sz w:val="30"/>
          <w:szCs w:val="30"/>
        </w:rPr>
        <w:t>持续稳定和扩大就业。</w:t>
      </w:r>
      <w:r>
        <w:rPr>
          <w:rFonts w:hint="eastAsia" w:eastAsia="方正仿宋_GBK" w:cs="Times New Roman"/>
          <w:color w:val="auto"/>
          <w:sz w:val="30"/>
          <w:szCs w:val="30"/>
        </w:rPr>
        <w:t>深入实施就业优先战略，支持企业稳岗扩岗。加强产业和就业协同，支持鼓励吸纳就业能力强的数据服务、餐饮住宿等劳动密集型行业发展，拓展商旅文体健等消费新空间，扩大就业容量，提升就业质量。完善就业支持和公共服务体系，加快布局家门口就业驿站，稳定和扩大高校毕业生、农民工、退役军人等重点群体就业，加大公益性岗位就业扶持力度，加强零工市场建设。充分发挥中小微企业、民营企业在吸纳就业中的主渠道作用，加大创业支持力度，增强创业带动就业效应。</w:t>
      </w:r>
    </w:p>
    <w:bookmarkEnd w:id="320"/>
    <w:p w14:paraId="3B0A9F92">
      <w:pPr>
        <w:spacing w:line="580" w:lineRule="exact"/>
        <w:ind w:firstLine="602"/>
        <w:rPr>
          <w:rFonts w:eastAsia="方正仿宋_GBK" w:cs="Times New Roman"/>
          <w:color w:val="auto"/>
          <w:sz w:val="30"/>
          <w:szCs w:val="30"/>
        </w:rPr>
      </w:pPr>
      <w:r>
        <w:rPr>
          <w:rFonts w:hint="eastAsia" w:eastAsia="方正仿宋_GBK" w:cs="Times New Roman"/>
          <w:b/>
          <w:bCs/>
          <w:color w:val="auto"/>
          <w:sz w:val="30"/>
          <w:szCs w:val="30"/>
        </w:rPr>
        <w:t>提高劳动者职业技能水平。</w:t>
      </w:r>
      <w:r>
        <w:rPr>
          <w:rFonts w:hint="eastAsia" w:eastAsia="方正仿宋_GBK" w:cs="Times New Roman"/>
          <w:color w:val="auto"/>
          <w:sz w:val="30"/>
          <w:szCs w:val="30"/>
        </w:rPr>
        <w:t>实施百行百业大规模职业技能提升培训行动。健全职业技能培训制度，强化择业和用人观念引导，扩大“云冈亲人”劳务品牌效应</w:t>
      </w:r>
      <w:r>
        <w:rPr>
          <w:rFonts w:hint="eastAsia" w:eastAsia="方正仿宋_GBK" w:cs="Times New Roman"/>
          <w:color w:val="auto"/>
          <w:sz w:val="30"/>
          <w:szCs w:val="30"/>
          <w:lang w:eastAsia="zh-CN"/>
        </w:rPr>
        <w:t>，</w:t>
      </w:r>
      <w:r>
        <w:rPr>
          <w:rFonts w:hint="eastAsia" w:eastAsia="方正仿宋_GBK" w:cs="Times New Roman"/>
          <w:color w:val="auto"/>
          <w:sz w:val="30"/>
          <w:szCs w:val="30"/>
          <w:lang w:val="en-US" w:eastAsia="zh-CN"/>
        </w:rPr>
        <w:t>支持和鼓励在京津冀地区建成“云冈区工作站”</w:t>
      </w:r>
      <w:r>
        <w:rPr>
          <w:rFonts w:hint="eastAsia" w:eastAsia="方正仿宋_GBK" w:cs="Times New Roman"/>
          <w:color w:val="auto"/>
          <w:sz w:val="30"/>
          <w:szCs w:val="30"/>
        </w:rPr>
        <w:t>。针对装备制造、数字经济等新兴领域开展技能培训，</w:t>
      </w:r>
      <w:r>
        <w:rPr>
          <w:rFonts w:hint="eastAsia" w:eastAsia="方正仿宋_GBK" w:cs="Times New Roman"/>
          <w:color w:val="auto"/>
          <w:sz w:val="30"/>
          <w:szCs w:val="30"/>
          <w:lang w:val="en-US" w:eastAsia="zh-CN"/>
        </w:rPr>
        <w:t>引导</w:t>
      </w:r>
      <w:r>
        <w:rPr>
          <w:rFonts w:hint="eastAsia" w:eastAsia="方正仿宋_GBK" w:cs="Times New Roman"/>
          <w:color w:val="auto"/>
          <w:sz w:val="30"/>
          <w:szCs w:val="30"/>
        </w:rPr>
        <w:t>直播带货、网络营销等新就业形态</w:t>
      </w:r>
      <w:r>
        <w:rPr>
          <w:rFonts w:hint="eastAsia" w:eastAsia="方正仿宋_GBK" w:cs="Times New Roman"/>
          <w:color w:val="auto"/>
          <w:sz w:val="30"/>
          <w:szCs w:val="30"/>
          <w:lang w:val="en-US" w:eastAsia="zh-CN"/>
        </w:rPr>
        <w:t>发展</w:t>
      </w:r>
      <w:r>
        <w:rPr>
          <w:rFonts w:hint="eastAsia" w:eastAsia="方正仿宋_GBK" w:cs="Times New Roman"/>
          <w:color w:val="auto"/>
          <w:sz w:val="30"/>
          <w:szCs w:val="30"/>
        </w:rPr>
        <w:t>。引导职业院校、企业和职业培训机构开展订单、定向、定岗培训。构建职普融通、产教融合的职业教育体系，推动公共实训基地建设，健全产业工人终身职业技能培训制度。</w:t>
      </w:r>
    </w:p>
    <w:p w14:paraId="1EBCFE12">
      <w:pPr>
        <w:spacing w:line="580" w:lineRule="exact"/>
        <w:ind w:firstLine="602"/>
        <w:rPr>
          <w:rFonts w:eastAsia="方正仿宋_GBK" w:cs="Times New Roman"/>
          <w:strike/>
          <w:color w:val="auto"/>
          <w:sz w:val="30"/>
          <w:szCs w:val="30"/>
          <w:highlight w:val="yellow"/>
        </w:rPr>
      </w:pPr>
      <w:r>
        <w:rPr>
          <w:rFonts w:hint="eastAsia" w:eastAsia="方正仿宋_GBK" w:cs="Times New Roman"/>
          <w:b/>
          <w:bCs/>
          <w:color w:val="auto"/>
          <w:sz w:val="30"/>
          <w:szCs w:val="30"/>
        </w:rPr>
        <w:t>提高城乡居民收入水平。</w:t>
      </w:r>
      <w:r>
        <w:rPr>
          <w:rFonts w:hint="eastAsia" w:eastAsia="方正仿宋_GBK" w:cs="Times New Roman"/>
          <w:color w:val="auto"/>
          <w:sz w:val="30"/>
          <w:szCs w:val="30"/>
        </w:rPr>
        <w:t>不断优化收入分配制度，提高劳动报酬在初次分配中的比重。坚持居民收入与经济发展同步提高，逐步缩小城乡居民收入与全国、全省平均水平的差距。坚决落实全省最低工资标准，完善劳动者工资正常增长机制，探索多渠道增加居民要素收入、财产性收入。推进公立医院薪酬制度改革。大力实施惠农增收政策，加大以工代赈政策落实力度，促进群众就地就近就业增收。</w:t>
      </w:r>
    </w:p>
    <w:p w14:paraId="0BBEF81B">
      <w:pPr>
        <w:spacing w:line="580" w:lineRule="exact"/>
        <w:ind w:firstLine="0" w:firstLineChars="0"/>
        <w:jc w:val="center"/>
        <w:outlineLvl w:val="1"/>
        <w:rPr>
          <w:rFonts w:eastAsia="楷体" w:cs="Times New Roman"/>
          <w:color w:val="auto"/>
          <w:sz w:val="30"/>
          <w:szCs w:val="30"/>
        </w:rPr>
      </w:pPr>
      <w:bookmarkStart w:id="321" w:name="_Toc1591805739"/>
      <w:bookmarkStart w:id="322" w:name="_Toc1626904465"/>
      <w:bookmarkStart w:id="323" w:name="_Toc549094893"/>
      <w:bookmarkStart w:id="324" w:name="_Toc7089668"/>
      <w:r>
        <w:rPr>
          <w:rFonts w:hint="eastAsia" w:eastAsia="楷体" w:cs="Times New Roman"/>
          <w:color w:val="auto"/>
          <w:sz w:val="30"/>
          <w:szCs w:val="30"/>
        </w:rPr>
        <w:t>第二节  办好人民满意的优质教育</w:t>
      </w:r>
      <w:bookmarkEnd w:id="321"/>
      <w:bookmarkEnd w:id="322"/>
      <w:bookmarkEnd w:id="323"/>
      <w:bookmarkEnd w:id="324"/>
    </w:p>
    <w:p w14:paraId="45E98C3C">
      <w:pPr>
        <w:spacing w:line="580" w:lineRule="exact"/>
        <w:ind w:firstLine="602"/>
        <w:rPr>
          <w:rFonts w:eastAsia="方正仿宋_GBK" w:cs="Times New Roman"/>
          <w:color w:val="auto"/>
          <w:sz w:val="30"/>
          <w:szCs w:val="30"/>
        </w:rPr>
      </w:pPr>
      <w:r>
        <w:rPr>
          <w:rFonts w:hint="eastAsia" w:eastAsia="方正仿宋_GBK" w:cs="Times New Roman"/>
          <w:b/>
          <w:bCs/>
          <w:color w:val="auto"/>
          <w:sz w:val="30"/>
          <w:szCs w:val="30"/>
        </w:rPr>
        <w:t>推动学前教育普及普惠。</w:t>
      </w:r>
      <w:r>
        <w:rPr>
          <w:rFonts w:hint="eastAsia" w:eastAsia="方正仿宋_GBK" w:cs="Times New Roman"/>
          <w:color w:val="auto"/>
          <w:sz w:val="30"/>
          <w:szCs w:val="30"/>
        </w:rPr>
        <w:t>实施基础教育扩优提质工程，扩充普惠性学前教育资源，推动乡镇中心幼儿园全覆盖。不断优化公办园布局，稳步增加公办幼儿园学位占比，提高公办幼儿园的服务水平和服务质量，推进托育机构与幼儿园有效衔接。加强幼儿教师队伍培训，提高师资水平，进一步提升公办幼儿园的教育质量。支持特殊教育学校等教育机构发展残疾儿童学前康复教育。</w:t>
      </w:r>
    </w:p>
    <w:p w14:paraId="424F707F">
      <w:pPr>
        <w:spacing w:line="580" w:lineRule="exact"/>
        <w:ind w:firstLine="602"/>
        <w:rPr>
          <w:rFonts w:eastAsia="方正仿宋_GBK" w:cs="Times New Roman"/>
          <w:color w:val="auto"/>
          <w:sz w:val="30"/>
          <w:szCs w:val="30"/>
        </w:rPr>
      </w:pPr>
      <w:r>
        <w:rPr>
          <w:rFonts w:hint="eastAsia" w:eastAsia="方正仿宋_GBK" w:cs="Times New Roman"/>
          <w:b/>
          <w:bCs/>
          <w:color w:val="auto"/>
          <w:sz w:val="30"/>
          <w:szCs w:val="30"/>
        </w:rPr>
        <w:t>加强义务教育优质均衡发展。</w:t>
      </w:r>
      <w:r>
        <w:rPr>
          <w:rFonts w:hint="eastAsia" w:eastAsia="方正仿宋_GBK" w:cs="Times New Roman"/>
          <w:color w:val="auto"/>
          <w:sz w:val="30"/>
          <w:szCs w:val="30"/>
        </w:rPr>
        <w:t>科学规划学校布局，扩大学龄人口集中片区的教育资源供给，新建实验小学马营分校，办好必要的乡村小规模学校，深化集团化办学、托管帮扶等方式，优化城镇寄宿制学校建设标准，适时推进小班化教学。提升云冈现代双语学校、汇林中学、馨茂学校等民办学校，引导规范民办教育发展。实施义务教育学生</w:t>
      </w:r>
      <w:r>
        <w:rPr>
          <w:rFonts w:hint="eastAsia" w:eastAsia="方正仿宋_GBK" w:cs="Times New Roman"/>
          <w:color w:val="auto"/>
          <w:sz w:val="30"/>
          <w:szCs w:val="30"/>
          <w:lang w:val="en-US" w:eastAsia="zh-CN"/>
        </w:rPr>
        <w:t>饮用奶免费发放工程</w:t>
      </w:r>
      <w:r>
        <w:rPr>
          <w:rFonts w:hint="eastAsia" w:eastAsia="方正仿宋_GBK" w:cs="Times New Roman"/>
          <w:color w:val="auto"/>
          <w:sz w:val="30"/>
          <w:szCs w:val="30"/>
        </w:rPr>
        <w:t>，依法保障随迁子女平等接受义务教育。推广国家中小学智慧教育平台，建设“智慧校园”，实现教学资源城乡共享。</w:t>
      </w:r>
    </w:p>
    <w:p w14:paraId="4126A173">
      <w:pPr>
        <w:spacing w:line="580" w:lineRule="exact"/>
        <w:ind w:firstLine="602"/>
        <w:rPr>
          <w:rFonts w:eastAsia="方正仿宋_GBK" w:cs="Times New Roman"/>
          <w:color w:val="auto"/>
          <w:sz w:val="30"/>
          <w:szCs w:val="30"/>
        </w:rPr>
      </w:pPr>
      <w:r>
        <w:rPr>
          <w:rFonts w:hint="eastAsia" w:eastAsia="方正仿宋_GBK" w:cs="Times New Roman"/>
          <w:b/>
          <w:bCs/>
          <w:color w:val="auto"/>
          <w:sz w:val="30"/>
          <w:szCs w:val="30"/>
        </w:rPr>
        <w:t>推动普通高中教育多元特色发展。</w:t>
      </w:r>
      <w:r>
        <w:rPr>
          <w:rFonts w:hint="eastAsia" w:eastAsia="方正仿宋_GBK" w:cs="Times New Roman"/>
          <w:color w:val="auto"/>
          <w:sz w:val="30"/>
          <w:szCs w:val="30"/>
        </w:rPr>
        <w:t>提升恒安二中等2所搬迁学校设施水平，扩大优质普通高中资源供给。统筹推进优化资源配置、改革育人方式、健全保障机制、完善管理体制、规范办学行为等各项改革，推动普通高中教育高质量发展。聚焦振兴普通高中关键环节，深化高中教育教学改革，着力发展学生核心素养，规范实施综合素质评价，探索创新型拔尖人才培养机制，全面提升普通高中综合办学和育人水平。</w:t>
      </w:r>
    </w:p>
    <w:p w14:paraId="456A0129">
      <w:pPr>
        <w:spacing w:line="580" w:lineRule="exact"/>
        <w:ind w:firstLine="602"/>
        <w:rPr>
          <w:color w:val="auto"/>
        </w:rPr>
      </w:pPr>
      <w:r>
        <w:rPr>
          <w:rFonts w:hint="eastAsia" w:eastAsia="方正仿宋_GBK" w:cs="Times New Roman"/>
          <w:b/>
          <w:bCs/>
          <w:color w:val="auto"/>
          <w:sz w:val="30"/>
          <w:szCs w:val="30"/>
        </w:rPr>
        <w:t>推动现代特色职业教育发展。</w:t>
      </w:r>
      <w:r>
        <w:rPr>
          <w:rFonts w:hint="eastAsia" w:eastAsia="方正仿宋_GBK" w:cs="Times New Roman"/>
          <w:color w:val="auto"/>
          <w:sz w:val="30"/>
          <w:szCs w:val="30"/>
        </w:rPr>
        <w:t>推动职业教育内涵融通发展，开展区职业中学与山西文化旅游职业大学合作开展“五年一贯制”及“三二分段”</w:t>
      </w:r>
      <w:r>
        <w:rPr>
          <w:rFonts w:hint="eastAsia" w:eastAsia="方正仿宋_GBK" w:cs="Times New Roman"/>
          <w:color w:val="auto"/>
          <w:sz w:val="30"/>
          <w:szCs w:val="30"/>
          <w:lang w:val="en-US" w:eastAsia="zh-CN"/>
        </w:rPr>
        <w:t>有关</w:t>
      </w:r>
      <w:r>
        <w:rPr>
          <w:rFonts w:hint="eastAsia" w:eastAsia="方正仿宋_GBK" w:cs="Times New Roman"/>
          <w:color w:val="auto"/>
          <w:sz w:val="30"/>
          <w:szCs w:val="30"/>
        </w:rPr>
        <w:t>项目，积极推进综合高中</w:t>
      </w:r>
      <w:r>
        <w:rPr>
          <w:rFonts w:hint="eastAsia" w:eastAsia="方正仿宋_GBK" w:cs="Times New Roman"/>
          <w:color w:val="auto"/>
          <w:sz w:val="30"/>
          <w:szCs w:val="30"/>
          <w:lang w:val="en-US" w:eastAsia="zh-CN"/>
        </w:rPr>
        <w:t>建设</w:t>
      </w:r>
      <w:r>
        <w:rPr>
          <w:rFonts w:hint="eastAsia" w:eastAsia="方正仿宋_GBK" w:cs="Times New Roman"/>
          <w:color w:val="auto"/>
          <w:sz w:val="30"/>
          <w:szCs w:val="30"/>
        </w:rPr>
        <w:t>，</w:t>
      </w:r>
      <w:r>
        <w:rPr>
          <w:rFonts w:hint="eastAsia" w:eastAsia="方正仿宋_GBK" w:cs="Times New Roman"/>
          <w:color w:val="auto"/>
          <w:sz w:val="30"/>
          <w:szCs w:val="30"/>
          <w:lang w:val="en-US" w:eastAsia="zh-CN"/>
        </w:rPr>
        <w:t>打造新能源汽车现代产业实训基地、大同美食餐饮产业实训基地、农村电商和文旅融合学院实训基地、数字服务学院实训基地四大产业实训基地</w:t>
      </w:r>
      <w:r>
        <w:rPr>
          <w:rFonts w:hint="eastAsia" w:eastAsia="方正仿宋_GBK" w:cs="Times New Roman"/>
          <w:color w:val="auto"/>
          <w:sz w:val="30"/>
          <w:szCs w:val="30"/>
        </w:rPr>
        <w:t>。提高锦程职业技术学校办学水平。推进职业技能证书“双证制”改革，建设区级特教资源中心。推动特色骨干专业采用产教融合、校企合作模式办学，建设专业名师工作室、专业名匠工作室。</w:t>
      </w:r>
    </w:p>
    <w:p w14:paraId="609A7C56">
      <w:pPr>
        <w:spacing w:line="580" w:lineRule="exact"/>
        <w:ind w:firstLine="602"/>
        <w:rPr>
          <w:rFonts w:eastAsia="方正仿宋_GBK" w:cs="Times New Roman"/>
          <w:color w:val="auto"/>
          <w:sz w:val="30"/>
          <w:szCs w:val="30"/>
        </w:rPr>
      </w:pPr>
      <w:r>
        <w:rPr>
          <w:rFonts w:hint="eastAsia" w:eastAsia="方正仿宋_GBK" w:cs="Times New Roman"/>
          <w:b/>
          <w:bCs/>
          <w:color w:val="auto"/>
          <w:sz w:val="30"/>
          <w:szCs w:val="30"/>
        </w:rPr>
        <w:t>推动高等教育高质量发展。</w:t>
      </w:r>
      <w:r>
        <w:rPr>
          <w:rFonts w:hint="eastAsia" w:eastAsia="方正仿宋_GBK" w:cs="Times New Roman"/>
          <w:color w:val="auto"/>
          <w:sz w:val="30"/>
          <w:szCs w:val="30"/>
        </w:rPr>
        <w:t>校地协同推进山西大学大同校区建设，配套完善智慧教学、科研实验室等硬件设施，聚焦云冈能源转型、固废综合治理、文旅康养等重点领域需求，动态优化专业布局，共建产业学院与成果转化基地。实施校园基础设施提质行动，围绕采矿工程、新能源等本科专业，联动区域内企业共建特色实验室，强化工科应用型人才培养。</w:t>
      </w:r>
    </w:p>
    <w:p w14:paraId="5DF1653E">
      <w:pPr>
        <w:spacing w:line="580" w:lineRule="exact"/>
        <w:ind w:firstLine="602"/>
        <w:rPr>
          <w:rFonts w:eastAsia="方正仿宋_GBK" w:cs="Times New Roman"/>
          <w:color w:val="auto"/>
          <w:sz w:val="30"/>
          <w:szCs w:val="30"/>
        </w:rPr>
      </w:pPr>
      <w:r>
        <w:rPr>
          <w:rFonts w:hint="eastAsia" w:eastAsia="方正仿宋_GBK" w:cs="Times New Roman"/>
          <w:b/>
          <w:bCs/>
          <w:color w:val="auto"/>
          <w:sz w:val="30"/>
          <w:szCs w:val="30"/>
        </w:rPr>
        <w:t>全面提升现代教育水平。</w:t>
      </w:r>
      <w:r>
        <w:rPr>
          <w:rFonts w:hint="eastAsia" w:eastAsia="方正仿宋_GBK" w:cs="Times New Roman"/>
          <w:color w:val="auto"/>
          <w:sz w:val="30"/>
          <w:szCs w:val="30"/>
        </w:rPr>
        <w:t>实施新时代立德树人工程，促进思政课堂和社会课堂有效融合，加强体育、美育、劳动教育，完善教育评价体系。弘扬教育家精神，加强师德师风建设，建设政治素质过硬、业务能力精湛、育人水平高超的高素质专业化教师队伍，强化教师待遇保障。健全学校家庭社会协同育人机制。完善信息化基础设施，推进人工智能辅助教学融合创新，构建智能化教育评价体系。深入实施教育数字化战略，优化终身学习公共服务。</w:t>
      </w:r>
    </w:p>
    <w:p w14:paraId="6D7DDF50">
      <w:pPr>
        <w:spacing w:line="580" w:lineRule="exact"/>
        <w:ind w:firstLine="0" w:firstLineChars="0"/>
        <w:jc w:val="center"/>
        <w:outlineLvl w:val="1"/>
        <w:rPr>
          <w:rFonts w:eastAsia="楷体" w:cs="Times New Roman"/>
          <w:color w:val="auto"/>
          <w:sz w:val="30"/>
          <w:szCs w:val="30"/>
        </w:rPr>
      </w:pPr>
      <w:bookmarkStart w:id="325" w:name="_Toc127781047"/>
      <w:bookmarkStart w:id="326" w:name="_Toc1044449491"/>
      <w:bookmarkStart w:id="327" w:name="_Toc1621549651"/>
      <w:bookmarkStart w:id="328" w:name="_Toc900635492"/>
      <w:r>
        <w:rPr>
          <w:rFonts w:hint="eastAsia" w:eastAsia="楷体" w:cs="Times New Roman"/>
          <w:color w:val="auto"/>
          <w:sz w:val="30"/>
          <w:szCs w:val="30"/>
        </w:rPr>
        <w:t>第三节  建设更高水平的</w:t>
      </w:r>
      <w:bookmarkStart w:id="329" w:name="OLE_LINK24"/>
      <w:r>
        <w:rPr>
          <w:rFonts w:hint="eastAsia" w:eastAsia="楷体" w:cs="Times New Roman"/>
          <w:color w:val="auto"/>
          <w:sz w:val="30"/>
          <w:szCs w:val="30"/>
        </w:rPr>
        <w:t>健康云冈</w:t>
      </w:r>
      <w:bookmarkEnd w:id="325"/>
      <w:bookmarkEnd w:id="326"/>
      <w:bookmarkEnd w:id="327"/>
      <w:bookmarkEnd w:id="328"/>
      <w:bookmarkEnd w:id="329"/>
    </w:p>
    <w:p w14:paraId="1BB0FF89">
      <w:pPr>
        <w:spacing w:line="580" w:lineRule="exact"/>
        <w:ind w:firstLine="602"/>
        <w:rPr>
          <w:rFonts w:eastAsia="方正仿宋_GBK" w:cs="Times New Roman"/>
          <w:color w:val="auto"/>
          <w:sz w:val="30"/>
          <w:szCs w:val="30"/>
        </w:rPr>
      </w:pPr>
      <w:r>
        <w:rPr>
          <w:rFonts w:hint="eastAsia" w:eastAsia="方正仿宋_GBK" w:cs="Times New Roman"/>
          <w:b/>
          <w:bCs/>
          <w:color w:val="auto"/>
          <w:sz w:val="30"/>
          <w:szCs w:val="30"/>
        </w:rPr>
        <w:t>加强优质医疗资源供给。</w:t>
      </w:r>
      <w:r>
        <w:rPr>
          <w:rFonts w:hint="eastAsia" w:eastAsia="方正仿宋_GBK" w:cs="Times New Roman"/>
          <w:color w:val="auto"/>
          <w:sz w:val="30"/>
          <w:szCs w:val="30"/>
        </w:rPr>
        <w:t>推进医疗服务体系建设，优化完善三级诊疗体系，全力推动区人民医院换址迁建工作，建设区域医疗健康平台，推动集团化智慧医院一体化建设，开展远程会诊、慢病管理等服务</w:t>
      </w:r>
      <w:r>
        <w:rPr>
          <w:rFonts w:hint="eastAsia" w:eastAsia="方正仿宋_GBK" w:cs="Times New Roman"/>
          <w:color w:val="auto"/>
          <w:sz w:val="30"/>
          <w:szCs w:val="30"/>
          <w:lang w:eastAsia="zh-CN"/>
        </w:rPr>
        <w:t>。</w:t>
      </w:r>
      <w:r>
        <w:rPr>
          <w:rFonts w:hint="eastAsia" w:eastAsia="方正仿宋_GBK" w:cs="Times New Roman"/>
          <w:color w:val="auto"/>
          <w:sz w:val="30"/>
          <w:szCs w:val="30"/>
        </w:rPr>
        <w:t>依托国药同煤总医院牵头建设云冈区城市医疗集团。推动以二级标准打造区妇幼保健院，在区中医院建设大同市云冈区健康管理中心。</w:t>
      </w:r>
    </w:p>
    <w:p w14:paraId="5D07AC29">
      <w:pPr>
        <w:widowControl/>
        <w:spacing w:line="580" w:lineRule="exact"/>
        <w:ind w:firstLine="602" w:firstLineChars="0"/>
        <w:rPr>
          <w:rFonts w:eastAsia="方正仿宋_GBK" w:cs="Times New Roman"/>
          <w:color w:val="auto"/>
          <w:sz w:val="30"/>
          <w:szCs w:val="30"/>
        </w:rPr>
      </w:pPr>
      <w:r>
        <w:rPr>
          <w:rFonts w:hint="eastAsia" w:eastAsia="方正仿宋_GBK" w:cs="Times New Roman"/>
          <w:b/>
          <w:bCs/>
          <w:color w:val="auto"/>
          <w:sz w:val="30"/>
          <w:szCs w:val="30"/>
        </w:rPr>
        <w:t>实施医疗卫生强基工程。</w:t>
      </w:r>
      <w:r>
        <w:rPr>
          <w:rFonts w:hint="eastAsia" w:eastAsia="方正仿宋_GBK" w:cs="Times New Roman"/>
          <w:color w:val="auto"/>
          <w:sz w:val="30"/>
          <w:szCs w:val="30"/>
        </w:rPr>
        <w:t>健全以区级医院为龙头、乡镇卫生院为枢纽、村卫生室为基础的乡村医疗卫生服务体系，进一步加强城市社区卫生服务体系建设。推进乡镇卫生院提质升级，加快推进鸦儿崖乡卫生院搬迁建设项目、高山镇卫生院服务能力提升项目等，推动实现乡镇卫生院医疗设备更新换代，深入开展社区医疗卫生机构和村卫生室标准化建设，提高基层医疗服务能力。加强基层卫生人才队伍建设，继续实施“千名医师下基层”行动，建立基层医务人员“区管乡用”机制。</w:t>
      </w:r>
    </w:p>
    <w:p w14:paraId="11D311EB">
      <w:pPr>
        <w:spacing w:line="580" w:lineRule="exact"/>
        <w:ind w:firstLine="602"/>
        <w:rPr>
          <w:rFonts w:eastAsia="方正仿宋_GBK" w:cs="Times New Roman"/>
          <w:color w:val="auto"/>
          <w:sz w:val="30"/>
          <w:szCs w:val="30"/>
        </w:rPr>
      </w:pPr>
      <w:r>
        <w:rPr>
          <w:rFonts w:hint="eastAsia" w:eastAsia="方正仿宋_GBK" w:cs="Times New Roman"/>
          <w:b/>
          <w:bCs/>
          <w:color w:val="auto"/>
          <w:sz w:val="30"/>
          <w:szCs w:val="30"/>
        </w:rPr>
        <w:t>健全公共卫生服务体系。</w:t>
      </w:r>
      <w:r>
        <w:rPr>
          <w:rFonts w:hint="eastAsia" w:eastAsia="方正仿宋_GBK" w:cs="Times New Roman"/>
          <w:color w:val="auto"/>
          <w:sz w:val="30"/>
          <w:szCs w:val="30"/>
        </w:rPr>
        <w:t>加强智慧化监测预警与应急指挥信息平台建设，提高监测预警敏感性和协同性。推动疾病预防控制体系改革发展，促进医防协同、医防融合，完成区疾控中心实验室改造，</w:t>
      </w:r>
      <w:r>
        <w:rPr>
          <w:rFonts w:hint="eastAsia" w:eastAsia="方正仿宋_GBK" w:cs="Times New Roman"/>
          <w:color w:val="auto"/>
          <w:sz w:val="30"/>
          <w:szCs w:val="30"/>
          <w:lang w:val="en-US" w:eastAsia="zh-CN"/>
        </w:rPr>
        <w:t>将疾病预防、健康管理融入日常医疗服务，</w:t>
      </w:r>
      <w:r>
        <w:rPr>
          <w:rFonts w:hint="eastAsia" w:eastAsia="方正仿宋_GBK" w:cs="Times New Roman"/>
          <w:color w:val="auto"/>
          <w:sz w:val="30"/>
          <w:szCs w:val="30"/>
        </w:rPr>
        <w:t>提升突发公共卫生事件应对处置能力。不断加强重点传染病防控，强化结核等传染病监测，持续提升公共卫生综合干预能力和水平。大力开展爱国卫生运动。</w:t>
      </w:r>
    </w:p>
    <w:p w14:paraId="2D0C07DA">
      <w:pPr>
        <w:spacing w:line="580" w:lineRule="exact"/>
        <w:ind w:firstLine="602"/>
        <w:rPr>
          <w:rFonts w:eastAsia="方正仿宋_GBK" w:cs="Times New Roman"/>
          <w:color w:val="auto"/>
          <w:sz w:val="30"/>
          <w:szCs w:val="30"/>
        </w:rPr>
      </w:pPr>
      <w:r>
        <w:rPr>
          <w:rFonts w:hint="eastAsia" w:eastAsia="方正仿宋_GBK" w:cs="Times New Roman"/>
          <w:b/>
          <w:bCs/>
          <w:color w:val="auto"/>
          <w:sz w:val="30"/>
          <w:szCs w:val="30"/>
        </w:rPr>
        <w:t>深化医药卫生体制改革。</w:t>
      </w:r>
      <w:r>
        <w:rPr>
          <w:rFonts w:hint="eastAsia" w:eastAsia="方正仿宋_GBK" w:cs="Times New Roman"/>
          <w:color w:val="auto"/>
          <w:sz w:val="30"/>
          <w:szCs w:val="30"/>
        </w:rPr>
        <w:t>深化以公益性为导向的公立医院改革，促进医疗、医保、医药“三医”协同发展与治理。落实医保支付方式改革要求，动态调整医疗服务价格。巩固完善基本药物制度，持续完善基层药品联动管理机制。持续深化公立医院薪酬制度改革，</w:t>
      </w:r>
      <w:r>
        <w:rPr>
          <w:rFonts w:hint="eastAsia" w:eastAsia="方正仿宋_GBK" w:cs="Times New Roman"/>
          <w:color w:val="auto"/>
          <w:sz w:val="30"/>
          <w:szCs w:val="30"/>
          <w:lang w:val="en-US" w:eastAsia="zh-CN"/>
        </w:rPr>
        <w:t>推动出台公立医院薪酬总量管理办法，</w:t>
      </w:r>
      <w:r>
        <w:rPr>
          <w:rFonts w:hint="eastAsia" w:eastAsia="方正仿宋_GBK" w:cs="Times New Roman"/>
          <w:color w:val="auto"/>
          <w:sz w:val="30"/>
          <w:szCs w:val="30"/>
        </w:rPr>
        <w:t>合理调控公立医院收入差距。建立公立医院编制动态调整机制，引导区级医疗卫生机构用好空余编制。以区人民医院为引领，加快卫生健康信息化建设，提升全民健康智慧化水平。</w:t>
      </w:r>
    </w:p>
    <w:p w14:paraId="6C86D1AE">
      <w:pPr>
        <w:spacing w:line="580" w:lineRule="exact"/>
        <w:ind w:firstLine="0" w:firstLineChars="0"/>
        <w:jc w:val="center"/>
        <w:outlineLvl w:val="1"/>
        <w:rPr>
          <w:rFonts w:eastAsia="楷体" w:cs="Times New Roman"/>
          <w:color w:val="auto"/>
          <w:sz w:val="30"/>
          <w:szCs w:val="30"/>
        </w:rPr>
      </w:pPr>
      <w:bookmarkStart w:id="330" w:name="_Toc1817503927"/>
      <w:bookmarkStart w:id="331" w:name="_Toc132409929"/>
      <w:bookmarkStart w:id="332" w:name="_Toc1515969988"/>
      <w:bookmarkStart w:id="333" w:name="_Toc531264659"/>
      <w:r>
        <w:rPr>
          <w:rFonts w:hint="eastAsia" w:eastAsia="楷体" w:cs="Times New Roman"/>
          <w:color w:val="auto"/>
          <w:sz w:val="30"/>
          <w:szCs w:val="30"/>
        </w:rPr>
        <w:t>第四节  健全完善多层次社会保障体系</w:t>
      </w:r>
      <w:bookmarkEnd w:id="330"/>
      <w:bookmarkEnd w:id="331"/>
      <w:bookmarkEnd w:id="332"/>
      <w:bookmarkEnd w:id="333"/>
    </w:p>
    <w:p w14:paraId="47D8E3DB">
      <w:pPr>
        <w:spacing w:line="580" w:lineRule="exact"/>
        <w:ind w:right="15" w:firstLine="602"/>
        <w:jc w:val="both"/>
        <w:rPr>
          <w:rFonts w:eastAsia="方正仿宋_GBK" w:cs="Times New Roman"/>
          <w:color w:val="auto"/>
          <w:sz w:val="30"/>
          <w:szCs w:val="30"/>
        </w:rPr>
      </w:pPr>
      <w:r>
        <w:rPr>
          <w:rFonts w:hint="eastAsia" w:eastAsia="方正仿宋_GBK" w:cs="Times New Roman"/>
          <w:b/>
          <w:bCs/>
          <w:color w:val="auto"/>
          <w:sz w:val="30"/>
          <w:szCs w:val="30"/>
        </w:rPr>
        <w:t>发展多层次、多支柱养老保险体系</w:t>
      </w:r>
      <w:r>
        <w:rPr>
          <w:rFonts w:hint="eastAsia" w:eastAsia="方正仿宋_GBK" w:cs="Times New Roman"/>
          <w:color w:val="auto"/>
          <w:sz w:val="30"/>
          <w:szCs w:val="30"/>
        </w:rPr>
        <w:t>。大力推进全民参保计划，逐步提高城乡居民基础养老金，扩大企业年金覆盖范围。优化药品集采、医保支付和结余资金使用政策，加快推进长期护理保险。扩大失业、工伤等保险覆盖面，建立健全职业伤害保障制度。鼓励支持灵活就业人员、新就业形态人员参加职工保险。进一步完善社保经办内控制度，完善制度、经办、监督三位一体的监管体系，确保社保基金安全有效运行。</w:t>
      </w:r>
    </w:p>
    <w:p w14:paraId="05B0213B">
      <w:pPr>
        <w:spacing w:line="580" w:lineRule="exact"/>
        <w:ind w:right="15" w:firstLine="602"/>
        <w:jc w:val="both"/>
        <w:rPr>
          <w:rFonts w:eastAsia="方正仿宋_GBK" w:cs="Times New Roman"/>
          <w:color w:val="auto"/>
          <w:sz w:val="30"/>
          <w:szCs w:val="30"/>
        </w:rPr>
      </w:pPr>
      <w:r>
        <w:rPr>
          <w:rFonts w:hint="eastAsia" w:eastAsia="方正仿宋_GBK" w:cs="Times New Roman"/>
          <w:b/>
          <w:bCs/>
          <w:color w:val="auto"/>
          <w:sz w:val="30"/>
          <w:szCs w:val="30"/>
        </w:rPr>
        <w:t>加强社会救助兜底帮扶。</w:t>
      </w:r>
      <w:r>
        <w:rPr>
          <w:rFonts w:hint="eastAsia" w:eastAsia="方正仿宋_GBK" w:cs="Times New Roman"/>
          <w:b w:val="0"/>
          <w:bCs w:val="0"/>
          <w:color w:val="auto"/>
          <w:sz w:val="30"/>
          <w:szCs w:val="30"/>
          <w:lang w:val="en-US" w:eastAsia="zh-CN"/>
        </w:rPr>
        <w:t>细化完善社会救助制度机制，</w:t>
      </w:r>
      <w:r>
        <w:rPr>
          <w:rFonts w:hint="eastAsia" w:eastAsia="方正仿宋_GBK" w:cs="Times New Roman"/>
          <w:color w:val="auto"/>
          <w:sz w:val="30"/>
          <w:szCs w:val="30"/>
        </w:rPr>
        <w:t>健全分层分类社会救助体系，</w:t>
      </w:r>
      <w:r>
        <w:rPr>
          <w:rFonts w:hint="eastAsia" w:eastAsia="方正仿宋_GBK" w:cs="Times New Roman"/>
          <w:color w:val="auto"/>
          <w:sz w:val="30"/>
          <w:szCs w:val="30"/>
          <w:lang w:val="en-US" w:eastAsia="zh-CN"/>
        </w:rPr>
        <w:t>做好社会福利、扶残助残领域保障，完善儿童福利机构和未成年人救助保护机构社会服务功能</w:t>
      </w:r>
      <w:r>
        <w:rPr>
          <w:rFonts w:hint="eastAsia" w:eastAsia="方正仿宋_GBK" w:cs="Times New Roman"/>
          <w:color w:val="auto"/>
          <w:sz w:val="30"/>
          <w:szCs w:val="30"/>
        </w:rPr>
        <w:t>。建立救助标准动态调整机制，建立低保、特困供养标准与城乡居民人均可支配收入增速挂钩机制，大幅提高城乡低保标准，强化与医保、养老政策衔接，不断缩小城乡救助差距。推进高山镇、鸦儿崖乡等基层救助站点标准化建设。推广“互联网+救助”服务，实现低保申领、临时救助审批等事项“掌上办”。</w:t>
      </w:r>
    </w:p>
    <w:p w14:paraId="0CB42B5A">
      <w:pPr>
        <w:spacing w:line="580" w:lineRule="exact"/>
        <w:ind w:right="15" w:firstLine="602"/>
        <w:jc w:val="both"/>
        <w:rPr>
          <w:rFonts w:eastAsia="方正仿宋_GBK" w:cs="Times New Roman"/>
          <w:color w:val="auto"/>
          <w:sz w:val="30"/>
          <w:szCs w:val="30"/>
        </w:rPr>
      </w:pPr>
      <w:r>
        <w:rPr>
          <w:rFonts w:hint="eastAsia" w:eastAsia="方正仿宋_GBK" w:cs="Times New Roman"/>
          <w:b/>
          <w:bCs/>
          <w:color w:val="auto"/>
          <w:sz w:val="30"/>
          <w:szCs w:val="30"/>
        </w:rPr>
        <w:t>完善重点人群关爱服务。</w:t>
      </w:r>
      <w:r>
        <w:rPr>
          <w:rFonts w:hint="eastAsia" w:eastAsia="方正仿宋_GBK" w:cs="Times New Roman"/>
          <w:color w:val="auto"/>
          <w:sz w:val="30"/>
          <w:szCs w:val="30"/>
        </w:rPr>
        <w:t>加强低保家庭、特困人员、空巢老人、困境儿童、残疾人等困难群体服务保障能力，持续开展“一对一”结对帮扶。</w:t>
      </w:r>
      <w:r>
        <w:rPr>
          <w:rFonts w:hint="eastAsia" w:eastAsia="方正仿宋_GBK" w:cs="Times New Roman"/>
          <w:color w:val="auto"/>
          <w:sz w:val="30"/>
          <w:szCs w:val="30"/>
          <w:lang w:val="en-US" w:eastAsia="zh-CN"/>
        </w:rPr>
        <w:t>健全殡葬基本公共服务供给制度，</w:t>
      </w:r>
      <w:r>
        <w:rPr>
          <w:rFonts w:hint="eastAsia" w:eastAsia="方正仿宋_GBK" w:cs="Times New Roman"/>
          <w:color w:val="auto"/>
          <w:sz w:val="30"/>
          <w:szCs w:val="30"/>
        </w:rPr>
        <w:t>加强城镇公益性安葬设施建设，建设云冈区</w:t>
      </w:r>
      <w:r>
        <w:rPr>
          <w:rFonts w:hint="eastAsia" w:eastAsia="方正仿宋_GBK" w:cs="Times New Roman"/>
          <w:color w:val="auto"/>
          <w:sz w:val="30"/>
          <w:szCs w:val="30"/>
          <w:lang w:val="en-US" w:eastAsia="zh-CN"/>
        </w:rPr>
        <w:t>公益性公墓</w:t>
      </w:r>
      <w:r>
        <w:rPr>
          <w:rFonts w:hint="eastAsia" w:eastAsia="方正仿宋_GBK" w:cs="Times New Roman"/>
          <w:color w:val="auto"/>
          <w:sz w:val="30"/>
          <w:szCs w:val="30"/>
        </w:rPr>
        <w:t>林草复合项目</w:t>
      </w:r>
      <w:r>
        <w:rPr>
          <w:rFonts w:hint="eastAsia" w:eastAsia="方正仿宋_GBK"/>
          <w:color w:val="auto"/>
        </w:rPr>
        <w:t>，</w:t>
      </w:r>
      <w:r>
        <w:rPr>
          <w:rFonts w:hint="eastAsia" w:eastAsia="方正仿宋_GBK" w:cs="Times New Roman"/>
          <w:color w:val="auto"/>
          <w:sz w:val="30"/>
          <w:szCs w:val="30"/>
        </w:rPr>
        <w:t>扩大惠民殡葬政策覆盖面。加强对妇女、儿童等重点群体关爱服务，保障其合法权益。落实残疾人“两项补贴”政策，推动精神障碍康复服务向社区延伸。深化退役军人服务保障体系建设，推行“阳光安置”工作机制，搭建退役军人高质量就业平台，引导退役军人融入能源革命、文化旅游等特色领域创业就业。</w:t>
      </w:r>
    </w:p>
    <w:p w14:paraId="1D2D9417">
      <w:pPr>
        <w:spacing w:line="580" w:lineRule="exact"/>
        <w:ind w:firstLine="0" w:firstLineChars="0"/>
        <w:jc w:val="center"/>
        <w:outlineLvl w:val="1"/>
        <w:rPr>
          <w:rFonts w:eastAsia="楷体" w:cs="Times New Roman"/>
          <w:color w:val="auto"/>
          <w:sz w:val="30"/>
          <w:szCs w:val="30"/>
        </w:rPr>
      </w:pPr>
      <w:bookmarkStart w:id="334" w:name="_Toc981106161"/>
      <w:bookmarkStart w:id="335" w:name="_Toc620618411"/>
      <w:bookmarkStart w:id="336" w:name="_Toc1875603234"/>
      <w:bookmarkStart w:id="337" w:name="_Toc1161600308"/>
      <w:r>
        <w:rPr>
          <w:rFonts w:hint="eastAsia" w:eastAsia="楷体" w:cs="Times New Roman"/>
          <w:color w:val="auto"/>
          <w:sz w:val="30"/>
          <w:szCs w:val="30"/>
        </w:rPr>
        <w:t xml:space="preserve">第五节  </w:t>
      </w:r>
      <w:bookmarkEnd w:id="334"/>
      <w:bookmarkEnd w:id="335"/>
      <w:r>
        <w:rPr>
          <w:rFonts w:hint="eastAsia" w:eastAsia="楷体" w:cs="Times New Roman"/>
          <w:color w:val="auto"/>
          <w:sz w:val="30"/>
          <w:szCs w:val="30"/>
        </w:rPr>
        <w:t>促进人口长期均衡高质量发展</w:t>
      </w:r>
      <w:bookmarkEnd w:id="336"/>
      <w:bookmarkEnd w:id="337"/>
    </w:p>
    <w:p w14:paraId="4948B6CC">
      <w:pPr>
        <w:widowControl/>
        <w:spacing w:line="580" w:lineRule="exact"/>
        <w:ind w:firstLine="602" w:firstLineChars="0"/>
        <w:rPr>
          <w:rFonts w:eastAsia="楷体_GB2312" w:cs="楷体_GB2312"/>
          <w:b/>
          <w:bCs/>
          <w:color w:val="auto"/>
          <w:sz w:val="32"/>
          <w:szCs w:val="32"/>
        </w:rPr>
      </w:pPr>
      <w:r>
        <w:rPr>
          <w:rFonts w:hint="eastAsia" w:eastAsia="方正仿宋_GBK" w:cs="Times New Roman"/>
          <w:b/>
          <w:bCs/>
          <w:color w:val="auto"/>
          <w:sz w:val="30"/>
          <w:szCs w:val="30"/>
        </w:rPr>
        <w:t>完善生育支持政策体系。</w:t>
      </w:r>
      <w:r>
        <w:rPr>
          <w:rFonts w:hint="eastAsia" w:eastAsia="方正仿宋_GBK" w:cs="Times New Roman"/>
          <w:b w:val="0"/>
          <w:bCs w:val="0"/>
          <w:color w:val="auto"/>
          <w:sz w:val="30"/>
          <w:szCs w:val="30"/>
          <w:lang w:val="en-US" w:eastAsia="zh-CN"/>
        </w:rPr>
        <w:t>完善生育支持配套政策体系，</w:t>
      </w:r>
      <w:r>
        <w:rPr>
          <w:rFonts w:hint="eastAsia" w:eastAsia="方正仿宋_GBK" w:cs="Times New Roman"/>
          <w:color w:val="auto"/>
          <w:sz w:val="30"/>
          <w:szCs w:val="30"/>
        </w:rPr>
        <w:t>落实优化生育休假和待遇保障机制，做好生育补贴发放，加快构建生育友好型社会，提升生育全程服务保障能力。有序提高需求旺盛的地区托位覆盖率，支持煤企、国企将闲置厂房、办公楼改建为普惠托育机构，</w:t>
      </w:r>
      <w:r>
        <w:rPr>
          <w:rFonts w:hint="eastAsia" w:eastAsia="方正仿宋_GBK" w:cs="方正仿宋_GBK"/>
          <w:color w:val="auto"/>
          <w:sz w:val="30"/>
          <w:szCs w:val="30"/>
        </w:rPr>
        <w:t>推动托育服务和学前教育融合发展</w:t>
      </w:r>
      <w:r>
        <w:rPr>
          <w:rFonts w:hint="eastAsia" w:eastAsia="方正仿宋_GBK" w:cs="Times New Roman"/>
          <w:color w:val="auto"/>
          <w:sz w:val="30"/>
          <w:szCs w:val="30"/>
        </w:rPr>
        <w:t>。支持有条件的基层医疗卫生机构设置儿科，通过全科、中医科等科室医务人员提供儿科诊疗服务。</w:t>
      </w:r>
    </w:p>
    <w:p w14:paraId="52936C7C">
      <w:pPr>
        <w:widowControl/>
        <w:spacing w:line="580" w:lineRule="exact"/>
        <w:ind w:firstLine="602" w:firstLineChars="0"/>
        <w:rPr>
          <w:rFonts w:eastAsia="楷体_GB2312" w:cs="楷体_GB2312"/>
          <w:b/>
          <w:bCs/>
          <w:color w:val="auto"/>
          <w:sz w:val="32"/>
          <w:szCs w:val="32"/>
        </w:rPr>
      </w:pPr>
      <w:r>
        <w:rPr>
          <w:rFonts w:hint="eastAsia" w:eastAsia="方正仿宋_GBK" w:cs="Times New Roman"/>
          <w:b/>
          <w:bCs/>
          <w:color w:val="auto"/>
          <w:sz w:val="30"/>
          <w:szCs w:val="30"/>
        </w:rPr>
        <w:t>积极应对人口老龄化。</w:t>
      </w:r>
      <w:r>
        <w:rPr>
          <w:rFonts w:hint="eastAsia" w:eastAsia="方正仿宋_GBK" w:cs="Times New Roman"/>
          <w:color w:val="auto"/>
          <w:sz w:val="30"/>
          <w:szCs w:val="30"/>
        </w:rPr>
        <w:t>优化基本养老服务供给，加快健全区、乡、村三级养老服务网络，大力发展社区嵌入式养老服务，积极发展农村互助性养老服务，加强护理型床位建设，推广家庭养老床位和适老化改造，推动医养结合发展。</w:t>
      </w:r>
      <w:r>
        <w:rPr>
          <w:rFonts w:hint="eastAsia" w:eastAsia="方正仿宋_GBK" w:cs="Times New Roman"/>
          <w:color w:val="auto"/>
          <w:sz w:val="30"/>
          <w:szCs w:val="30"/>
          <w:lang w:val="en-US" w:eastAsia="zh-CN"/>
        </w:rPr>
        <w:t>推动公办养老机构做好兜底保障工作，鼓励增加普惠性养老照护服务。优化整合小散弱乡镇养老院，实行“乡院县管”。</w:t>
      </w:r>
      <w:r>
        <w:rPr>
          <w:rFonts w:hint="eastAsia" w:eastAsia="方正仿宋_GBK" w:cs="Times New Roman"/>
          <w:color w:val="auto"/>
          <w:sz w:val="30"/>
          <w:szCs w:val="30"/>
        </w:rPr>
        <w:t>推动新建住宅小区按标准配建养老服务设施，结合城市更新行动，加强公共设施适老化和无障碍改造。健全失能失智老年人照护体系，扩大康复护理、喘息服务、安宁疗护等服务供给。</w:t>
      </w:r>
      <w:r>
        <w:rPr>
          <w:rFonts w:hint="eastAsia" w:eastAsia="方正仿宋_GBK" w:cs="Times New Roman"/>
          <w:color w:val="auto"/>
          <w:sz w:val="30"/>
          <w:szCs w:val="30"/>
          <w:lang w:val="en-US" w:eastAsia="zh-CN"/>
        </w:rPr>
        <w:t>加快推动平旺乡养老幸福工程，探索“公建国营”模式，支持乡镇卫生院积极发展医养结合服务。</w:t>
      </w:r>
      <w:r>
        <w:rPr>
          <w:rFonts w:hint="eastAsia" w:eastAsia="方正仿宋_GBK" w:cs="Times New Roman"/>
          <w:color w:val="auto"/>
          <w:sz w:val="30"/>
          <w:szCs w:val="30"/>
        </w:rPr>
        <w:t>落实渐进式延迟法定退休年龄，优化就业、社保等方面年龄限制政策。深入开展“银龄行动”。</w:t>
      </w:r>
    </w:p>
    <w:p w14:paraId="0A488A6A">
      <w:pPr>
        <w:spacing w:line="580" w:lineRule="exact"/>
        <w:ind w:firstLine="602"/>
        <w:rPr>
          <w:rFonts w:eastAsia="方正仿宋_GBK" w:cs="Times New Roman"/>
          <w:color w:val="auto"/>
          <w:sz w:val="30"/>
          <w:szCs w:val="30"/>
        </w:rPr>
      </w:pPr>
      <w:r>
        <w:rPr>
          <w:rFonts w:hint="eastAsia" w:eastAsia="方正仿宋_GBK" w:cs="Times New Roman"/>
          <w:b/>
          <w:bCs/>
          <w:color w:val="auto"/>
          <w:sz w:val="30"/>
          <w:szCs w:val="30"/>
        </w:rPr>
        <w:t>打造青年友好型社会。</w:t>
      </w:r>
      <w:r>
        <w:rPr>
          <w:rFonts w:hint="eastAsia" w:eastAsia="方正仿宋_GBK" w:cs="Times New Roman"/>
          <w:color w:val="auto"/>
          <w:sz w:val="30"/>
          <w:szCs w:val="30"/>
        </w:rPr>
        <w:t>抓好高校毕业生和失业青年政策宣传、岗位推荐、职业指导、职业技能培训服务，联动国药同煤等企业积极开发青年岗位，升级“青年驿站”。搭建青年突击队、青年文明号、新时代青年先锋相互融合的阶梯式职业青年激励体系，培树一批青年先进模范。深化法治进校园、心理辅导等护航行动。培育青年志愿服务队，推动青年积极参与基层治理、乡村振兴等领域。</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32BFC4A">
        <w:tc>
          <w:tcPr>
            <w:tcW w:w="8522" w:type="dxa"/>
          </w:tcPr>
          <w:p w14:paraId="5C575E39">
            <w:pPr>
              <w:widowControl/>
              <w:topLinePunct w:val="0"/>
              <w:adjustRightInd/>
              <w:snapToGrid/>
              <w:spacing w:line="500" w:lineRule="exact"/>
              <w:ind w:firstLine="0" w:firstLineChars="0"/>
              <w:jc w:val="center"/>
              <w:rPr>
                <w:rFonts w:eastAsia="方正黑体_GBK" w:cs="Times New Roman"/>
                <w:color w:val="auto"/>
                <w:sz w:val="28"/>
                <w:szCs w:val="28"/>
              </w:rPr>
            </w:pPr>
            <w:r>
              <w:rPr>
                <w:rFonts w:hint="eastAsia" w:eastAsia="方正黑体_GBK" w:cs="Times New Roman"/>
                <w:color w:val="auto"/>
                <w:sz w:val="28"/>
                <w:szCs w:val="28"/>
              </w:rPr>
              <w:t>专栏8 公共服务能力提升项目</w:t>
            </w:r>
          </w:p>
          <w:p w14:paraId="3D7D0DFD">
            <w:pPr>
              <w:widowControl/>
              <w:spacing w:line="500" w:lineRule="exact"/>
              <w:ind w:firstLine="562"/>
              <w:rPr>
                <w:rFonts w:eastAsia="方正仿宋_GBK" w:cs="Times New Roman"/>
                <w:color w:val="auto"/>
                <w:sz w:val="28"/>
                <w:szCs w:val="28"/>
              </w:rPr>
            </w:pPr>
            <w:r>
              <w:rPr>
                <w:rFonts w:hint="eastAsia" w:ascii="方正仿宋_GBK" w:hAnsi="方正仿宋_GBK" w:eastAsia="方正仿宋_GBK" w:cs="方正仿宋_GBK"/>
                <w:b/>
                <w:bCs/>
                <w:color w:val="auto"/>
                <w:sz w:val="28"/>
                <w:szCs w:val="28"/>
              </w:rPr>
              <w:t>公共教育服务重点项目。</w:t>
            </w:r>
            <w:r>
              <w:rPr>
                <w:rFonts w:hint="eastAsia" w:ascii="方正仿宋_GBK" w:hAnsi="方正仿宋_GBK" w:eastAsia="方正仿宋_GBK" w:cs="方正仿宋_GBK"/>
                <w:b w:val="0"/>
                <w:bCs w:val="0"/>
                <w:color w:val="auto"/>
                <w:sz w:val="28"/>
                <w:szCs w:val="28"/>
              </w:rPr>
              <w:t>启动平旺区十二年一贯制寄宿制学校。</w:t>
            </w:r>
            <w:r>
              <w:rPr>
                <w:rFonts w:hint="eastAsia" w:ascii="方正仿宋_GBK" w:hAnsi="方正仿宋_GBK" w:eastAsia="方正仿宋_GBK" w:cs="方正仿宋_GBK"/>
                <w:b w:val="0"/>
                <w:bCs w:val="0"/>
                <w:color w:val="auto"/>
                <w:sz w:val="28"/>
                <w:szCs w:val="28"/>
                <w:lang w:val="en-US" w:eastAsia="zh-CN"/>
              </w:rPr>
              <w:t>启动平盛三小北校区。</w:t>
            </w:r>
            <w:r>
              <w:rPr>
                <w:rFonts w:hint="eastAsia" w:eastAsia="方正仿宋_GBK" w:cs="Times New Roman"/>
                <w:color w:val="auto"/>
                <w:sz w:val="28"/>
                <w:szCs w:val="28"/>
              </w:rPr>
              <w:t>实验小学马营分校</w:t>
            </w:r>
            <w:r>
              <w:rPr>
                <w:rFonts w:hint="eastAsia" w:eastAsia="方正仿宋_GBK" w:cs="Times New Roman"/>
                <w:color w:val="auto"/>
                <w:sz w:val="28"/>
                <w:szCs w:val="28"/>
                <w:lang w:val="en-US" w:eastAsia="zh-CN"/>
              </w:rPr>
              <w:t>建设项目</w:t>
            </w:r>
            <w:r>
              <w:rPr>
                <w:rFonts w:hint="eastAsia" w:eastAsia="方正仿宋_GBK" w:cs="Times New Roman"/>
                <w:color w:val="auto"/>
                <w:sz w:val="28"/>
                <w:szCs w:val="28"/>
              </w:rPr>
              <w:t>。职业中学实训楼建设项目。改善义务教育学校办学条件（设备类）。恒安二中等2所搬迁学校的新校址改造项目。义务教育学校校舍安全及改善提升办学条件改造项目。云冈区西韩岭学校及云冈区职业中学消防设施修缮改造工程项目。</w:t>
            </w:r>
            <w:r>
              <w:rPr>
                <w:rFonts w:hint="eastAsia" w:eastAsia="方正仿宋_GBK" w:cs="Times New Roman"/>
                <w:color w:val="auto"/>
                <w:sz w:val="28"/>
                <w:szCs w:val="28"/>
                <w:lang w:val="en-US" w:eastAsia="zh-CN"/>
              </w:rPr>
              <w:t>三所高中改善办学条件维修</w:t>
            </w:r>
            <w:r>
              <w:rPr>
                <w:rFonts w:hint="eastAsia" w:eastAsia="方正仿宋_GBK" w:cs="Times New Roman"/>
                <w:color w:val="auto"/>
                <w:sz w:val="28"/>
                <w:szCs w:val="28"/>
              </w:rPr>
              <w:t>改造项目。大同市云冈区口泉中学教育强国基础设施建设工程项目。魏都特色职业高级中学。</w:t>
            </w:r>
          </w:p>
          <w:p w14:paraId="6ED1FFD8">
            <w:pPr>
              <w:widowControl/>
              <w:spacing w:line="500" w:lineRule="exact"/>
              <w:ind w:firstLine="562"/>
              <w:rPr>
                <w:rFonts w:hint="default" w:eastAsia="方正仿宋_GBK" w:cs="Times New Roman"/>
                <w:color w:val="auto"/>
                <w:sz w:val="28"/>
                <w:szCs w:val="28"/>
                <w:lang w:val="en-US" w:eastAsia="zh-CN"/>
              </w:rPr>
            </w:pPr>
            <w:r>
              <w:rPr>
                <w:rFonts w:hint="eastAsia" w:ascii="方正仿宋_GBK" w:hAnsi="方正仿宋_GBK" w:eastAsia="方正仿宋_GBK" w:cs="方正仿宋_GBK"/>
                <w:b/>
                <w:bCs/>
                <w:color w:val="auto"/>
                <w:sz w:val="28"/>
                <w:szCs w:val="28"/>
              </w:rPr>
              <w:t>公共医疗卫生服务重点项目。</w:t>
            </w:r>
            <w:r>
              <w:rPr>
                <w:rFonts w:hint="eastAsia" w:ascii="方正仿宋_GBK" w:hAnsi="方正仿宋_GBK" w:eastAsia="方正仿宋_GBK" w:cs="方正仿宋_GBK"/>
                <w:b w:val="0"/>
                <w:bCs w:val="0"/>
                <w:color w:val="auto"/>
                <w:sz w:val="28"/>
                <w:szCs w:val="28"/>
                <w:lang w:val="en-US" w:eastAsia="zh-CN"/>
              </w:rPr>
              <w:t>人民医院迁建项目。区域医疗健康平台及集团化智慧医院一体化建设项目。</w:t>
            </w:r>
            <w:r>
              <w:rPr>
                <w:rFonts w:hint="eastAsia" w:eastAsia="方正仿宋_GBK" w:cs="Times New Roman"/>
                <w:color w:val="auto"/>
                <w:sz w:val="28"/>
                <w:szCs w:val="28"/>
              </w:rPr>
              <w:t>鸦儿崖乡卫生院搬迁建设项目。</w:t>
            </w:r>
            <w:r>
              <w:rPr>
                <w:rFonts w:hint="eastAsia" w:eastAsia="方正仿宋_GBK" w:cs="Times New Roman"/>
                <w:color w:val="auto"/>
                <w:sz w:val="28"/>
                <w:szCs w:val="28"/>
                <w:lang w:val="en-US" w:eastAsia="zh-CN"/>
              </w:rPr>
              <w:t>疾病预防控制中心实验室能力提升项目。</w:t>
            </w:r>
            <w:r>
              <w:rPr>
                <w:rFonts w:hint="eastAsia" w:eastAsia="方正仿宋_GBK" w:cs="Times New Roman"/>
                <w:color w:val="auto"/>
                <w:sz w:val="28"/>
                <w:szCs w:val="28"/>
              </w:rPr>
              <w:t>区中医院“大同市云冈区健康管理中心”建设项目。</w:t>
            </w:r>
            <w:r>
              <w:rPr>
                <w:rFonts w:hint="eastAsia" w:eastAsia="方正仿宋_GBK" w:cs="Times New Roman"/>
                <w:color w:val="auto"/>
                <w:sz w:val="28"/>
                <w:szCs w:val="28"/>
                <w:lang w:val="en-US" w:eastAsia="zh-CN"/>
              </w:rPr>
              <w:t>高山镇卫生能力再提升（</w:t>
            </w:r>
            <w:r>
              <w:rPr>
                <w:rFonts w:hint="eastAsia" w:eastAsia="方正仿宋_GBK" w:cs="Times New Roman"/>
                <w:color w:val="auto"/>
                <w:sz w:val="28"/>
                <w:szCs w:val="28"/>
              </w:rPr>
              <w:t>医养结合</w:t>
            </w:r>
            <w:r>
              <w:rPr>
                <w:rFonts w:hint="eastAsia" w:eastAsia="方正仿宋_GBK" w:cs="Times New Roman"/>
                <w:color w:val="auto"/>
                <w:sz w:val="28"/>
                <w:szCs w:val="28"/>
                <w:lang w:val="en-US" w:eastAsia="zh-CN"/>
              </w:rPr>
              <w:t>方向</w:t>
            </w:r>
            <w:r>
              <w:rPr>
                <w:rFonts w:hint="eastAsia" w:eastAsia="方正仿宋_GBK" w:cs="Times New Roman"/>
                <w:color w:val="auto"/>
                <w:sz w:val="28"/>
                <w:szCs w:val="28"/>
              </w:rPr>
              <w:t>建设</w:t>
            </w:r>
            <w:r>
              <w:rPr>
                <w:rFonts w:hint="eastAsia" w:eastAsia="方正仿宋_GBK" w:cs="Times New Roman"/>
                <w:color w:val="auto"/>
                <w:sz w:val="28"/>
                <w:szCs w:val="28"/>
                <w:lang w:eastAsia="zh-CN"/>
              </w:rPr>
              <w:t>）</w:t>
            </w:r>
            <w:r>
              <w:rPr>
                <w:rFonts w:hint="eastAsia" w:eastAsia="方正仿宋_GBK" w:cs="Times New Roman"/>
                <w:color w:val="auto"/>
                <w:sz w:val="28"/>
                <w:szCs w:val="28"/>
              </w:rPr>
              <w:t>项目。</w:t>
            </w:r>
            <w:r>
              <w:rPr>
                <w:rFonts w:hint="eastAsia" w:eastAsia="方正仿宋_GBK" w:cs="Times New Roman"/>
                <w:color w:val="auto"/>
                <w:sz w:val="28"/>
                <w:szCs w:val="28"/>
                <w:lang w:val="en-US" w:eastAsia="zh-CN"/>
              </w:rPr>
              <w:t>平旺乡养老幸福工程。平旺卫生院搬迁建设项目。</w:t>
            </w:r>
          </w:p>
          <w:p w14:paraId="0F3097A0">
            <w:pPr>
              <w:pStyle w:val="14"/>
              <w:rPr>
                <w:rFonts w:hint="default" w:eastAsia="方正仿宋_GBK"/>
                <w:color w:val="auto"/>
                <w:lang w:val="en-US" w:eastAsia="zh-CN"/>
              </w:rPr>
            </w:pPr>
            <w:r>
              <w:rPr>
                <w:rFonts w:hint="eastAsia" w:eastAsia="方正仿宋_GBK" w:cs="Times New Roman"/>
                <w:b/>
                <w:bCs/>
                <w:color w:val="auto"/>
                <w:sz w:val="28"/>
                <w:szCs w:val="28"/>
                <w:lang w:val="en-US" w:eastAsia="zh-CN"/>
              </w:rPr>
              <w:t>社会保障服务项目</w:t>
            </w:r>
            <w:r>
              <w:rPr>
                <w:rFonts w:hint="eastAsia" w:eastAsia="方正仿宋_GBK" w:cs="Times New Roman"/>
                <w:color w:val="auto"/>
                <w:sz w:val="28"/>
                <w:szCs w:val="28"/>
                <w:lang w:val="en-US" w:eastAsia="zh-CN"/>
              </w:rPr>
              <w:t>。区级公益性公墓林草复合试点项目，口泉乡、高山镇乡级公墓建设。</w:t>
            </w:r>
          </w:p>
        </w:tc>
      </w:tr>
    </w:tbl>
    <w:p w14:paraId="52D98D92">
      <w:pPr>
        <w:spacing w:line="580" w:lineRule="exact"/>
        <w:ind w:firstLine="0" w:firstLineChars="0"/>
        <w:rPr>
          <w:rFonts w:eastAsia="方正黑体_GBK" w:cs="方正黑体_GBK"/>
          <w:color w:val="auto"/>
        </w:rPr>
      </w:pPr>
      <w:r>
        <w:rPr>
          <w:rFonts w:hint="eastAsia" w:eastAsia="方正黑体_GBK" w:cs="方正黑体_GBK"/>
          <w:color w:val="auto"/>
        </w:rPr>
        <w:br w:type="page"/>
      </w:r>
    </w:p>
    <w:bookmarkEnd w:id="25"/>
    <w:bookmarkEnd w:id="305"/>
    <w:bookmarkEnd w:id="306"/>
    <w:bookmarkEnd w:id="307"/>
    <w:bookmarkEnd w:id="308"/>
    <w:bookmarkEnd w:id="309"/>
    <w:p w14:paraId="1C0CAE09">
      <w:pPr>
        <w:pStyle w:val="61"/>
        <w:spacing w:before="156" w:beforeLines="50" w:after="156" w:afterLines="50" w:line="580" w:lineRule="exact"/>
        <w:ind w:firstLine="0" w:firstLineChars="0"/>
        <w:jc w:val="center"/>
        <w:rPr>
          <w:rFonts w:ascii="Times New Roman" w:hAnsi="Times New Roman" w:eastAsia="方正黑体_GBK" w:cs="方正黑体_GBK"/>
          <w:color w:val="auto"/>
        </w:rPr>
      </w:pPr>
      <w:bookmarkStart w:id="338" w:name="_Toc242541679"/>
      <w:bookmarkStart w:id="339" w:name="_Toc351099525"/>
      <w:r>
        <w:rPr>
          <w:rFonts w:hint="eastAsia" w:ascii="Times New Roman" w:hAnsi="Times New Roman" w:eastAsia="方正黑体_GBK" w:cs="方正黑体_GBK"/>
          <w:color w:val="auto"/>
        </w:rPr>
        <w:t>第十三章 加快推动全面绿色转型 建设生态宜居美丽云冈</w:t>
      </w:r>
      <w:bookmarkEnd w:id="338"/>
      <w:bookmarkEnd w:id="339"/>
    </w:p>
    <w:p w14:paraId="27EFAE3E">
      <w:pPr>
        <w:spacing w:line="580" w:lineRule="exact"/>
        <w:ind w:firstLine="600"/>
        <w:rPr>
          <w:rFonts w:eastAsia="方正仿宋_GBK" w:cs="方正仿宋_GBK"/>
          <w:color w:val="auto"/>
          <w:sz w:val="30"/>
          <w:szCs w:val="30"/>
        </w:rPr>
      </w:pPr>
      <w:r>
        <w:rPr>
          <w:rFonts w:hint="eastAsia" w:eastAsia="方正仿宋_GBK" w:cs="方正仿宋_GBK"/>
          <w:color w:val="auto"/>
          <w:sz w:val="30"/>
          <w:szCs w:val="30"/>
        </w:rPr>
        <w:t>牢固树立和践行绿水青山就是金山银山理念，加快经济社会发展全面绿色转型，一体推进治山治水治气治城，严格落实“四水四定”，持续深入推进污染防治攻坚和生态系统优化，协同推进降碳、减污、扩绿、增长，让绿色成为云冈高质量发展的鲜明底色。</w:t>
      </w:r>
    </w:p>
    <w:p w14:paraId="4636D2B1">
      <w:pPr>
        <w:spacing w:line="580" w:lineRule="exact"/>
        <w:ind w:firstLine="0" w:firstLineChars="0"/>
        <w:jc w:val="center"/>
        <w:outlineLvl w:val="1"/>
        <w:rPr>
          <w:rFonts w:eastAsia="楷体" w:cs="Times New Roman"/>
          <w:color w:val="auto"/>
          <w:sz w:val="30"/>
          <w:szCs w:val="30"/>
        </w:rPr>
      </w:pPr>
      <w:bookmarkStart w:id="340" w:name="_Toc474036947"/>
      <w:bookmarkStart w:id="341" w:name="_Toc1473344727"/>
      <w:bookmarkStart w:id="342" w:name="_Toc1792138366"/>
      <w:bookmarkStart w:id="343" w:name="_Toc731783006"/>
      <w:r>
        <w:rPr>
          <w:rFonts w:hint="eastAsia" w:eastAsia="楷体" w:cs="Times New Roman"/>
          <w:color w:val="auto"/>
          <w:sz w:val="30"/>
          <w:szCs w:val="30"/>
        </w:rPr>
        <w:t>第一节  全面筑牢生态安全屏障</w:t>
      </w:r>
      <w:bookmarkEnd w:id="340"/>
      <w:bookmarkEnd w:id="341"/>
      <w:bookmarkEnd w:id="342"/>
      <w:bookmarkEnd w:id="343"/>
    </w:p>
    <w:p w14:paraId="5A871A9D">
      <w:pPr>
        <w:spacing w:line="580" w:lineRule="exact"/>
        <w:ind w:firstLine="602"/>
        <w:rPr>
          <w:rFonts w:eastAsia="方正仿宋_GBK" w:cs="方正仿宋_GBK"/>
          <w:color w:val="auto"/>
          <w:sz w:val="30"/>
          <w:szCs w:val="30"/>
        </w:rPr>
      </w:pPr>
      <w:r>
        <w:rPr>
          <w:rFonts w:hint="eastAsia" w:eastAsia="方正仿宋_GBK" w:cs="方正仿宋_GBK"/>
          <w:b/>
          <w:bCs/>
          <w:color w:val="auto"/>
          <w:sz w:val="30"/>
          <w:szCs w:val="30"/>
        </w:rPr>
        <w:t>加强生态保护修复</w:t>
      </w:r>
      <w:r>
        <w:rPr>
          <w:rFonts w:hint="eastAsia" w:eastAsia="方正仿宋_GBK" w:cs="方正仿宋_GBK"/>
          <w:color w:val="auto"/>
          <w:sz w:val="30"/>
          <w:szCs w:val="30"/>
        </w:rPr>
        <w:t>。科学开展生态环境保护修复和大规模国土绿化行动，实施大同市重点林区、重点治理区“三北”工程林草湿荒一体化保护修复项目，巩固防沙治沙成果。对标国家有关要求，积极开展幸福河湖建设。加强十里河、口泉河、甘河流域生态保护，以流域生态系统为主体，强化沿河空间管控和合理利用。加强重点地区水土流失防治。推进水源涵养林建设和保护。以骨干水系为核心，构筑集自然生态、景观风貌于一体的生态廊道，实施河道清淤疏浚、岸线生态化改造和湿地修复工程，沿河建造兼具雨洪调蓄、水质净化和生态游憩等多种功能的湿地，建设生态护岸，打造亲水空间。</w:t>
      </w:r>
    </w:p>
    <w:p w14:paraId="00C1325E">
      <w:pPr>
        <w:spacing w:line="580" w:lineRule="exact"/>
        <w:ind w:firstLine="602"/>
        <w:rPr>
          <w:rFonts w:hint="eastAsia" w:eastAsia="方正仿宋_GBK"/>
          <w:color w:val="auto"/>
          <w:lang w:eastAsia="zh-CN"/>
        </w:rPr>
      </w:pPr>
      <w:r>
        <w:rPr>
          <w:rFonts w:hint="eastAsia" w:eastAsia="方正仿宋_GBK" w:cs="方正仿宋_GBK"/>
          <w:b/>
          <w:bCs/>
          <w:color w:val="auto"/>
          <w:sz w:val="30"/>
          <w:szCs w:val="30"/>
        </w:rPr>
        <w:t>营造高品质城乡生态空间</w:t>
      </w:r>
      <w:r>
        <w:rPr>
          <w:rFonts w:hint="eastAsia" w:eastAsia="方正仿宋_GBK" w:cs="方正仿宋_GBK"/>
          <w:color w:val="auto"/>
          <w:sz w:val="30"/>
          <w:szCs w:val="30"/>
        </w:rPr>
        <w:t>。严守生态保护红线，筑牢七峰山脉生态保护屏障，支撑维护大同市西部生态安全。扎实推进山水林田湖草沙一体化保护和系统治理，因地制宜实施荒山造林、封山育林等措施，推动国土空间绿化，优化提升大同绕城高速防护绿带和大西高铁防护绿带。构建城乡公园体系，优化甘河公园、平旺公园、口泉植物园、口泉公园等城市综合公园功能，推动建设街边公园、口袋公园、乡村运动广场。</w:t>
      </w:r>
      <w:r>
        <w:rPr>
          <w:rFonts w:hint="eastAsia" w:eastAsia="仿宋_GB2312" w:cs="仿宋_GB2312"/>
          <w:color w:val="auto"/>
          <w:sz w:val="32"/>
          <w:szCs w:val="32"/>
        </w:rPr>
        <w:t>全</w:t>
      </w:r>
      <w:r>
        <w:rPr>
          <w:rFonts w:hint="eastAsia" w:eastAsia="方正仿宋_GBK" w:cs="方正仿宋_GBK"/>
          <w:color w:val="auto"/>
          <w:sz w:val="30"/>
          <w:szCs w:val="30"/>
        </w:rPr>
        <w:t>面推进自然保护地体系建设，加强生物多样性保护，持续开展“清风”“网盾”和打击非法捕猎贩卖鸟类专项行动。坚决做好中央</w:t>
      </w:r>
      <w:r>
        <w:rPr>
          <w:rFonts w:hint="eastAsia" w:eastAsia="方正仿宋_GBK" w:cs="方正仿宋_GBK"/>
          <w:color w:val="auto"/>
          <w:sz w:val="30"/>
          <w:szCs w:val="30"/>
          <w:lang w:eastAsia="zh-CN"/>
        </w:rPr>
        <w:t>、</w:t>
      </w:r>
      <w:r>
        <w:rPr>
          <w:rFonts w:hint="eastAsia" w:eastAsia="方正仿宋_GBK" w:cs="方正仿宋_GBK"/>
          <w:color w:val="auto"/>
          <w:sz w:val="30"/>
          <w:szCs w:val="30"/>
        </w:rPr>
        <w:t>省环保督察回头看、生态环</w:t>
      </w:r>
      <w:r>
        <w:rPr>
          <w:rFonts w:hint="eastAsia" w:eastAsia="方正仿宋_GBK" w:cs="方正仿宋_GBK"/>
          <w:color w:val="auto"/>
          <w:sz w:val="30"/>
          <w:szCs w:val="30"/>
          <w:lang w:val="en-US" w:eastAsia="zh-CN"/>
        </w:rPr>
        <w:t>境</w:t>
      </w:r>
      <w:r>
        <w:rPr>
          <w:rFonts w:hint="eastAsia" w:eastAsia="方正仿宋_GBK" w:cs="方正仿宋_GBK"/>
          <w:color w:val="auto"/>
          <w:sz w:val="30"/>
          <w:szCs w:val="30"/>
        </w:rPr>
        <w:t>部调研等生态环境保护督察反馈问题</w:t>
      </w:r>
      <w:r>
        <w:rPr>
          <w:rFonts w:hint="eastAsia" w:eastAsia="方正仿宋_GBK" w:cs="方正仿宋_GBK"/>
          <w:color w:val="auto"/>
          <w:sz w:val="30"/>
          <w:szCs w:val="30"/>
          <w:lang w:val="en-US" w:eastAsia="zh-CN"/>
        </w:rPr>
        <w:t>的</w:t>
      </w:r>
      <w:r>
        <w:rPr>
          <w:rFonts w:hint="eastAsia" w:eastAsia="方正仿宋_GBK" w:cs="方正仿宋_GBK"/>
          <w:color w:val="auto"/>
          <w:sz w:val="30"/>
          <w:szCs w:val="30"/>
        </w:rPr>
        <w:t>整改和销号工作</w:t>
      </w:r>
      <w:r>
        <w:rPr>
          <w:rFonts w:hint="eastAsia" w:eastAsia="方正仿宋_GBK" w:cs="方正仿宋_GBK"/>
          <w:color w:val="auto"/>
          <w:sz w:val="30"/>
          <w:szCs w:val="30"/>
          <w:lang w:eastAsia="zh-CN"/>
        </w:rPr>
        <w:t>。</w:t>
      </w:r>
    </w:p>
    <w:p w14:paraId="0BDB4B16">
      <w:pPr>
        <w:spacing w:line="580" w:lineRule="exact"/>
        <w:ind w:firstLine="602"/>
        <w:rPr>
          <w:rFonts w:eastAsia="方正仿宋_GBK" w:cs="方正仿宋_GBK"/>
          <w:color w:val="auto"/>
          <w:sz w:val="30"/>
          <w:szCs w:val="30"/>
        </w:rPr>
      </w:pPr>
      <w:r>
        <w:rPr>
          <w:rFonts w:hint="eastAsia" w:eastAsia="方正仿宋_GBK" w:cs="方正仿宋_GBK"/>
          <w:b/>
          <w:bCs/>
          <w:color w:val="auto"/>
          <w:sz w:val="30"/>
          <w:szCs w:val="30"/>
        </w:rPr>
        <w:t>加强沉陷区治理及土地整治</w:t>
      </w:r>
      <w:r>
        <w:rPr>
          <w:rFonts w:hint="eastAsia" w:eastAsia="方正仿宋_GBK" w:cs="方正仿宋_GBK"/>
          <w:color w:val="auto"/>
          <w:sz w:val="30"/>
          <w:szCs w:val="30"/>
        </w:rPr>
        <w:t>。科学使用矿山环境治理恢复基金，采取地貌重塑、土壤重构、植被重建、景观再现、生物多样性重组等措施，以高山镇、云冈镇和鸦儿崖乡为重点统筹推进历史遗留矿山和生产矿山的生态保护修复，加力推动采煤沉陷区治理。严打违法采矿及隐蔽盗采行为，推动晋能煤业持续开展绿色矿山建设，打造煤炭开采绿色发展</w:t>
      </w:r>
      <w:r>
        <w:rPr>
          <w:rFonts w:hint="eastAsia" w:eastAsia="方正仿宋_GBK" w:cs="方正仿宋_GBK"/>
          <w:color w:val="auto"/>
          <w:sz w:val="30"/>
          <w:szCs w:val="30"/>
          <w:lang w:val="en-US" w:eastAsia="zh-CN"/>
        </w:rPr>
        <w:t>典范</w:t>
      </w:r>
      <w:r>
        <w:rPr>
          <w:rFonts w:hint="eastAsia" w:eastAsia="方正仿宋_GBK" w:cs="方正仿宋_GBK"/>
          <w:color w:val="auto"/>
          <w:sz w:val="30"/>
          <w:szCs w:val="30"/>
        </w:rPr>
        <w:t>。加大土地整治力度，在平旺乡、高山镇、云冈镇、鸦儿崖乡等实施一批全域土地综合整治项目。</w:t>
      </w:r>
    </w:p>
    <w:p w14:paraId="24B01566">
      <w:pPr>
        <w:spacing w:line="580" w:lineRule="exact"/>
        <w:ind w:firstLine="0" w:firstLineChars="0"/>
        <w:jc w:val="center"/>
        <w:outlineLvl w:val="1"/>
        <w:rPr>
          <w:rFonts w:eastAsia="楷体" w:cs="Times New Roman"/>
          <w:color w:val="auto"/>
          <w:sz w:val="30"/>
          <w:szCs w:val="30"/>
        </w:rPr>
      </w:pPr>
      <w:bookmarkStart w:id="344" w:name="_Toc2011368187"/>
      <w:bookmarkStart w:id="345" w:name="_Toc438135473"/>
      <w:bookmarkStart w:id="346" w:name="_Toc2018376779"/>
      <w:bookmarkStart w:id="347" w:name="_Toc2122121506"/>
      <w:r>
        <w:rPr>
          <w:rFonts w:hint="eastAsia" w:eastAsia="楷体" w:cs="Times New Roman"/>
          <w:color w:val="auto"/>
          <w:sz w:val="30"/>
          <w:szCs w:val="30"/>
        </w:rPr>
        <w:t>第二节  持续深入推进污染防治攻坚</w:t>
      </w:r>
      <w:bookmarkEnd w:id="344"/>
      <w:bookmarkEnd w:id="345"/>
      <w:bookmarkEnd w:id="346"/>
      <w:bookmarkEnd w:id="347"/>
    </w:p>
    <w:p w14:paraId="606BA1A4">
      <w:pPr>
        <w:overflowPunct w:val="0"/>
        <w:spacing w:line="580" w:lineRule="exact"/>
        <w:ind w:firstLine="602"/>
        <w:rPr>
          <w:rFonts w:eastAsia="方正仿宋_GBK" w:cs="方正仿宋_GBK"/>
          <w:color w:val="auto"/>
          <w:sz w:val="30"/>
          <w:szCs w:val="30"/>
        </w:rPr>
      </w:pPr>
      <w:r>
        <w:rPr>
          <w:rFonts w:hint="eastAsia" w:eastAsia="方正仿宋_GBK" w:cs="方正仿宋_GBK"/>
          <w:b/>
          <w:bCs/>
          <w:color w:val="auto"/>
          <w:sz w:val="30"/>
          <w:szCs w:val="30"/>
        </w:rPr>
        <w:t>提升大气污染治理力度</w:t>
      </w:r>
      <w:r>
        <w:rPr>
          <w:rFonts w:hint="eastAsia" w:eastAsia="方正仿宋_GBK" w:cs="方正仿宋_GBK"/>
          <w:color w:val="auto"/>
          <w:sz w:val="30"/>
          <w:szCs w:val="30"/>
        </w:rPr>
        <w:t>。编制并动态调整区域大气污染排放源清单，制定重污染期间管控措施和减排清单，建立健全重污染天气预防、预警及应急处置等联防联控机制，组</w:t>
      </w:r>
      <w:r>
        <w:rPr>
          <w:rFonts w:hint="eastAsia" w:eastAsia="方正仿宋_GBK" w:cs="Times New Roman"/>
          <w:color w:val="auto"/>
          <w:sz w:val="30"/>
          <w:szCs w:val="30"/>
        </w:rPr>
        <w:t>织开展PM</w:t>
      </w:r>
      <w:r>
        <w:rPr>
          <w:rFonts w:hint="eastAsia" w:eastAsia="方正仿宋_GBK" w:cs="Times New Roman"/>
          <w:color w:val="auto"/>
          <w:sz w:val="30"/>
          <w:szCs w:val="30"/>
          <w:vertAlign w:val="subscript"/>
        </w:rPr>
        <w:t>2.5</w:t>
      </w:r>
      <w:r>
        <w:rPr>
          <w:rFonts w:hint="eastAsia" w:eastAsia="方正仿宋_GBK" w:cs="Times New Roman"/>
          <w:color w:val="auto"/>
          <w:sz w:val="30"/>
          <w:szCs w:val="30"/>
        </w:rPr>
        <w:t>、氮氧化物和臭氧等指标攻坚战役。坚持问题导向，加强细颗粒物和臭氧污染协同控制，深化氮氧化物和挥发性有机物（VOCs）来源解析和综合治理。推动重点行业超低排放改造，加强工业窑</w:t>
      </w:r>
      <w:r>
        <w:rPr>
          <w:rFonts w:hint="eastAsia" w:eastAsia="方正仿宋_GBK" w:cs="方正仿宋_GBK"/>
          <w:color w:val="auto"/>
          <w:sz w:val="30"/>
          <w:szCs w:val="30"/>
        </w:rPr>
        <w:t>炉治理。全面推进清洁供暖改造，完成散煤治理。建立移动源监测体系，实行严格的机动车排放标准和油品标准。严格落实“六个百分百”要求，构建全方位建筑施工扬尘治理体系，建设绿色智慧工地。</w:t>
      </w:r>
    </w:p>
    <w:p w14:paraId="5E277981">
      <w:pPr>
        <w:adjustRightInd w:val="0"/>
        <w:snapToGrid w:val="0"/>
        <w:spacing w:line="580" w:lineRule="exact"/>
        <w:ind w:firstLine="602"/>
        <w:rPr>
          <w:rFonts w:eastAsia="方正仿宋_GBK" w:cs="方正仿宋_GBK"/>
          <w:color w:val="auto"/>
          <w:sz w:val="30"/>
          <w:szCs w:val="30"/>
        </w:rPr>
      </w:pPr>
      <w:r>
        <w:rPr>
          <w:rFonts w:hint="eastAsia" w:eastAsia="方正仿宋_GBK" w:cs="方正仿宋_GBK"/>
          <w:b/>
          <w:bCs/>
          <w:color w:val="auto"/>
          <w:sz w:val="30"/>
          <w:szCs w:val="30"/>
        </w:rPr>
        <w:t>实施水环境综合治理</w:t>
      </w:r>
      <w:r>
        <w:rPr>
          <w:rFonts w:hint="eastAsia" w:eastAsia="方正仿宋_GBK" w:cs="方正仿宋_GBK"/>
          <w:color w:val="auto"/>
          <w:sz w:val="30"/>
          <w:szCs w:val="30"/>
        </w:rPr>
        <w:t>。构建“厂</w:t>
      </w:r>
      <w:r>
        <w:rPr>
          <w:rFonts w:hint="eastAsia" w:eastAsia="方正仿宋_GBK"/>
          <w:color w:val="auto"/>
          <w:sz w:val="28"/>
          <w:szCs w:val="28"/>
          <w:lang w:val="en-US" w:eastAsia="zh-CN"/>
        </w:rPr>
        <w:t>—</w:t>
      </w:r>
      <w:r>
        <w:rPr>
          <w:rFonts w:hint="eastAsia" w:eastAsia="方正仿宋_GBK" w:cs="方正仿宋_GBK"/>
          <w:color w:val="auto"/>
          <w:sz w:val="30"/>
          <w:szCs w:val="30"/>
        </w:rPr>
        <w:t>网</w:t>
      </w:r>
      <w:r>
        <w:rPr>
          <w:rFonts w:hint="eastAsia" w:eastAsia="方正仿宋_GBK"/>
          <w:color w:val="auto"/>
          <w:sz w:val="28"/>
          <w:szCs w:val="28"/>
          <w:lang w:val="en-US" w:eastAsia="zh-CN"/>
        </w:rPr>
        <w:t>—</w:t>
      </w:r>
      <w:r>
        <w:rPr>
          <w:rFonts w:hint="eastAsia" w:eastAsia="方正仿宋_GBK" w:cs="方正仿宋_GBK"/>
          <w:color w:val="auto"/>
          <w:sz w:val="30"/>
          <w:szCs w:val="30"/>
        </w:rPr>
        <w:t>河”联动的治水体系，统筹推进工业、生活、农业面源等污水治理，加强监测预警和监管整治，“一口一策”全面加强入河排污口管控，严格控制入河污染物总量，全面消除城市建成区和农村黑臭水体，确保国、省考核断面全部实现稳定达标。实施绿色园区改造提升工程，加强工业园区污水集中处理设施，实现园区废水全收集处理，提升废水循环回用水平。完善城乡生活污水收集处置等基础设施，加快补齐城镇污水管网短板，持续推进城镇污水处理厂提质增效，开展雨污分流设施建设，重点加强农村生活污水收集和处理设施建设。加大流域两侧和集中式饮用水水源地周边等敏感区域减施力度。</w:t>
      </w:r>
    </w:p>
    <w:p w14:paraId="1E5A49D2">
      <w:pPr>
        <w:spacing w:line="580" w:lineRule="exact"/>
        <w:ind w:firstLine="602"/>
        <w:rPr>
          <w:rFonts w:eastAsia="方正仿宋_GBK" w:cs="方正仿宋_GBK"/>
          <w:color w:val="auto"/>
          <w:sz w:val="30"/>
          <w:szCs w:val="30"/>
        </w:rPr>
      </w:pPr>
      <w:r>
        <w:rPr>
          <w:rFonts w:hint="eastAsia" w:eastAsia="方正仿宋_GBK" w:cs="方正仿宋_GBK"/>
          <w:b/>
          <w:bCs/>
          <w:color w:val="auto"/>
          <w:sz w:val="30"/>
          <w:szCs w:val="30"/>
        </w:rPr>
        <w:t>加强土壤污染风险管控</w:t>
      </w:r>
      <w:r>
        <w:rPr>
          <w:rFonts w:hint="eastAsia" w:eastAsia="方正仿宋_GBK" w:cs="方正仿宋_GBK"/>
          <w:color w:val="auto"/>
          <w:sz w:val="30"/>
          <w:szCs w:val="30"/>
        </w:rPr>
        <w:t>。深入开展土壤污染状况详查与动态监测，科学评估土壤环境风险，制定并滚动实施土壤污染防治行动计划。强化源头预防，严格未利用地环境管理和纳入耕地后备资源库的未利用地保护，严防新增污染。严格建设用地准入管理，建立健全污染地块名录及其开发利用负面清单，落实土地用途变更前的土壤污染状况调查评估制度，探索农用地安全利用，加强污染地块风险管控，明确再开发利用必须符合规划用途的土壤环境质量要求。大力实施化肥农药销号工作减量化行动，推广生物有机肥，防止耕地土壤板结</w:t>
      </w:r>
      <w:r>
        <w:rPr>
          <w:rFonts w:hint="eastAsia" w:eastAsia="方正仿宋_GBK" w:cs="方正仿宋_GBK"/>
          <w:color w:val="auto"/>
          <w:sz w:val="30"/>
          <w:szCs w:val="30"/>
          <w:lang w:eastAsia="zh-CN"/>
        </w:rPr>
        <w:t>。</w:t>
      </w:r>
      <w:r>
        <w:rPr>
          <w:rFonts w:hint="eastAsia" w:eastAsia="方正仿宋_GBK" w:cs="方正仿宋_GBK"/>
          <w:color w:val="auto"/>
          <w:sz w:val="30"/>
          <w:szCs w:val="30"/>
        </w:rPr>
        <w:t>有序推进污染土壤修复与风险管控工程，重点防控矿区及周边、工业遗留场地污染风险，严格管控化工、石化、焦化等重点行业重点企业，保障土壤环境安全利用。</w:t>
      </w:r>
    </w:p>
    <w:p w14:paraId="143D8AF9">
      <w:pPr>
        <w:spacing w:line="580" w:lineRule="exact"/>
        <w:ind w:firstLine="602"/>
        <w:rPr>
          <w:rFonts w:eastAsia="方正仿宋_GBK" w:cs="方正仿宋_GBK"/>
          <w:color w:val="auto"/>
          <w:sz w:val="30"/>
          <w:szCs w:val="30"/>
        </w:rPr>
      </w:pPr>
      <w:r>
        <w:rPr>
          <w:rFonts w:hint="eastAsia" w:eastAsia="方正仿宋_GBK" w:cs="方正仿宋_GBK"/>
          <w:b/>
          <w:bCs/>
          <w:color w:val="auto"/>
          <w:sz w:val="30"/>
          <w:szCs w:val="30"/>
        </w:rPr>
        <w:t>深入推动垃圾和危险废物治理</w:t>
      </w:r>
      <w:r>
        <w:rPr>
          <w:rFonts w:hint="eastAsia" w:eastAsia="方正仿宋_GBK" w:cs="方正仿宋_GBK"/>
          <w:color w:val="auto"/>
          <w:sz w:val="30"/>
          <w:szCs w:val="30"/>
        </w:rPr>
        <w:t>。完善收集转运网络，完善城乡生活垃圾收集、转运、处理全链条体系，确保生活垃圾始终保持全收集、全处理，深入推进生活垃圾分类，打造一批高标准垃圾分类片区（社区）。加快推进建筑垃圾资源化利用，合理规划布局资源化利用设施，鼓励生产再生骨料、透水砖等建材产品，提高资源化利用率。补齐危险废物和医疗废物收集处理短板，加快建设区域性集中处置设施，完善收集转运网络，</w:t>
      </w:r>
      <w:r>
        <w:rPr>
          <w:rFonts w:hint="eastAsia" w:eastAsia="方正仿宋_GBK" w:cs="方正仿宋_GBK"/>
          <w:color w:val="auto"/>
          <w:sz w:val="30"/>
          <w:szCs w:val="30"/>
          <w:lang w:val="en-US" w:eastAsia="zh-CN"/>
        </w:rPr>
        <w:t>探索</w:t>
      </w:r>
      <w:r>
        <w:rPr>
          <w:rFonts w:hint="eastAsia" w:eastAsia="方正仿宋_GBK" w:cs="方正仿宋_GBK"/>
          <w:color w:val="auto"/>
          <w:sz w:val="30"/>
          <w:szCs w:val="30"/>
        </w:rPr>
        <w:t>推广小型医疗废物就地化处置设备，严格执行危险废物转移联单制度。推进固废污染防治攻坚和新污染物治理，提升煤矸石、粉煤灰等工业固废无害化处置和综合利用水平。加强农业废弃物回收利用，推进农膜、农药包装废弃物回收处理体系建设。</w:t>
      </w:r>
    </w:p>
    <w:p w14:paraId="2B42ED46">
      <w:pPr>
        <w:spacing w:line="580" w:lineRule="exact"/>
        <w:ind w:firstLine="0" w:firstLineChars="0"/>
        <w:jc w:val="center"/>
        <w:outlineLvl w:val="1"/>
        <w:rPr>
          <w:rFonts w:eastAsia="楷体" w:cs="Times New Roman"/>
          <w:color w:val="auto"/>
          <w:sz w:val="30"/>
          <w:szCs w:val="30"/>
        </w:rPr>
      </w:pPr>
      <w:bookmarkStart w:id="348" w:name="_Toc1525031482"/>
      <w:bookmarkStart w:id="349" w:name="_Toc320379372"/>
      <w:bookmarkStart w:id="350" w:name="_Toc54717740"/>
      <w:bookmarkStart w:id="351" w:name="_Toc1087741966"/>
      <w:r>
        <w:rPr>
          <w:rFonts w:hint="eastAsia" w:eastAsia="楷体" w:cs="Times New Roman"/>
          <w:color w:val="auto"/>
          <w:sz w:val="30"/>
          <w:szCs w:val="30"/>
        </w:rPr>
        <w:t>第三节  加快形成绿色低碳生产生活方式</w:t>
      </w:r>
      <w:bookmarkEnd w:id="348"/>
      <w:bookmarkEnd w:id="349"/>
      <w:bookmarkEnd w:id="350"/>
      <w:bookmarkEnd w:id="351"/>
    </w:p>
    <w:p w14:paraId="46D31B3A">
      <w:pPr>
        <w:spacing w:line="580" w:lineRule="exact"/>
        <w:ind w:firstLine="602"/>
        <w:rPr>
          <w:rFonts w:eastAsia="方正仿宋_GBK" w:cs="方正仿宋_GBK"/>
          <w:color w:val="auto"/>
          <w:sz w:val="30"/>
          <w:szCs w:val="30"/>
        </w:rPr>
      </w:pPr>
      <w:r>
        <w:rPr>
          <w:rFonts w:hint="eastAsia" w:eastAsia="方正仿宋_GBK" w:cs="方正仿宋_GBK"/>
          <w:b/>
          <w:bCs/>
          <w:color w:val="auto"/>
          <w:sz w:val="30"/>
          <w:szCs w:val="30"/>
        </w:rPr>
        <w:t>推动重点领域绿色低碳转型</w:t>
      </w:r>
      <w:r>
        <w:rPr>
          <w:rFonts w:hint="eastAsia" w:eastAsia="方正仿宋_GBK" w:cs="方正仿宋_GBK"/>
          <w:color w:val="auto"/>
          <w:sz w:val="30"/>
          <w:szCs w:val="30"/>
        </w:rPr>
        <w:t>。加强绿色科技创新和先进技术推广应用，推动工业、城乡建设、交通运输、能源、公共机构等重点领域绿色低碳转型。持续深化煤炭、电力、建材等传统优势产业节能降碳改造和清洁生产，推广应用先进节能环保技术，进一步提高能效水平和资源利用效率。着力构建绿色制造体系，鼓励企业开发绿色产品、创建绿色工厂、建设绿色供应链。在重点园区全面推行绿色规划、绿色设计、绿色投资、绿色建设和绿色生产，推动园区优化能源梯级利用、水资源循环利用、废物交换利用，争创国家或省级绿色工业园区。全面加强交通运输、城乡建设等重点领域的减污降碳协同增效。</w:t>
      </w:r>
    </w:p>
    <w:p w14:paraId="7B08A553">
      <w:pPr>
        <w:spacing w:line="580" w:lineRule="exact"/>
        <w:ind w:firstLine="602"/>
        <w:rPr>
          <w:rFonts w:eastAsia="方正仿宋_GBK" w:cs="方正仿宋_GBK"/>
          <w:color w:val="auto"/>
          <w:sz w:val="30"/>
          <w:szCs w:val="30"/>
        </w:rPr>
      </w:pPr>
      <w:r>
        <w:rPr>
          <w:rFonts w:hint="eastAsia" w:eastAsia="方正仿宋_GBK" w:cs="方正仿宋_GBK"/>
          <w:b/>
          <w:bCs/>
          <w:color w:val="auto"/>
          <w:sz w:val="30"/>
          <w:szCs w:val="30"/>
        </w:rPr>
        <w:t>推动资源全面节约集约利用</w:t>
      </w:r>
      <w:r>
        <w:rPr>
          <w:rFonts w:hint="eastAsia" w:eastAsia="方正仿宋_GBK" w:cs="方正仿宋_GBK"/>
          <w:color w:val="auto"/>
          <w:sz w:val="30"/>
          <w:szCs w:val="30"/>
        </w:rPr>
        <w:t>。完善资源总量管理和全面节约制度，在能源、水资源、土地、矿产、原材料等各方面实行严格的节约集约制度。落实水资源刚性约束制度，推广先进节水技术和设备，加强工业节水改造、农业高效节水灌溉和城镇节水降损。提高土地节约集约利用水平，盘活存量建设用地，严格项目用地准入和标准管控，推广多层标准厂房和产业用地混合利用。加强矿产资源综合开发利用监管，提高回采率和选矿回收率，推进共伴生矿产及尾矿资源综合治理。推进原材料节约和替代，鼓励使用再生材料和可降解材料，促进循环经济发展。</w:t>
      </w:r>
    </w:p>
    <w:p w14:paraId="415C7089">
      <w:pPr>
        <w:spacing w:line="580" w:lineRule="exact"/>
        <w:ind w:firstLine="602"/>
        <w:rPr>
          <w:rFonts w:eastAsia="方正仿宋_GBK" w:cs="方正仿宋_GBK"/>
          <w:color w:val="auto"/>
          <w:sz w:val="30"/>
          <w:szCs w:val="30"/>
        </w:rPr>
      </w:pPr>
      <w:r>
        <w:rPr>
          <w:rFonts w:hint="eastAsia" w:eastAsia="方正仿宋_GBK" w:cs="方正仿宋_GBK"/>
          <w:b/>
          <w:bCs/>
          <w:color w:val="auto"/>
          <w:sz w:val="30"/>
          <w:szCs w:val="30"/>
        </w:rPr>
        <w:t>健全生态产品价值实现机制</w:t>
      </w:r>
      <w:r>
        <w:rPr>
          <w:rFonts w:hint="eastAsia" w:eastAsia="方正仿宋_GBK" w:cs="方正仿宋_GBK"/>
          <w:color w:val="auto"/>
          <w:sz w:val="30"/>
          <w:szCs w:val="30"/>
        </w:rPr>
        <w:t>。建立区域生态产品清单，加快推进自然资源资产确权、登记和颁证工作，探索开展生态产品总值</w:t>
      </w:r>
      <w:r>
        <w:rPr>
          <w:rFonts w:hint="eastAsia" w:eastAsia="方正仿宋_GBK" w:cs="Times New Roman"/>
          <w:color w:val="auto"/>
          <w:sz w:val="30"/>
          <w:szCs w:val="30"/>
        </w:rPr>
        <w:t>（GEP）核算，推动特定地域单元生态产品价值（VEP）评估。</w:t>
      </w:r>
      <w:r>
        <w:rPr>
          <w:rFonts w:hint="eastAsia" w:eastAsia="方正仿宋_GBK" w:cs="方正仿宋_GBK"/>
          <w:color w:val="auto"/>
          <w:sz w:val="30"/>
          <w:szCs w:val="30"/>
        </w:rPr>
        <w:t>对山、水、林、田、湖、草、古镇、古村、集体经营性建设用地、农村宅基地、闲置民居、废弃矿山、林业碳汇等目标资源资产的经营权、使用权开展收储、流转、运营等，助力自然资源资产的可持续经营开发。在采煤沉陷区治理、矿山修复等领域创新实施“生态修复+产业开发”模式，引入社会资本参与生态保护修复和生态产品经营开发。支持开发林业碳汇项目，加</w:t>
      </w:r>
      <w:r>
        <w:rPr>
          <w:rFonts w:hint="eastAsia" w:eastAsia="方正仿宋_GBK" w:cs="Times New Roman"/>
          <w:color w:val="auto"/>
          <w:sz w:val="30"/>
          <w:szCs w:val="30"/>
        </w:rPr>
        <w:t>强CCER项</w:t>
      </w:r>
      <w:r>
        <w:rPr>
          <w:rFonts w:hint="eastAsia" w:eastAsia="方正仿宋_GBK" w:cs="方正仿宋_GBK"/>
          <w:color w:val="auto"/>
          <w:sz w:val="30"/>
          <w:szCs w:val="30"/>
        </w:rPr>
        <w:t>目储备。完善生态补偿制度，逐步建立对重要生态空间、生态保护修复、流域水环境保护的生态补偿机制。</w:t>
      </w:r>
    </w:p>
    <w:p w14:paraId="7553D906">
      <w:pPr>
        <w:spacing w:line="580" w:lineRule="exact"/>
        <w:ind w:firstLine="602"/>
        <w:rPr>
          <w:rFonts w:eastAsia="方正仿宋_GBK" w:cs="方正仿宋_GBK"/>
          <w:color w:val="auto"/>
          <w:sz w:val="30"/>
          <w:szCs w:val="30"/>
        </w:rPr>
      </w:pPr>
      <w:r>
        <w:rPr>
          <w:rFonts w:hint="eastAsia" w:eastAsia="方正仿宋_GBK" w:cs="方正仿宋_GBK"/>
          <w:b/>
          <w:bCs/>
          <w:color w:val="auto"/>
          <w:sz w:val="30"/>
          <w:szCs w:val="30"/>
        </w:rPr>
        <w:t>推广绿色低碳生活方式</w:t>
      </w:r>
      <w:r>
        <w:rPr>
          <w:rFonts w:hint="eastAsia" w:eastAsia="方正仿宋_GBK" w:cs="方正仿宋_GBK"/>
          <w:color w:val="auto"/>
          <w:sz w:val="30"/>
          <w:szCs w:val="30"/>
        </w:rPr>
        <w:t>。实施全民低碳行动，建立碳普惠机制，开展“低碳机关”“低碳社区”“绿色校园”等活动，形成“政府引导</w:t>
      </w:r>
      <w:r>
        <w:rPr>
          <w:rFonts w:hint="eastAsia" w:eastAsia="方正仿宋_GBK"/>
          <w:color w:val="auto"/>
          <w:sz w:val="28"/>
          <w:szCs w:val="28"/>
          <w:lang w:val="en-US" w:eastAsia="zh-CN"/>
        </w:rPr>
        <w:t>—</w:t>
      </w:r>
      <w:r>
        <w:rPr>
          <w:rFonts w:hint="eastAsia" w:eastAsia="方正仿宋_GBK" w:cs="方正仿宋_GBK"/>
          <w:color w:val="auto"/>
          <w:sz w:val="30"/>
          <w:szCs w:val="30"/>
        </w:rPr>
        <w:t>市场驱动</w:t>
      </w:r>
      <w:r>
        <w:rPr>
          <w:rFonts w:hint="eastAsia" w:eastAsia="方正仿宋_GBK"/>
          <w:color w:val="auto"/>
          <w:sz w:val="28"/>
          <w:szCs w:val="28"/>
          <w:lang w:val="en-US" w:eastAsia="zh-CN"/>
        </w:rPr>
        <w:t>—</w:t>
      </w:r>
      <w:r>
        <w:rPr>
          <w:rFonts w:hint="eastAsia" w:eastAsia="方正仿宋_GBK" w:cs="方正仿宋_GBK"/>
          <w:color w:val="auto"/>
          <w:sz w:val="30"/>
          <w:szCs w:val="30"/>
        </w:rPr>
        <w:t>公众参与”的减碳格局。深入开展美丽城乡建设和“美丽大同·全民行动”，从人居环境改善、消费习惯、公共设施等方面开展工作，提倡文明健康、绿色环保的生活方式，依托各类平台开展以生活方式绿色化为主题的浸入式、互动式教育，将绿色办公理念纳入机关和企业日常培训计划。构建城市绿色公共交通体系，鼓励绿色低碳出行，合理布局充（换）电基础设施，支持汽车租赁业创新发展。健全绿色消费激励机制，抵制过度消费和奢侈浪费等行为，完善居民水、电、气、垃圾处理等收费体系，推广绿色产品，限制和禁止使用一次性产品。</w:t>
      </w:r>
    </w:p>
    <w:p w14:paraId="7D3016B1">
      <w:pPr>
        <w:spacing w:line="580" w:lineRule="exact"/>
        <w:ind w:firstLine="0" w:firstLineChars="0"/>
        <w:jc w:val="center"/>
        <w:outlineLvl w:val="1"/>
        <w:rPr>
          <w:rFonts w:eastAsia="楷体" w:cs="Times New Roman"/>
          <w:color w:val="auto"/>
          <w:sz w:val="30"/>
          <w:szCs w:val="30"/>
        </w:rPr>
      </w:pPr>
      <w:bookmarkStart w:id="352" w:name="_Toc150935651"/>
      <w:bookmarkStart w:id="353" w:name="_Toc986791029"/>
      <w:bookmarkStart w:id="354" w:name="_Toc874602175"/>
      <w:bookmarkStart w:id="355" w:name="_Toc518055264"/>
      <w:r>
        <w:rPr>
          <w:rFonts w:hint="eastAsia" w:eastAsia="楷体" w:cs="Times New Roman"/>
          <w:color w:val="auto"/>
          <w:sz w:val="30"/>
          <w:szCs w:val="30"/>
        </w:rPr>
        <w:t>第四节  积极稳妥推进碳达峰云冈行动</w:t>
      </w:r>
      <w:bookmarkEnd w:id="352"/>
      <w:bookmarkEnd w:id="353"/>
      <w:bookmarkEnd w:id="354"/>
      <w:bookmarkEnd w:id="355"/>
    </w:p>
    <w:p w14:paraId="4232FE2E">
      <w:pPr>
        <w:spacing w:line="580" w:lineRule="exact"/>
        <w:ind w:firstLine="602"/>
        <w:rPr>
          <w:rFonts w:eastAsia="方正仿宋_GBK" w:cs="方正仿宋_GBK"/>
          <w:color w:val="auto"/>
          <w:sz w:val="30"/>
          <w:szCs w:val="30"/>
        </w:rPr>
      </w:pPr>
      <w:r>
        <w:rPr>
          <w:rFonts w:hint="eastAsia" w:eastAsia="方正仿宋_GBK" w:cs="方正仿宋_GBK"/>
          <w:b/>
          <w:bCs/>
          <w:color w:val="auto"/>
          <w:sz w:val="30"/>
          <w:szCs w:val="30"/>
        </w:rPr>
        <w:t>建立健全碳排放管理体系</w:t>
      </w:r>
      <w:r>
        <w:rPr>
          <w:rFonts w:hint="eastAsia" w:eastAsia="方正仿宋_GBK" w:cs="方正仿宋_GBK"/>
          <w:color w:val="auto"/>
          <w:sz w:val="30"/>
          <w:szCs w:val="30"/>
        </w:rPr>
        <w:t>。按照省市部署逐步落实碳排放总量和强度“双控”制度，加强碳排放目标全过程管理。建立健全重点碳排放单位管理体系，开展重点行业、重点企业碳排放摸底，强化重点排放单位监测计量基础能力建设。鼓励企业披露碳排放信息，支持开展碳足迹核算与认证。积极参与全国碳排放权交易市场，引导企业利用市场机制降低减排成本。</w:t>
      </w:r>
    </w:p>
    <w:p w14:paraId="1DC6CC7A">
      <w:pPr>
        <w:spacing w:line="580" w:lineRule="exact"/>
        <w:ind w:firstLine="602"/>
        <w:rPr>
          <w:rFonts w:eastAsia="方正仿宋_GBK" w:cs="方正仿宋_GBK"/>
          <w:color w:val="auto"/>
          <w:sz w:val="30"/>
          <w:szCs w:val="30"/>
        </w:rPr>
      </w:pPr>
      <w:r>
        <w:rPr>
          <w:rFonts w:hint="eastAsia" w:eastAsia="方正仿宋_GBK" w:cs="方正仿宋_GBK"/>
          <w:b/>
          <w:bCs/>
          <w:color w:val="auto"/>
          <w:sz w:val="30"/>
          <w:szCs w:val="30"/>
        </w:rPr>
        <w:t>深入推动节能降碳增效</w:t>
      </w:r>
      <w:r>
        <w:rPr>
          <w:rFonts w:hint="eastAsia" w:eastAsia="方正仿宋_GBK" w:cs="方正仿宋_GBK"/>
          <w:color w:val="auto"/>
          <w:sz w:val="30"/>
          <w:szCs w:val="30"/>
        </w:rPr>
        <w:t>。稳步提升非化石能源消费比重，因地制宜发展分布式光伏、分散式风电等可再生能源，提升新建公共机构建筑、厂房屋顶光伏应用覆盖比例。积极争取绿电资源，大幅提升新材料、大数据等产业绿电使用比例。支持云冈经开区等</w:t>
      </w:r>
      <w:r>
        <w:rPr>
          <w:rFonts w:hint="eastAsia" w:eastAsia="方正仿宋_GBK" w:cs="方正仿宋_GBK"/>
          <w:color w:val="auto"/>
          <w:sz w:val="30"/>
          <w:szCs w:val="30"/>
          <w:lang w:val="en-US" w:eastAsia="zh-CN"/>
        </w:rPr>
        <w:t>建设</w:t>
      </w:r>
      <w:r>
        <w:rPr>
          <w:rFonts w:hint="eastAsia" w:eastAsia="方正仿宋_GBK" w:cs="方正仿宋_GBK"/>
          <w:color w:val="auto"/>
          <w:sz w:val="30"/>
          <w:szCs w:val="30"/>
        </w:rPr>
        <w:t>低碳园区、零碳园区、绿电园区等，</w:t>
      </w:r>
      <w:r>
        <w:rPr>
          <w:rFonts w:hint="eastAsia" w:eastAsia="方正仿宋_GBK" w:cs="方正仿宋_GBK"/>
          <w:color w:val="auto"/>
          <w:sz w:val="30"/>
          <w:szCs w:val="30"/>
          <w:lang w:val="en-US" w:eastAsia="zh-CN"/>
        </w:rPr>
        <w:t>探索</w:t>
      </w:r>
      <w:r>
        <w:rPr>
          <w:rFonts w:hint="eastAsia" w:eastAsia="方正仿宋_GBK" w:cs="方正仿宋_GBK"/>
          <w:color w:val="auto"/>
          <w:sz w:val="30"/>
          <w:szCs w:val="30"/>
        </w:rPr>
        <w:t>开展综合能源服务。推进终端用能电气化，在工业、交通、建筑等领域推广以电代煤、以电代油。</w:t>
      </w:r>
    </w:p>
    <w:p w14:paraId="18F1BDE5">
      <w:pPr>
        <w:spacing w:line="580" w:lineRule="exact"/>
        <w:ind w:firstLine="602"/>
        <w:rPr>
          <w:rFonts w:eastAsia="方正仿宋_GBK" w:cs="方正仿宋_GBK"/>
          <w:color w:val="auto"/>
          <w:sz w:val="30"/>
          <w:szCs w:val="30"/>
        </w:rPr>
      </w:pPr>
      <w:r>
        <w:rPr>
          <w:rFonts w:hint="eastAsia" w:eastAsia="方正仿宋_GBK" w:cs="方正仿宋_GBK"/>
          <w:b/>
          <w:bCs/>
          <w:color w:val="auto"/>
          <w:sz w:val="30"/>
          <w:szCs w:val="30"/>
        </w:rPr>
        <w:t>增强应对气候变化能力</w:t>
      </w:r>
      <w:r>
        <w:rPr>
          <w:rFonts w:hint="eastAsia" w:eastAsia="方正仿宋_GBK" w:cs="方正仿宋_GBK"/>
          <w:color w:val="auto"/>
          <w:sz w:val="30"/>
          <w:szCs w:val="30"/>
        </w:rPr>
        <w:t>。完善气候变化风险评估与适应气候变化工作体系，将适应气候变化理念融入城市规划、建设和管理全过程。加强防洪排涝、抗旱保供、森林防火、农业防灾减灾等基础设施建设，提升应对极端天气保障能力。加强生态系统气候韧性，优先考虑抗旱、防病虫害能力强的本土物种。建立健全气候灾害监测预警和风险管理体系，提升全社会防灾减灾救灾意识和能力。</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1E55838">
        <w:tc>
          <w:tcPr>
            <w:tcW w:w="8522" w:type="dxa"/>
          </w:tcPr>
          <w:p w14:paraId="7969BA2D">
            <w:pPr>
              <w:widowControl/>
              <w:spacing w:line="500" w:lineRule="exact"/>
              <w:ind w:firstLine="0" w:firstLineChars="0"/>
              <w:jc w:val="center"/>
              <w:rPr>
                <w:rFonts w:eastAsia="方正黑体_GBK" w:cs="方正黑体_GBK"/>
                <w:color w:val="auto"/>
                <w:sz w:val="28"/>
                <w:szCs w:val="28"/>
              </w:rPr>
            </w:pPr>
            <w:r>
              <w:rPr>
                <w:rFonts w:hint="eastAsia" w:eastAsia="方正黑体_GBK" w:cs="方正黑体_GBK"/>
                <w:color w:val="auto"/>
                <w:sz w:val="28"/>
                <w:szCs w:val="28"/>
              </w:rPr>
              <w:t>专栏</w:t>
            </w:r>
            <w:r>
              <w:rPr>
                <w:rFonts w:hint="eastAsia" w:eastAsia="方正黑体_GBK" w:cs="Times New Roman"/>
                <w:color w:val="auto"/>
                <w:kern w:val="0"/>
                <w:sz w:val="28"/>
                <w:szCs w:val="28"/>
              </w:rPr>
              <w:t>9</w:t>
            </w:r>
            <w:r>
              <w:rPr>
                <w:rFonts w:hint="eastAsia" w:eastAsia="方正黑体_GBK" w:cs="方正黑体_GBK"/>
                <w:color w:val="auto"/>
                <w:sz w:val="28"/>
                <w:szCs w:val="28"/>
              </w:rPr>
              <w:t xml:space="preserve"> 生态宜居美丽云冈建设工程</w:t>
            </w:r>
          </w:p>
          <w:p w14:paraId="05DABF0B">
            <w:pPr>
              <w:spacing w:line="500" w:lineRule="exact"/>
              <w:ind w:firstLine="562"/>
              <w:rPr>
                <w:rFonts w:eastAsia="方正仿宋_GBK" w:cs="Times New Roman"/>
                <w:color w:val="auto"/>
                <w:sz w:val="28"/>
                <w:szCs w:val="28"/>
              </w:rPr>
            </w:pPr>
            <w:r>
              <w:rPr>
                <w:rFonts w:hint="eastAsia" w:eastAsia="方正仿宋_GBK" w:cs="Times New Roman"/>
                <w:b/>
                <w:color w:val="auto"/>
                <w:sz w:val="28"/>
                <w:szCs w:val="28"/>
              </w:rPr>
              <w:t>生态保护修复工程。</w:t>
            </w:r>
            <w:r>
              <w:rPr>
                <w:rFonts w:hint="eastAsia" w:eastAsia="方正仿宋_GBK" w:cs="Times New Roman"/>
                <w:bCs/>
                <w:color w:val="auto"/>
                <w:sz w:val="28"/>
                <w:szCs w:val="28"/>
              </w:rPr>
              <w:t>大同市重点林区、重点治理区“三北”工程</w:t>
            </w:r>
            <w:r>
              <w:rPr>
                <w:rFonts w:hint="eastAsia" w:eastAsia="方正仿宋_GBK" w:cs="Times New Roman"/>
                <w:color w:val="auto"/>
                <w:sz w:val="28"/>
                <w:szCs w:val="28"/>
              </w:rPr>
              <w:t>、玉堂山生态修复建设项目、口泉沟、云冈沟煤矸石粉煤灰生态修复项目。</w:t>
            </w:r>
          </w:p>
          <w:p w14:paraId="58D2B03E">
            <w:pPr>
              <w:spacing w:line="500" w:lineRule="exact"/>
              <w:ind w:firstLine="562"/>
              <w:rPr>
                <w:rFonts w:eastAsia="Times New Roman" w:cs="Times New Roman"/>
                <w:color w:val="auto"/>
                <w:sz w:val="28"/>
                <w:szCs w:val="28"/>
              </w:rPr>
            </w:pPr>
            <w:r>
              <w:rPr>
                <w:rFonts w:hint="eastAsia" w:eastAsia="方正仿宋_GBK" w:cs="Times New Roman"/>
                <w:b/>
                <w:color w:val="auto"/>
                <w:sz w:val="28"/>
                <w:szCs w:val="28"/>
              </w:rPr>
              <w:t>城乡生态修复工程。</w:t>
            </w:r>
            <w:r>
              <w:rPr>
                <w:rFonts w:hint="eastAsia" w:eastAsia="方正仿宋_GBK" w:cs="Times New Roman"/>
                <w:color w:val="auto"/>
                <w:sz w:val="28"/>
                <w:szCs w:val="28"/>
              </w:rPr>
              <w:t>云冈区口泉公园改造项目、口泉乡羊坊村、四老沟村及南侧、泉安社区、上窝寨村生态修复项目、高山镇高山村生态修复项目、云冈镇吴官屯村生态修复项目、鸦儿崖乡常流水村生态修复项目、平旺村区域环境整治提升项目、炭窑峪沟环境综合治理项目、口泉乡瓦渣沟、后沟、大石头沟和料碳沟生态修复项目、三道沟及周边区域固体废弃物综合整治及生态修复工程、鸦儿崖村碳窑沟生态修复项目、云冈镇北崖沟生态修复项目、鸦儿崖村贾候涧沟生态修复项目、平旺村大唐沟生态修复项目。</w:t>
            </w:r>
          </w:p>
          <w:p w14:paraId="348B63FA">
            <w:pPr>
              <w:spacing w:line="500" w:lineRule="exact"/>
              <w:ind w:firstLine="562"/>
              <w:rPr>
                <w:rFonts w:eastAsia="Times New Roman" w:cs="Times New Roman"/>
                <w:color w:val="auto"/>
                <w:sz w:val="28"/>
                <w:szCs w:val="28"/>
              </w:rPr>
            </w:pPr>
            <w:r>
              <w:rPr>
                <w:rFonts w:hint="eastAsia" w:eastAsia="方正仿宋_GBK" w:cs="Times New Roman"/>
                <w:b/>
                <w:color w:val="auto"/>
                <w:sz w:val="28"/>
                <w:szCs w:val="28"/>
              </w:rPr>
              <w:t>废弃矿山修复工程。</w:t>
            </w:r>
            <w:r>
              <w:rPr>
                <w:rFonts w:hint="eastAsia" w:eastAsia="方正仿宋_GBK" w:cs="Times New Roman"/>
                <w:color w:val="auto"/>
                <w:sz w:val="28"/>
                <w:szCs w:val="28"/>
              </w:rPr>
              <w:t>云冈沟、口泉沟历史遗留矸石山生态修复项目、云冈区历史遗留废弃矿山生态修复工程项目、重要交通沿线采矿损毁土地现状核查及治理修复项目。</w:t>
            </w:r>
          </w:p>
          <w:p w14:paraId="6A2C911F">
            <w:pPr>
              <w:spacing w:line="500" w:lineRule="exact"/>
              <w:ind w:firstLine="562"/>
              <w:rPr>
                <w:rFonts w:eastAsia="方正仿宋_GBK" w:cs="Times New Roman"/>
                <w:color w:val="auto"/>
                <w:sz w:val="28"/>
                <w:szCs w:val="28"/>
              </w:rPr>
            </w:pPr>
            <w:r>
              <w:rPr>
                <w:rFonts w:hint="eastAsia" w:eastAsia="方正仿宋_GBK" w:cs="Times New Roman"/>
                <w:b/>
                <w:color w:val="auto"/>
                <w:sz w:val="28"/>
                <w:szCs w:val="28"/>
              </w:rPr>
              <w:t>土地综合整治工程。</w:t>
            </w:r>
            <w:r>
              <w:rPr>
                <w:rFonts w:hint="eastAsia" w:eastAsia="方正仿宋_GBK" w:cs="Times New Roman"/>
                <w:color w:val="auto"/>
                <w:sz w:val="28"/>
                <w:szCs w:val="28"/>
              </w:rPr>
              <w:t>平旺乡全域土地综合整治项目、高山镇全域土地综合整治项目、云冈镇全域土地综合整治项目、鸦儿崖乡全域土地综合整治项目。</w:t>
            </w:r>
          </w:p>
          <w:p w14:paraId="1AA98865">
            <w:pPr>
              <w:spacing w:line="500" w:lineRule="exact"/>
              <w:ind w:firstLine="562"/>
              <w:rPr>
                <w:rFonts w:eastAsia="Times New Roman" w:cs="Times New Roman"/>
                <w:color w:val="auto"/>
                <w:sz w:val="28"/>
                <w:szCs w:val="28"/>
              </w:rPr>
            </w:pPr>
            <w:r>
              <w:rPr>
                <w:rFonts w:hint="eastAsia" w:eastAsia="方正仿宋_GBK" w:cs="Times New Roman"/>
                <w:b/>
                <w:bCs/>
                <w:color w:val="auto"/>
                <w:sz w:val="28"/>
                <w:szCs w:val="28"/>
              </w:rPr>
              <w:t>蓝天保卫战工程。</w:t>
            </w:r>
            <w:r>
              <w:rPr>
                <w:rFonts w:hint="eastAsia" w:eastAsia="方正仿宋_GBK" w:cs="Times New Roman"/>
                <w:color w:val="auto"/>
                <w:sz w:val="28"/>
                <w:szCs w:val="28"/>
              </w:rPr>
              <w:t>实施大气污染精准溯源与协同治理能力提升，完善污染源清单动态更新机制，构建VOCs/NO</w:t>
            </w:r>
            <w:r>
              <w:rPr>
                <w:rFonts w:hint="eastAsia" w:eastAsia="方正仿宋_GBK" w:cs="Times New Roman"/>
                <w:color w:val="auto"/>
                <w:sz w:val="28"/>
                <w:szCs w:val="28"/>
                <w:vertAlign w:val="subscript"/>
              </w:rPr>
              <w:t>x</w:t>
            </w:r>
            <w:r>
              <w:rPr>
                <w:rFonts w:hint="eastAsia" w:eastAsia="方正仿宋_GBK" w:cs="Times New Roman"/>
                <w:color w:val="auto"/>
                <w:sz w:val="28"/>
                <w:szCs w:val="28"/>
              </w:rPr>
              <w:t>网格化监测网络。</w:t>
            </w:r>
          </w:p>
          <w:p w14:paraId="7AC1CE28">
            <w:pPr>
              <w:spacing w:line="500" w:lineRule="exact"/>
              <w:ind w:firstLine="562"/>
              <w:rPr>
                <w:rFonts w:eastAsia="Times New Roman" w:cs="Times New Roman"/>
                <w:color w:val="auto"/>
                <w:sz w:val="28"/>
                <w:szCs w:val="28"/>
              </w:rPr>
            </w:pPr>
            <w:r>
              <w:rPr>
                <w:rFonts w:hint="eastAsia" w:eastAsia="方正仿宋_GBK" w:cs="Times New Roman"/>
                <w:b/>
                <w:bCs/>
                <w:color w:val="auto"/>
                <w:sz w:val="28"/>
                <w:szCs w:val="28"/>
              </w:rPr>
              <w:t>碧水保卫战工程。</w:t>
            </w:r>
            <w:r>
              <w:rPr>
                <w:rFonts w:hint="eastAsia" w:eastAsia="方正仿宋_GBK" w:cs="Times New Roman"/>
                <w:color w:val="auto"/>
                <w:sz w:val="28"/>
                <w:szCs w:val="28"/>
              </w:rPr>
              <w:t>实施城镇污水收集处理提质增效，新建改造污水管网、推进雨污分流，完成污水处理厂提标改造及中水回用设施建设，包括大同市云冈区城镇生活污水处理厂尾水人工湿地水质净化二期工程、云冈经济技术开发区工业污水处理厂（二期）项目、云冈经济技术开发区塔山循环产业园工业污水处理厂项目、云冈经济技术开发区现代煤化工园区工业污水处理厂及雨污分流项目等。</w:t>
            </w:r>
          </w:p>
          <w:p w14:paraId="60987801">
            <w:pPr>
              <w:pStyle w:val="14"/>
              <w:spacing w:after="0" w:line="500" w:lineRule="exact"/>
              <w:ind w:firstLine="562"/>
              <w:rPr>
                <w:rFonts w:eastAsia="方正仿宋_GBK" w:cs="Times New Roman"/>
                <w:color w:val="auto"/>
                <w:sz w:val="28"/>
                <w:szCs w:val="28"/>
              </w:rPr>
            </w:pPr>
            <w:r>
              <w:rPr>
                <w:rFonts w:hint="eastAsia" w:eastAsia="方正仿宋_GBK" w:cs="Times New Roman"/>
                <w:b/>
                <w:bCs/>
                <w:color w:val="auto"/>
                <w:sz w:val="28"/>
                <w:szCs w:val="28"/>
              </w:rPr>
              <w:t>净土保卫战工程。</w:t>
            </w:r>
            <w:r>
              <w:rPr>
                <w:rFonts w:hint="eastAsia" w:ascii="方正仿宋_GBK" w:hAnsi="方正仿宋_GBK" w:eastAsia="方正仿宋_GBK" w:cs="方正仿宋_GBK"/>
                <w:color w:val="auto"/>
                <w:sz w:val="28"/>
                <w:szCs w:val="28"/>
              </w:rPr>
              <w:t>实施土壤污染风险管控，探索农用地安全利用、污染地块风险管控和重点企业管控</w:t>
            </w:r>
            <w:r>
              <w:rPr>
                <w:rFonts w:hint="eastAsia" w:eastAsia="方正仿宋_GBK" w:cs="Times New Roman"/>
                <w:color w:val="auto"/>
                <w:sz w:val="28"/>
                <w:szCs w:val="28"/>
              </w:rPr>
              <w:t>。</w:t>
            </w:r>
          </w:p>
          <w:p w14:paraId="7B2E1C90">
            <w:pPr>
              <w:spacing w:line="500" w:lineRule="exact"/>
              <w:ind w:firstLine="562"/>
              <w:rPr>
                <w:rFonts w:eastAsia="Times New Roman" w:cs="Times New Roman"/>
                <w:color w:val="auto"/>
                <w:sz w:val="28"/>
                <w:szCs w:val="28"/>
              </w:rPr>
            </w:pPr>
            <w:r>
              <w:rPr>
                <w:rFonts w:hint="eastAsia" w:eastAsia="方正仿宋_GBK" w:cs="Times New Roman"/>
                <w:b/>
                <w:color w:val="auto"/>
                <w:sz w:val="28"/>
                <w:szCs w:val="28"/>
              </w:rPr>
              <w:t>绿色生产转型工程。</w:t>
            </w:r>
            <w:r>
              <w:rPr>
                <w:rFonts w:hint="eastAsia" w:eastAsia="方正仿宋_GBK" w:cs="Times New Roman"/>
                <w:color w:val="auto"/>
                <w:sz w:val="28"/>
                <w:szCs w:val="28"/>
              </w:rPr>
              <w:t>实施重点行业节能降碳与清洁生产改造工程，在煤炭、电力等行业推广余热回收、清洁能源替代技术。推进工业水效提升与非常规水源利用，建设工业水循环系统及中水回用管网。</w:t>
            </w:r>
          </w:p>
          <w:p w14:paraId="2155BC07">
            <w:pPr>
              <w:pStyle w:val="14"/>
              <w:spacing w:after="0" w:line="500" w:lineRule="exact"/>
              <w:ind w:firstLine="562"/>
              <w:rPr>
                <w:rFonts w:eastAsia="方正仿宋_GBK" w:cs="Times New Roman"/>
                <w:color w:val="auto"/>
                <w:sz w:val="28"/>
                <w:szCs w:val="28"/>
              </w:rPr>
            </w:pPr>
            <w:r>
              <w:rPr>
                <w:rFonts w:hint="eastAsia" w:eastAsia="方正仿宋_GBK" w:cs="Times New Roman"/>
                <w:b/>
                <w:color w:val="auto"/>
                <w:sz w:val="28"/>
                <w:szCs w:val="28"/>
              </w:rPr>
              <w:t>循环经济发展工程。</w:t>
            </w:r>
            <w:r>
              <w:rPr>
                <w:rFonts w:hint="eastAsia" w:eastAsia="方正仿宋_GBK" w:cs="Times New Roman"/>
                <w:color w:val="auto"/>
                <w:sz w:val="28"/>
                <w:szCs w:val="28"/>
              </w:rPr>
              <w:t>实施新建报废汽车回收拆解再利用服务项目、赛德美动力电池物理法回收项目、光伏组件拆解回收科技项目。</w:t>
            </w:r>
          </w:p>
        </w:tc>
      </w:tr>
    </w:tbl>
    <w:p w14:paraId="79CDE0CD">
      <w:pPr>
        <w:spacing w:line="580" w:lineRule="exact"/>
        <w:ind w:firstLine="480"/>
        <w:rPr>
          <w:rFonts w:eastAsia="方正黑体_GBK" w:cs="方正黑体_GBK"/>
          <w:color w:val="auto"/>
        </w:rPr>
      </w:pPr>
      <w:r>
        <w:rPr>
          <w:rFonts w:hint="eastAsia" w:eastAsia="方正黑体_GBK" w:cs="方正黑体_GBK"/>
          <w:color w:val="auto"/>
        </w:rPr>
        <w:br w:type="page"/>
      </w:r>
    </w:p>
    <w:p w14:paraId="1ADEDD2D">
      <w:pPr>
        <w:pStyle w:val="61"/>
        <w:spacing w:before="156" w:beforeLines="50" w:after="156" w:afterLines="50" w:line="580" w:lineRule="exact"/>
        <w:ind w:firstLine="0" w:firstLineChars="0"/>
        <w:jc w:val="center"/>
        <w:rPr>
          <w:rFonts w:ascii="Times New Roman" w:hAnsi="Times New Roman" w:eastAsia="方正黑体_GBK" w:cs="方正黑体_GBK"/>
          <w:color w:val="auto"/>
        </w:rPr>
      </w:pPr>
      <w:bookmarkStart w:id="356" w:name="_Toc597299250"/>
      <w:bookmarkStart w:id="357" w:name="_Toc2128102269"/>
      <w:r>
        <w:rPr>
          <w:rFonts w:hint="eastAsia" w:ascii="Times New Roman" w:hAnsi="Times New Roman" w:eastAsia="方正黑体_GBK" w:cs="方正黑体_GBK"/>
          <w:color w:val="auto"/>
        </w:rPr>
        <w:t>第十四章 提升社会治理效能 加快建设更高水平平安云冈</w:t>
      </w:r>
      <w:bookmarkEnd w:id="356"/>
      <w:bookmarkEnd w:id="357"/>
    </w:p>
    <w:p w14:paraId="5C4EB7D0">
      <w:pPr>
        <w:topLinePunct/>
        <w:adjustRightInd w:val="0"/>
        <w:snapToGrid w:val="0"/>
        <w:spacing w:line="580" w:lineRule="exact"/>
        <w:ind w:firstLine="600"/>
        <w:rPr>
          <w:rFonts w:eastAsia="方正仿宋_GBK" w:cs="仿宋_GB2312"/>
          <w:color w:val="auto"/>
          <w:sz w:val="30"/>
          <w:szCs w:val="30"/>
          <w14:ligatures w14:val="standardContextual"/>
        </w:rPr>
      </w:pPr>
      <w:r>
        <w:rPr>
          <w:rFonts w:hint="eastAsia" w:eastAsia="方正仿宋_GBK" w:cs="仿宋_GB2312"/>
          <w:color w:val="auto"/>
          <w:sz w:val="30"/>
          <w:szCs w:val="30"/>
          <w14:ligatures w14:val="standardContextual"/>
        </w:rPr>
        <w:t>统筹发展和安全，深入贯彻落实总体国家安全观，健全法治体系筑牢治理根基，强化应急保障能力，精准防范化解重点领域风险，创新基层治理激发社会活力，全面提升社会治理系统化、法治化、智能化、专业化水平，为云冈高质量发展营造安全稳定的社会环境。</w:t>
      </w:r>
    </w:p>
    <w:p w14:paraId="37FD439A">
      <w:pPr>
        <w:spacing w:line="580" w:lineRule="exact"/>
        <w:ind w:firstLine="0" w:firstLineChars="0"/>
        <w:jc w:val="center"/>
        <w:outlineLvl w:val="1"/>
        <w:rPr>
          <w:rFonts w:eastAsia="楷体" w:cs="Times New Roman"/>
          <w:color w:val="auto"/>
          <w:sz w:val="30"/>
          <w:szCs w:val="30"/>
        </w:rPr>
      </w:pPr>
      <w:bookmarkStart w:id="358" w:name="_Toc1469928672"/>
      <w:bookmarkStart w:id="359" w:name="_Toc674694298"/>
      <w:r>
        <w:rPr>
          <w:rFonts w:hint="eastAsia" w:eastAsia="楷体" w:cs="Times New Roman"/>
          <w:color w:val="auto"/>
          <w:sz w:val="30"/>
          <w:szCs w:val="30"/>
        </w:rPr>
        <w:t>第一节  坚决筑牢国家安全屏障</w:t>
      </w:r>
      <w:bookmarkEnd w:id="358"/>
      <w:bookmarkEnd w:id="359"/>
    </w:p>
    <w:p w14:paraId="5863FFC2">
      <w:pPr>
        <w:widowControl/>
        <w:numPr>
          <w:ilvl w:val="255"/>
          <w:numId w:val="0"/>
        </w:numPr>
        <w:topLinePunct/>
        <w:adjustRightInd w:val="0"/>
        <w:snapToGrid w:val="0"/>
        <w:spacing w:line="580" w:lineRule="exact"/>
        <w:ind w:firstLine="602" w:firstLineChars="200"/>
        <w:rPr>
          <w:rFonts w:hint="eastAsia" w:eastAsia="方正仿宋_GBK" w:cs="仿宋_GB2312"/>
          <w:color w:val="auto"/>
          <w:sz w:val="30"/>
          <w:szCs w:val="30"/>
          <w14:ligatures w14:val="standardContextual"/>
        </w:rPr>
      </w:pPr>
      <w:r>
        <w:rPr>
          <w:rFonts w:hint="eastAsia" w:eastAsia="方正仿宋_GBK" w:cs="仿宋_GB2312"/>
          <w:b/>
          <w:bCs/>
          <w:color w:val="auto"/>
          <w:sz w:val="30"/>
          <w:szCs w:val="30"/>
          <w14:ligatures w14:val="standardContextual"/>
        </w:rPr>
        <w:t>推进国家安全体系和能力现代化。</w:t>
      </w:r>
      <w:r>
        <w:rPr>
          <w:rFonts w:hint="eastAsia" w:eastAsia="方正仿宋_GBK" w:cs="仿宋_GB2312"/>
          <w:color w:val="auto"/>
          <w:sz w:val="30"/>
          <w:szCs w:val="30"/>
          <w14:ligatures w14:val="standardContextual"/>
        </w:rPr>
        <w:t>严格落实国家安全责任制，坚持把捍卫政治安全摆在首位，坚定维护国家政权安全、制度安全、意识形态安全，防范境内外敌对势力渗透颠覆破坏，深化反奸防谍斗争，打击防范和教育转化邪教组织，防范暴恐分裂活动。强化国家安全重点领域和重要专项协调机制建设，提高应急应变效能。夯实国家安全基础保障，确保粮食、能源资源安全，加强网络、数据、人工智能、生态、低空等新兴领域安全保障。加强新时代人民武装工作，强化国家安全教育，筑牢人民防线。落实党管武装各项制度，深化跨军地改革。</w:t>
      </w:r>
    </w:p>
    <w:p w14:paraId="6155AF18">
      <w:pPr>
        <w:widowControl/>
        <w:numPr>
          <w:ilvl w:val="255"/>
          <w:numId w:val="0"/>
        </w:numPr>
        <w:topLinePunct/>
        <w:adjustRightInd w:val="0"/>
        <w:snapToGrid w:val="0"/>
        <w:spacing w:line="580" w:lineRule="exact"/>
        <w:ind w:firstLine="602" w:firstLineChars="200"/>
        <w:rPr>
          <w:rFonts w:hint="eastAsia" w:eastAsia="方正仿宋_GBK" w:cs="仿宋_GB2312"/>
          <w:b w:val="0"/>
          <w:bCs w:val="0"/>
          <w:color w:val="auto"/>
          <w:sz w:val="30"/>
          <w:szCs w:val="30"/>
          <w14:ligatures w14:val="standardContextual"/>
        </w:rPr>
      </w:pPr>
      <w:r>
        <w:rPr>
          <w:rFonts w:hint="eastAsia" w:eastAsia="方正仿宋_GBK" w:cs="仿宋_GB2312"/>
          <w:b/>
          <w:bCs/>
          <w:color w:val="auto"/>
          <w:sz w:val="30"/>
          <w:szCs w:val="30"/>
          <w:lang w:eastAsia="zh-CN"/>
          <w14:ligatures w14:val="standardContextual"/>
        </w:rPr>
        <w:t>加强国防动员建设。</w:t>
      </w:r>
      <w:r>
        <w:rPr>
          <w:rFonts w:hint="eastAsia" w:eastAsia="方正仿宋_GBK" w:cs="仿宋_GB2312"/>
          <w:b w:val="0"/>
          <w:bCs w:val="0"/>
          <w:color w:val="auto"/>
          <w:sz w:val="30"/>
          <w:szCs w:val="30"/>
          <w:lang w:eastAsia="zh-CN"/>
          <w14:ligatures w14:val="standardContextual"/>
        </w:rPr>
        <w:t>深入贯彻习近平强军思想，严格落实党管武装、党管国防动员政治责任。加强国防后备力量建设，夯实民兵建设基础保障。聚焦备战打仗要求，坚持战斗力标准，强化军地联合指挥与协同训练，提升民兵应急处突和支援保障能力。深化民兵调整改革，积极支持驻区部队建设发展，全力做好各项服务保障。深化全民国防教育，创新宣传方式，丰富活动载体，提升双拥共建水平，持续巩固军政军民团结。推动军民融合务实发展，精准对接军地需求，统筹整合区域资源，不断提升军地协同保障能力。</w:t>
      </w:r>
    </w:p>
    <w:p w14:paraId="238779B9">
      <w:pPr>
        <w:topLinePunct/>
        <w:adjustRightInd w:val="0"/>
        <w:snapToGrid w:val="0"/>
        <w:spacing w:line="580" w:lineRule="exact"/>
        <w:ind w:firstLine="602"/>
        <w:rPr>
          <w:rFonts w:eastAsia="方正仿宋_GBK" w:cs="仿宋_GB2312"/>
          <w:color w:val="auto"/>
          <w:sz w:val="30"/>
          <w:szCs w:val="30"/>
          <w14:ligatures w14:val="standardContextual"/>
        </w:rPr>
      </w:pPr>
      <w:r>
        <w:rPr>
          <w:rFonts w:hint="eastAsia" w:eastAsia="方正仿宋_GBK" w:cs="仿宋_GB2312"/>
          <w:b/>
          <w:bCs/>
          <w:color w:val="auto"/>
          <w:sz w:val="30"/>
          <w:szCs w:val="30"/>
          <w14:ligatures w14:val="standardContextual"/>
        </w:rPr>
        <w:t>强化依法治区。</w:t>
      </w:r>
      <w:r>
        <w:rPr>
          <w:rFonts w:hint="eastAsia" w:eastAsia="方正仿宋_GBK" w:cs="仿宋_GB2312"/>
          <w:color w:val="auto"/>
          <w:sz w:val="30"/>
          <w:szCs w:val="30"/>
          <w14:ligatures w14:val="standardContextual"/>
        </w:rPr>
        <w:t>健全依法决策机制，严格落实重大行政决策程序规定和合法性审查制度，建立决策后评估机制和终身责任追究制度。深化行政执法体制改革，全面推行行政执法公示、执法全过程记录、重大执法决定法制审核“三项制度”，规范执法自由裁量权，提升执法透明度和公信力。强化行政权力制约监督，自觉接受党内监督、人大监督、民主监督、司法监督，加强行政监督和审计监督，完善社会监督和舆论监督机制，畅通行政复议、行政诉讼渠道，有效化解行政争议。推进“新官不理旧账、政策不兑现、拖欠民营企业账款”问题专项治理。大力弘扬法治精神，引导干部群众自觉守法、遇事找法、解决问题靠法。</w:t>
      </w:r>
    </w:p>
    <w:p w14:paraId="4071B922">
      <w:pPr>
        <w:topLinePunct/>
        <w:adjustRightInd w:val="0"/>
        <w:snapToGrid w:val="0"/>
        <w:spacing w:line="580" w:lineRule="exact"/>
        <w:ind w:firstLine="602" w:firstLineChars="0"/>
        <w:jc w:val="left"/>
        <w:rPr>
          <w:color w:val="auto"/>
        </w:rPr>
      </w:pPr>
      <w:r>
        <w:rPr>
          <w:rFonts w:hint="eastAsia" w:eastAsia="方正仿宋_GBK" w:cs="仿宋_GB2312"/>
          <w:b/>
          <w:bCs/>
          <w:color w:val="auto"/>
          <w:sz w:val="30"/>
          <w:szCs w:val="30"/>
          <w14:ligatures w14:val="standardContextual"/>
        </w:rPr>
        <w:t>严防经济金融领域风险</w:t>
      </w:r>
      <w:r>
        <w:rPr>
          <w:rFonts w:hint="eastAsia" w:eastAsia="方正仿宋_GBK" w:cs="仿宋_GB2312"/>
          <w:color w:val="auto"/>
          <w:sz w:val="30"/>
          <w:szCs w:val="30"/>
          <w14:ligatures w14:val="standardContextual"/>
        </w:rPr>
        <w:t>。加强经济运行动态监测和风险研判，促进经济社会平稳健康发展，防范化解地方政府债务风险，稳妥化解存量，坚决遏制隐性债务增量。强化金融监管，严厉打击非法金融活动，有效防控地方法人金融机构风险和企业债务风险。密切关注房地产市场动态，健全“保交楼”有关机制，促进房地产市场平稳健康发展，防范化解房地产领域风险。加强非法集资监测预警和处置，实现风险早识别、早预警。</w:t>
      </w:r>
    </w:p>
    <w:p w14:paraId="65317741">
      <w:pPr>
        <w:spacing w:line="580" w:lineRule="exact"/>
        <w:ind w:firstLine="0" w:firstLineChars="0"/>
        <w:jc w:val="center"/>
        <w:outlineLvl w:val="1"/>
        <w:rPr>
          <w:rFonts w:eastAsia="楷体" w:cs="Times New Roman"/>
          <w:color w:val="auto"/>
          <w:sz w:val="30"/>
          <w:szCs w:val="30"/>
        </w:rPr>
      </w:pPr>
      <w:bookmarkStart w:id="360" w:name="_Toc873410326"/>
      <w:bookmarkStart w:id="361" w:name="_Toc439315216"/>
      <w:r>
        <w:rPr>
          <w:rFonts w:hint="eastAsia" w:eastAsia="楷体" w:cs="Times New Roman"/>
          <w:color w:val="auto"/>
          <w:sz w:val="30"/>
          <w:szCs w:val="30"/>
        </w:rPr>
        <w:t>第二节  提高公共安全治理现代化水平</w:t>
      </w:r>
      <w:bookmarkEnd w:id="360"/>
      <w:bookmarkEnd w:id="361"/>
    </w:p>
    <w:p w14:paraId="2CFA6FBA">
      <w:pPr>
        <w:spacing w:line="580" w:lineRule="exact"/>
        <w:ind w:firstLine="643" w:firstLineChars="0"/>
        <w:rPr>
          <w:rFonts w:eastAsia="方正仿宋_GBK" w:cs="仿宋_GB2312"/>
          <w:color w:val="auto"/>
          <w:sz w:val="30"/>
          <w:szCs w:val="30"/>
          <w14:ligatures w14:val="standardContextual"/>
        </w:rPr>
      </w:pPr>
      <w:r>
        <w:rPr>
          <w:rFonts w:hint="eastAsia" w:eastAsia="方正仿宋_GBK" w:cs="仿宋_GB2312"/>
          <w:b/>
          <w:bCs/>
          <w:color w:val="auto"/>
          <w:sz w:val="30"/>
          <w:szCs w:val="30"/>
          <w14:ligatures w14:val="standardContextual"/>
        </w:rPr>
        <w:t>健全安全生产责任体系</w:t>
      </w:r>
      <w:r>
        <w:rPr>
          <w:rFonts w:hint="eastAsia" w:eastAsia="方正仿宋_GBK" w:cs="仿宋_GB2312"/>
          <w:color w:val="auto"/>
          <w:sz w:val="30"/>
          <w:szCs w:val="30"/>
          <w14:ligatures w14:val="standardContextual"/>
        </w:rPr>
        <w:t>。严格落实“党政同责、一岗双责、齐抓共管、失职追责”和“三管三必须”要求，压紧压实党政领导责任、部门监管责任和企业主体责任。建立企业安全信用档案，实施“红黑榜”公示制度。强化安全生产目标考核和巡查督查，严肃事故调查处理和责任追究。推行重大隐患挂牌督办，推动企业建立健全全员安全生产责任制。加大安全生产投入，落实安全风险分级管控和隐患排查治理双重预防机制，提升安全生产水平。推广安全生产责任保险，发挥市场机制参与风险防控的作用。</w:t>
      </w:r>
    </w:p>
    <w:p w14:paraId="6B6BD307">
      <w:pPr>
        <w:topLinePunct/>
        <w:adjustRightInd w:val="0"/>
        <w:snapToGrid w:val="0"/>
        <w:spacing w:line="580" w:lineRule="exact"/>
        <w:ind w:firstLine="602"/>
        <w:rPr>
          <w:rFonts w:eastAsia="方正仿宋_GBK" w:cs="仿宋_GB2312"/>
          <w:color w:val="auto"/>
          <w:sz w:val="30"/>
          <w:szCs w:val="30"/>
          <w14:ligatures w14:val="standardContextual"/>
        </w:rPr>
      </w:pPr>
      <w:r>
        <w:rPr>
          <w:rFonts w:hint="eastAsia" w:eastAsia="方正仿宋_GBK" w:cs="仿宋_GB2312"/>
          <w:b/>
          <w:bCs/>
          <w:color w:val="auto"/>
          <w:sz w:val="30"/>
          <w:szCs w:val="30"/>
          <w14:ligatures w14:val="standardContextual"/>
        </w:rPr>
        <w:t>深化重点行业领域专项整治</w:t>
      </w:r>
      <w:r>
        <w:rPr>
          <w:rFonts w:hint="eastAsia" w:eastAsia="方正仿宋_GBK" w:cs="仿宋_GB2312"/>
          <w:color w:val="auto"/>
          <w:sz w:val="30"/>
          <w:szCs w:val="30"/>
          <w14:ligatures w14:val="standardContextual"/>
        </w:rPr>
        <w:t>。聚焦煤矿、非煤矿山、危险化学品、交通运输、建筑施工、城镇燃气、消防、工贸、特种设备等重点行业领域，持续深入开展安全生产专项整治行动，加快重点领域、高危行业安全生产标准化建设和智能化改造，提升企业本质安全水平。强化源头治理、系统治理，扎实推进安全技能提升行动，严厉打击非法违法生产经营建设行为。建立跨部门联合执法机制，常态化开展专项整治行动。运用科技信息化手段提升安全监管效能，推广先进适用安全技术装备，提升重点领域安全生产风险监测预警能力。强化食品、药品从源头到消费的全过程、全链条监管，保障人民群众“舌尖上的安全”。</w:t>
      </w:r>
    </w:p>
    <w:p w14:paraId="781EB090">
      <w:pPr>
        <w:topLinePunct/>
        <w:adjustRightInd w:val="0"/>
        <w:snapToGrid w:val="0"/>
        <w:spacing w:line="580" w:lineRule="exact"/>
        <w:ind w:firstLine="602"/>
        <w:rPr>
          <w:rFonts w:eastAsia="方正仿宋_GBK" w:cs="仿宋_GB2312"/>
          <w:color w:val="auto"/>
          <w:sz w:val="30"/>
          <w:szCs w:val="30"/>
          <w14:ligatures w14:val="standardContextual"/>
        </w:rPr>
      </w:pPr>
      <w:r>
        <w:rPr>
          <w:rFonts w:hint="eastAsia" w:eastAsia="方正仿宋_GBK" w:cs="仿宋_GB2312"/>
          <w:b/>
          <w:bCs/>
          <w:color w:val="auto"/>
          <w:sz w:val="30"/>
          <w:szCs w:val="30"/>
          <w14:ligatures w14:val="standardContextual"/>
        </w:rPr>
        <w:t>深化司法体制改革</w:t>
      </w:r>
      <w:r>
        <w:rPr>
          <w:rFonts w:hint="eastAsia" w:eastAsia="方正仿宋_GBK" w:cs="仿宋_GB2312"/>
          <w:color w:val="auto"/>
          <w:sz w:val="30"/>
          <w:szCs w:val="30"/>
          <w14:ligatures w14:val="standardContextual"/>
        </w:rPr>
        <w:t>。支持司法机关依法独立公正行使审判权、检察权。完善领导干部干预司法活动记录通报制度。深化司法责任制综合配套改革，健全审判监督管理、检察官办案责任制。建立法官、检察官权力责任清单，落实案件质量终身负责制。优化司法职权配置和运行机制，推进知识产权、环境资源等专业化法庭建设，提升司法效能和公信力。优化司法为民服务，完善诉讼服务体系，深化“一站式”建设，切实解决群众诉讼难题。全面准确贯彻宽严相济刑事政策，强化刑罚执行与监督效能质效。</w:t>
      </w:r>
    </w:p>
    <w:p w14:paraId="5FD6FFD5">
      <w:pPr>
        <w:topLinePunct/>
        <w:adjustRightInd w:val="0"/>
        <w:snapToGrid w:val="0"/>
        <w:spacing w:line="580" w:lineRule="exact"/>
        <w:ind w:firstLine="602"/>
        <w:rPr>
          <w:rFonts w:eastAsia="方正仿宋_GBK" w:cs="仿宋_GB2312"/>
          <w:color w:val="auto"/>
          <w:sz w:val="30"/>
          <w:szCs w:val="30"/>
          <w14:ligatures w14:val="standardContextual"/>
        </w:rPr>
      </w:pPr>
      <w:r>
        <w:rPr>
          <w:rFonts w:hint="eastAsia" w:eastAsia="方正仿宋_GBK" w:cs="仿宋_GB2312"/>
          <w:b/>
          <w:bCs/>
          <w:color w:val="auto"/>
          <w:sz w:val="30"/>
          <w:szCs w:val="30"/>
          <w14:ligatures w14:val="standardContextual"/>
        </w:rPr>
        <w:t>强化社会治安综合治理</w:t>
      </w:r>
      <w:r>
        <w:rPr>
          <w:rFonts w:hint="eastAsia" w:eastAsia="方正仿宋_GBK" w:cs="仿宋_GB2312"/>
          <w:color w:val="auto"/>
          <w:sz w:val="30"/>
          <w:szCs w:val="30"/>
          <w14:ligatures w14:val="standardContextual"/>
        </w:rPr>
        <w:t>。深入落实《维护社会稳定责任制规定》，深化社会治安整体防控体系和能力建设，完善立体化、信息化社会治安防控体系。深化推进“雪亮工程”，完善高清探头等设施建设，提升重点区域覆盖率。健全扫黑除恶常态化机制，完善预防和打击电信网络诈骗、毒品犯罪等违法犯罪工作机制，保障人民生命财产安全。推进区乡两级综治中心规范化建设，提升矛盾纠纷预防化解法治化水平和社会治安综合治理规范化水平。加强社会面巡逻防控和重点部位守护，提升见警率、管事率。强化未成年人违法犯罪预防和治理。建设“平安云冈”，不断提升人民群众安全感和满意度。</w:t>
      </w:r>
    </w:p>
    <w:p w14:paraId="4C668C32">
      <w:pPr>
        <w:spacing w:line="580" w:lineRule="exact"/>
        <w:ind w:firstLine="0" w:firstLineChars="0"/>
        <w:jc w:val="center"/>
        <w:outlineLvl w:val="1"/>
        <w:rPr>
          <w:rFonts w:eastAsia="楷体" w:cs="Times New Roman"/>
          <w:color w:val="auto"/>
          <w:sz w:val="30"/>
          <w:szCs w:val="30"/>
          <w14:ligatures w14:val="standardContextual"/>
        </w:rPr>
      </w:pPr>
      <w:bookmarkStart w:id="362" w:name="_Toc1356621837"/>
      <w:bookmarkStart w:id="363" w:name="_Toc522056926"/>
      <w:r>
        <w:rPr>
          <w:rFonts w:hint="eastAsia" w:eastAsia="楷体" w:cs="Times New Roman"/>
          <w:color w:val="auto"/>
          <w:sz w:val="30"/>
          <w:szCs w:val="30"/>
          <w14:ligatures w14:val="standardContextual"/>
        </w:rPr>
        <w:t xml:space="preserve">第三节 </w:t>
      </w:r>
      <w:r>
        <w:rPr>
          <w:rFonts w:hint="eastAsia" w:eastAsia="楷体" w:cs="Times New Roman"/>
          <w:color w:val="auto"/>
          <w:sz w:val="30"/>
          <w:szCs w:val="30"/>
        </w:rPr>
        <w:t xml:space="preserve"> </w:t>
      </w:r>
      <w:r>
        <w:rPr>
          <w:rFonts w:hint="eastAsia" w:eastAsia="楷体" w:cs="Times New Roman"/>
          <w:color w:val="auto"/>
          <w:sz w:val="30"/>
          <w:szCs w:val="30"/>
          <w14:ligatures w14:val="standardContextual"/>
        </w:rPr>
        <w:t>提升防灾减灾救灾综合应对能力</w:t>
      </w:r>
      <w:bookmarkEnd w:id="362"/>
      <w:bookmarkEnd w:id="363"/>
    </w:p>
    <w:p w14:paraId="3F435611">
      <w:pPr>
        <w:spacing w:line="580" w:lineRule="exact"/>
        <w:ind w:firstLine="643" w:firstLineChars="0"/>
        <w:rPr>
          <w:rFonts w:eastAsia="方正仿宋_GBK" w:cs="仿宋_GB2312"/>
          <w:b/>
          <w:bCs/>
          <w:color w:val="auto"/>
          <w:sz w:val="30"/>
          <w:szCs w:val="30"/>
          <w14:ligatures w14:val="standardContextual"/>
        </w:rPr>
      </w:pPr>
      <w:r>
        <w:rPr>
          <w:rFonts w:hint="eastAsia" w:eastAsia="方正仿宋_GBK" w:cs="仿宋_GB2312"/>
          <w:b/>
          <w:bCs/>
          <w:color w:val="auto"/>
          <w:sz w:val="30"/>
          <w:szCs w:val="30"/>
          <w14:ligatures w14:val="standardContextual"/>
        </w:rPr>
        <w:t>筑牢全域监测预警网络。</w:t>
      </w:r>
      <w:r>
        <w:rPr>
          <w:rFonts w:hint="eastAsia" w:eastAsia="方正仿宋_GBK" w:cs="仿宋_GB2312"/>
          <w:color w:val="auto"/>
          <w:sz w:val="30"/>
          <w:szCs w:val="30"/>
          <w14:ligatures w14:val="standardContextual"/>
        </w:rPr>
        <w:t>聚焦气象、水文、地质灾害等重点领域，健全全域覆盖、精准高效的监测预报预警网络，完善自然灾害、事故灾难风险监测信息共享机制，提升风险识别和早期预警能力。优化监测站点布局，整合视频监控、红外监测、气象采集等技术手段，推动监测数据实时汇聚、智能分析，实现风险隐患动态化、可视化管理。健全风险研判、信息发布机制，规范预警信息传播渠道，确保预警信息及时、准确送达基层群众。</w:t>
      </w:r>
    </w:p>
    <w:p w14:paraId="0A60AF4C">
      <w:pPr>
        <w:spacing w:line="580" w:lineRule="exact"/>
        <w:ind w:firstLine="643" w:firstLineChars="0"/>
        <w:rPr>
          <w:rFonts w:eastAsia="方正仿宋_GBK" w:cs="仿宋_GB2312"/>
          <w:b/>
          <w:bCs/>
          <w:color w:val="auto"/>
          <w:sz w:val="30"/>
          <w:szCs w:val="30"/>
          <w14:ligatures w14:val="standardContextual"/>
        </w:rPr>
      </w:pPr>
      <w:r>
        <w:rPr>
          <w:rFonts w:hint="eastAsia" w:eastAsia="方正仿宋_GBK" w:cs="仿宋_GB2312"/>
          <w:b/>
          <w:bCs/>
          <w:color w:val="auto"/>
          <w:sz w:val="30"/>
          <w:szCs w:val="30"/>
          <w14:ligatures w14:val="standardContextual"/>
        </w:rPr>
        <w:t>健全多元应急处置机制。</w:t>
      </w:r>
      <w:r>
        <w:rPr>
          <w:rFonts w:hint="eastAsia" w:eastAsia="方正仿宋_GBK" w:cs="仿宋_GB2312"/>
          <w:color w:val="auto"/>
          <w:sz w:val="30"/>
          <w:szCs w:val="30"/>
          <w14:ligatures w14:val="standardContextual"/>
        </w:rPr>
        <w:t>完善统一指挥、专常兼备、反应灵敏、上下联动的应急管理体系，细化应急响应快速处置、队伍力量指挥调度、减灾物资储备调拨等关键机制，确保突发公共事件处置高效有序。加强区级应急指挥中心标准化建设，健全应急通信保障机制，提升跨区域、跨部门协同作战能力。加强公众安全意识教育和应急避险技能培训，丰富宣传教育形式，普及防灾减灾知识，提升全民安全素养和社会应急动员能力，营造全社会共同参与防灾减灾的良好氛围。</w:t>
      </w:r>
    </w:p>
    <w:p w14:paraId="05E4F528">
      <w:pPr>
        <w:spacing w:line="580" w:lineRule="exact"/>
        <w:ind w:firstLine="643" w:firstLineChars="0"/>
        <w:rPr>
          <w:rFonts w:eastAsia="方正仿宋_GBK" w:cs="仿宋_GB2312"/>
          <w:b/>
          <w:bCs/>
          <w:color w:val="auto"/>
          <w:sz w:val="30"/>
          <w:szCs w:val="30"/>
          <w14:ligatures w14:val="standardContextual"/>
        </w:rPr>
      </w:pPr>
      <w:r>
        <w:rPr>
          <w:rFonts w:hint="eastAsia" w:eastAsia="方正仿宋_GBK" w:cs="仿宋_GB2312"/>
          <w:b/>
          <w:bCs/>
          <w:color w:val="auto"/>
          <w:sz w:val="30"/>
          <w:szCs w:val="30"/>
          <w14:ligatures w14:val="standardContextual"/>
        </w:rPr>
        <w:t>补齐基础设施和管理能力短板。</w:t>
      </w:r>
      <w:r>
        <w:rPr>
          <w:rFonts w:hint="eastAsia" w:eastAsia="方正仿宋_GBK" w:cs="仿宋_GB2312"/>
          <w:color w:val="auto"/>
          <w:sz w:val="30"/>
          <w:szCs w:val="30"/>
          <w14:ligatures w14:val="standardContextual"/>
        </w:rPr>
        <w:t>坚持问题导向、目标导向，加紧补齐防洪排涝抗灾等基础设施短板，科学规划建设防洪堤、排水管网、蓄洪设施等工程，提升城乡防洪排涝、抗旱供水保障能力。构建“天、地、人”立体防控的森林草原防火监测一张网，完善防火监测预警、扑救、保障三大体系，建设各类防火阻隔带和防火道路，推动森林草原防火治理体系和治理能力现代化。加强消防物联网建设，推广应用远程监控、物联网监测、电气火灾监控等，建</w:t>
      </w:r>
      <w:r>
        <w:rPr>
          <w:rFonts w:hint="eastAsia" w:eastAsia="方正仿宋_GBK" w:cs="仿宋_GB2312"/>
          <w:color w:val="auto"/>
          <w:sz w:val="30"/>
          <w:szCs w:val="30"/>
          <w:lang w:val="en-US" w:eastAsia="zh-CN"/>
          <w14:ligatures w14:val="standardContextual"/>
        </w:rPr>
        <w:t>设</w:t>
      </w:r>
      <w:r>
        <w:rPr>
          <w:rFonts w:hint="eastAsia" w:eastAsia="方正仿宋_GBK" w:cs="仿宋_GB2312"/>
          <w:color w:val="auto"/>
          <w:sz w:val="30"/>
          <w:szCs w:val="30"/>
          <w14:ligatures w14:val="standardContextual"/>
        </w:rPr>
        <w:t>火灾监测预警预报平台，实现对火灾高风险场所、高风险区域的动态监测、风险评估、智能分析和精准治理。</w:t>
      </w:r>
    </w:p>
    <w:p w14:paraId="06206D68">
      <w:pPr>
        <w:spacing w:line="580" w:lineRule="exact"/>
        <w:ind w:firstLine="643" w:firstLineChars="0"/>
        <w:rPr>
          <w:rFonts w:eastAsia="方正仿宋_GBK" w:cs="仿宋_GB2312"/>
          <w:color w:val="auto"/>
          <w:sz w:val="30"/>
          <w:szCs w:val="30"/>
          <w14:ligatures w14:val="standardContextual"/>
        </w:rPr>
      </w:pPr>
      <w:r>
        <w:rPr>
          <w:rFonts w:hint="eastAsia" w:eastAsia="方正仿宋_GBK" w:cs="仿宋_GB2312"/>
          <w:color w:val="auto"/>
          <w:sz w:val="30"/>
          <w:szCs w:val="30"/>
          <w14:ligatures w14:val="standardContextual"/>
        </w:rPr>
        <w:t>强化专业救援队伍建设，配齐配强应急救援装备，常态化开展实战化应急演练，建强基层应急力量，筑牢应急处置“最后一公里”防线，全面提升森林草原火灾、地震、洪涝干旱等自然灾害及极端天气应对能力。</w:t>
      </w:r>
    </w:p>
    <w:p w14:paraId="4102A9A9">
      <w:pPr>
        <w:spacing w:line="580" w:lineRule="exact"/>
        <w:ind w:firstLine="0" w:firstLineChars="0"/>
        <w:jc w:val="center"/>
        <w:outlineLvl w:val="1"/>
        <w:rPr>
          <w:rFonts w:eastAsia="楷体" w:cs="Times New Roman"/>
          <w:color w:val="auto"/>
          <w:sz w:val="30"/>
          <w:szCs w:val="30"/>
        </w:rPr>
      </w:pPr>
      <w:bookmarkStart w:id="364" w:name="_Toc909334260"/>
      <w:bookmarkStart w:id="365" w:name="_Toc1740057287"/>
      <w:r>
        <w:rPr>
          <w:rFonts w:hint="eastAsia" w:eastAsia="楷体" w:cs="Times New Roman"/>
          <w:color w:val="auto"/>
          <w:sz w:val="30"/>
          <w:szCs w:val="30"/>
        </w:rPr>
        <w:t>第四节  完善共建共治共享社会治理体系</w:t>
      </w:r>
      <w:bookmarkEnd w:id="364"/>
      <w:bookmarkEnd w:id="365"/>
    </w:p>
    <w:p w14:paraId="4E2867E2">
      <w:pPr>
        <w:topLinePunct/>
        <w:adjustRightInd w:val="0"/>
        <w:snapToGrid w:val="0"/>
        <w:spacing w:line="580" w:lineRule="exact"/>
        <w:ind w:firstLine="602"/>
        <w:rPr>
          <w:rFonts w:eastAsia="方正仿宋_GBK" w:cs="仿宋_GB2312"/>
          <w:color w:val="auto"/>
          <w:sz w:val="30"/>
          <w:szCs w:val="30"/>
          <w14:ligatures w14:val="standardContextual"/>
        </w:rPr>
      </w:pPr>
      <w:r>
        <w:rPr>
          <w:rFonts w:hint="eastAsia" w:eastAsia="方正仿宋_GBK" w:cs="仿宋_GB2312"/>
          <w:b/>
          <w:bCs/>
          <w:color w:val="auto"/>
          <w:sz w:val="30"/>
          <w:szCs w:val="30"/>
          <w14:ligatures w14:val="standardContextual"/>
        </w:rPr>
        <w:t>加强普法和法律服务建设</w:t>
      </w:r>
      <w:r>
        <w:rPr>
          <w:rFonts w:hint="eastAsia" w:eastAsia="方正仿宋_GBK" w:cs="仿宋_GB2312"/>
          <w:color w:val="auto"/>
          <w:sz w:val="30"/>
          <w:szCs w:val="30"/>
          <w14:ligatures w14:val="standardContextual"/>
        </w:rPr>
        <w:t>。深入开展“九五”普法宣传教育，落实“谁执法谁普法”普法责任制，创新普法形式，编制差异化普法手册，增强普法针对性和实效性。强化公共法律服务供给，拓展法律援助覆盖面，建立法律援助与司法救助衔接机制，完善区、乡镇（街道）、村（社区）三级公共法律服务平台，为群众提供便捷高效的法律服务，保障困难群体和特殊人群合法权益。</w:t>
      </w:r>
    </w:p>
    <w:p w14:paraId="03E4010B">
      <w:pPr>
        <w:topLinePunct/>
        <w:adjustRightInd w:val="0"/>
        <w:snapToGrid w:val="0"/>
        <w:spacing w:line="580" w:lineRule="exact"/>
        <w:ind w:firstLine="602"/>
        <w:rPr>
          <w:rFonts w:eastAsia="方正仿宋_GBK"/>
          <w:color w:val="auto"/>
          <w:sz w:val="30"/>
          <w:szCs w:val="30"/>
        </w:rPr>
      </w:pPr>
      <w:r>
        <w:rPr>
          <w:rFonts w:hint="eastAsia" w:eastAsia="方正仿宋_GBK" w:cs="仿宋_GB2312"/>
          <w:b/>
          <w:bCs/>
          <w:color w:val="auto"/>
          <w:sz w:val="30"/>
          <w:szCs w:val="30"/>
          <w14:ligatures w14:val="standardContextual"/>
        </w:rPr>
        <w:t>持续提升基层治理能力</w:t>
      </w:r>
      <w:r>
        <w:rPr>
          <w:rFonts w:hint="eastAsia" w:eastAsia="方正仿宋_GBK" w:cs="仿宋_GB2312"/>
          <w:color w:val="auto"/>
          <w:sz w:val="30"/>
          <w:szCs w:val="30"/>
          <w14:ligatures w14:val="standardContextual"/>
        </w:rPr>
        <w:t>。加强党建引领基层治理和基层政权建设，全面实施乡镇（街道）履行职责事项清单，落实村（社区）工作事项准入制度。坚持和发展新时代“枫桥经验”，完善矛盾纠纷源头预防、排查预警、多元化解机制，深化平安乡村、平安社区</w:t>
      </w:r>
      <w:r>
        <w:rPr>
          <w:rFonts w:hint="eastAsia" w:eastAsia="方正仿宋_GBK" w:cs="仿宋_GB2312"/>
          <w:color w:val="auto"/>
          <w:sz w:val="30"/>
          <w:szCs w:val="30"/>
          <w:lang w:val="en-US" w:eastAsia="zh-CN"/>
          <w14:ligatures w14:val="standardContextual"/>
        </w:rPr>
        <w:t>建设</w:t>
      </w:r>
      <w:r>
        <w:rPr>
          <w:rFonts w:hint="eastAsia" w:eastAsia="方正仿宋_GBK" w:cs="仿宋_GB2312"/>
          <w:color w:val="auto"/>
          <w:sz w:val="30"/>
          <w:szCs w:val="30"/>
          <w14:ligatures w14:val="standardContextual"/>
        </w:rPr>
        <w:t>。加强基层服务管理力量配置，完善服务设施和经费保障机制，深化网格化管理服务。发挥市民公约、村规民约等作用，推进移风易俗工作。健全基层党组织领导的基层群众自治机制，完善行业协会商会改革发展联席会议机制，健全志愿服务工作协调小组机制，推动“专业社工+志愿服务”深度融合发展，</w:t>
      </w:r>
      <w:r>
        <w:rPr>
          <w:rFonts w:hint="eastAsia" w:eastAsia="方正仿宋_GBK"/>
          <w:color w:val="auto"/>
          <w:sz w:val="30"/>
          <w:szCs w:val="30"/>
        </w:rPr>
        <w:t>健全党建引领物业管理体制机制</w:t>
      </w:r>
      <w:r>
        <w:rPr>
          <w:rFonts w:hint="eastAsia" w:eastAsia="方正仿宋_GBK" w:cs="仿宋_GB2312"/>
          <w:color w:val="auto"/>
          <w:sz w:val="30"/>
          <w:szCs w:val="30"/>
          <w14:ligatures w14:val="standardContextual"/>
        </w:rPr>
        <w:t>。</w:t>
      </w:r>
    </w:p>
    <w:p w14:paraId="0600105B">
      <w:pPr>
        <w:topLinePunct/>
        <w:adjustRightInd w:val="0"/>
        <w:snapToGrid w:val="0"/>
        <w:spacing w:line="580" w:lineRule="exact"/>
        <w:ind w:firstLine="602"/>
        <w:rPr>
          <w:rFonts w:eastAsia="方正仿宋_GBK" w:cs="仿宋_GB2312"/>
          <w:color w:val="auto"/>
          <w:sz w:val="30"/>
          <w:szCs w:val="30"/>
          <w14:ligatures w14:val="standardContextual"/>
        </w:rPr>
      </w:pPr>
      <w:r>
        <w:rPr>
          <w:rFonts w:hint="eastAsia" w:eastAsia="方正仿宋_GBK" w:cs="仿宋_GB2312"/>
          <w:b/>
          <w:bCs/>
          <w:color w:val="auto"/>
          <w:sz w:val="30"/>
          <w:szCs w:val="30"/>
          <w14:ligatures w14:val="standardContextual"/>
        </w:rPr>
        <w:t>强化社会领域风险防控</w:t>
      </w:r>
      <w:r>
        <w:rPr>
          <w:rFonts w:hint="eastAsia" w:eastAsia="方正仿宋_GBK" w:cs="仿宋_GB2312"/>
          <w:color w:val="auto"/>
          <w:sz w:val="30"/>
          <w:szCs w:val="30"/>
          <w14:ligatures w14:val="standardContextual"/>
        </w:rPr>
        <w:t>。改进各类社会群体服务管理，健全利益关系协调、合法权益保障制度。畅通和规范群众诉求表达、利益协调、权益保障通道，加强社会心理服务体系和危机干预机制建设，强化市民热线等公共服务平台功能。加强群防群治，推进网上网下协同治理，密切关注就业、教育、医疗、养老、社保等民生领域潜在风险点。完善信访工作联席会议机制，推进信访工作法治化，做好人民建议征集工作，深入推动矛盾纠纷源头化解、多元化解、有序化解。健全新兴领域行业党委“四个一”工作机制，加强对新经济、新业态、新模式的包容审慎监管，加强新经济组织、新社会组织、新就业群体党的建设，防范其伴生的社会风险，建立新业态联合约谈机制。</w:t>
      </w:r>
    </w:p>
    <w:p w14:paraId="0F1A60C0">
      <w:pPr>
        <w:spacing w:line="580" w:lineRule="exact"/>
        <w:ind w:firstLine="480"/>
        <w:rPr>
          <w:rFonts w:eastAsia="方正黑体_GBK" w:cs="方正黑体_GBK"/>
          <w:color w:val="auto"/>
        </w:rPr>
      </w:pPr>
      <w:r>
        <w:rPr>
          <w:rFonts w:hint="eastAsia" w:eastAsia="方正黑体_GBK" w:cs="方正黑体_GBK"/>
          <w:color w:val="auto"/>
        </w:rPr>
        <w:br w:type="page"/>
      </w:r>
    </w:p>
    <w:p w14:paraId="7A89C9FF">
      <w:pPr>
        <w:pStyle w:val="61"/>
        <w:spacing w:after="0" w:line="580" w:lineRule="exact"/>
        <w:ind w:firstLine="0" w:firstLineChars="0"/>
        <w:jc w:val="center"/>
        <w:rPr>
          <w:rFonts w:ascii="Times New Roman" w:hAnsi="Times New Roman"/>
          <w:color w:val="auto"/>
          <w:sz w:val="30"/>
          <w:szCs w:val="30"/>
        </w:rPr>
      </w:pPr>
      <w:bookmarkStart w:id="366" w:name="_Toc1687275768"/>
      <w:bookmarkStart w:id="367" w:name="_Toc710517763"/>
      <w:r>
        <w:rPr>
          <w:rFonts w:hint="eastAsia" w:ascii="Times New Roman" w:hAnsi="Times New Roman" w:eastAsia="方正黑体_GBK" w:cs="方正黑体_GBK"/>
          <w:color w:val="auto"/>
        </w:rPr>
        <w:t xml:space="preserve">第十五章 </w:t>
      </w:r>
      <w:bookmarkStart w:id="368" w:name="OLE_LINK38"/>
      <w:r>
        <w:rPr>
          <w:rFonts w:hint="eastAsia" w:ascii="Times New Roman" w:hAnsi="Times New Roman" w:eastAsia="方正黑体_GBK" w:cs="方正黑体_GBK"/>
          <w:color w:val="auto"/>
        </w:rPr>
        <w:t>强化规划实施保障 擘画现代化云冈美好蓝图</w:t>
      </w:r>
      <w:bookmarkEnd w:id="366"/>
      <w:bookmarkEnd w:id="367"/>
      <w:bookmarkEnd w:id="368"/>
    </w:p>
    <w:p w14:paraId="771BC9F5">
      <w:pPr>
        <w:overflowPunct w:val="0"/>
        <w:spacing w:line="580" w:lineRule="exact"/>
        <w:ind w:firstLine="600"/>
        <w:contextualSpacing/>
        <w:rPr>
          <w:rFonts w:eastAsia="方正仿宋_GBK" w:cs="方正仿宋_GBK"/>
          <w:color w:val="auto"/>
          <w:sz w:val="30"/>
          <w:szCs w:val="30"/>
        </w:rPr>
      </w:pPr>
      <w:r>
        <w:rPr>
          <w:rFonts w:hint="eastAsia" w:eastAsia="方正仿宋_GBK" w:cs="方正仿宋_GBK"/>
          <w:color w:val="auto"/>
          <w:sz w:val="30"/>
          <w:szCs w:val="30"/>
        </w:rPr>
        <w:t>坚持党的全面领导贯穿经济社会发展全过程，广泛团结一切可以团结的力量，全面激发人民群众创造活力，最大限度凝聚社会共识，不断完善规划体系，共同推动规划顺利实施，切实把宏伟蓝图变成美好现实。</w:t>
      </w:r>
    </w:p>
    <w:p w14:paraId="0AFF4AEC">
      <w:pPr>
        <w:spacing w:line="580" w:lineRule="exact"/>
        <w:ind w:firstLine="0" w:firstLineChars="0"/>
        <w:jc w:val="center"/>
        <w:outlineLvl w:val="1"/>
        <w:rPr>
          <w:rFonts w:eastAsia="楷体" w:cs="Times New Roman"/>
          <w:color w:val="auto"/>
          <w:sz w:val="30"/>
          <w:szCs w:val="30"/>
        </w:rPr>
      </w:pPr>
      <w:bookmarkStart w:id="369" w:name="_Toc522274141"/>
      <w:bookmarkStart w:id="370" w:name="_Toc385369561"/>
      <w:bookmarkStart w:id="371" w:name="_Toc1662965421"/>
      <w:bookmarkStart w:id="372" w:name="_Toc2138408196"/>
      <w:bookmarkStart w:id="373" w:name="_Toc1984347523"/>
      <w:r>
        <w:rPr>
          <w:rFonts w:hint="eastAsia" w:eastAsia="楷体" w:cs="Times New Roman"/>
          <w:color w:val="auto"/>
          <w:sz w:val="30"/>
          <w:szCs w:val="30"/>
        </w:rPr>
        <w:t>第一节  坚持和加强党的全面领导</w:t>
      </w:r>
      <w:bookmarkEnd w:id="369"/>
      <w:bookmarkEnd w:id="370"/>
      <w:bookmarkEnd w:id="371"/>
      <w:bookmarkEnd w:id="372"/>
      <w:bookmarkEnd w:id="373"/>
    </w:p>
    <w:p w14:paraId="13236A6E">
      <w:pPr>
        <w:spacing w:line="580" w:lineRule="exact"/>
        <w:ind w:firstLine="600"/>
        <w:rPr>
          <w:rFonts w:eastAsia="方正仿宋_GBK" w:cs="Times New Roman"/>
          <w:color w:val="auto"/>
          <w:sz w:val="30"/>
          <w:szCs w:val="30"/>
        </w:rPr>
      </w:pPr>
      <w:r>
        <w:rPr>
          <w:rFonts w:hint="eastAsia" w:eastAsia="方正仿宋_GBK" w:cs="Times New Roman"/>
          <w:color w:val="auto"/>
          <w:sz w:val="30"/>
          <w:szCs w:val="30"/>
        </w:rPr>
        <w:t>充分发挥党总揽全局、协调各方的领导核心作用，坚持把党的领导贯穿于“十五五”规划实施全过程。深刻领悟“两个确立”的决定性意义，增强“四个意识”、坚定“四个自信”、做到“两个维护”。全面贯彻落实习近平总书记对山西工作的重要讲话重要指示精神，健全闭环落实机制，确保党中央决策部署有效落实。积极适应新发展阶段的形势变化，不断改进工作机制和方式方法，坚持民主集中制，增强党把方向、谋大局、定政策、促改革的能力和定力。建立健全区委研究经济社会发展战略、定期分析经济形势、出台重大政策的工作机制，充分发挥基层党组织战斗堡垒作用和党员先锋模范作用，为规划实施提供坚强保障。持续强化作风建设，锲而不舍落实中央八项规定精神，驰而不息整治形式主义、官僚主义，持续深化整治群众身边不正之风和腐败问题，健全基层减负长效机制，持续一体推进不敢腐、不能腐、不想腐，营造风清气正的政治生态和干事创业的良好环境。</w:t>
      </w:r>
    </w:p>
    <w:p w14:paraId="36D4A874">
      <w:pPr>
        <w:spacing w:line="580" w:lineRule="exact"/>
        <w:ind w:firstLine="0" w:firstLineChars="0"/>
        <w:jc w:val="center"/>
        <w:outlineLvl w:val="1"/>
        <w:rPr>
          <w:rFonts w:eastAsia="楷体" w:cs="Times New Roman"/>
          <w:color w:val="auto"/>
          <w:sz w:val="30"/>
          <w:szCs w:val="30"/>
        </w:rPr>
      </w:pPr>
      <w:bookmarkStart w:id="374" w:name="_Toc2107648689"/>
      <w:bookmarkStart w:id="375" w:name="_Toc1095822498"/>
      <w:r>
        <w:rPr>
          <w:rFonts w:hint="eastAsia" w:eastAsia="楷体" w:cs="Times New Roman"/>
          <w:color w:val="auto"/>
          <w:sz w:val="30"/>
          <w:szCs w:val="30"/>
        </w:rPr>
        <w:t>第二节</w:t>
      </w:r>
      <w:r>
        <w:rPr>
          <w:rFonts w:eastAsia="楷体" w:cs="Times New Roman"/>
          <w:color w:val="auto"/>
          <w:sz w:val="30"/>
          <w:szCs w:val="30"/>
        </w:rPr>
        <w:t xml:space="preserve"> </w:t>
      </w:r>
      <w:r>
        <w:rPr>
          <w:rFonts w:hint="eastAsia" w:eastAsia="楷体" w:cs="Times New Roman"/>
          <w:color w:val="auto"/>
          <w:sz w:val="30"/>
          <w:szCs w:val="30"/>
        </w:rPr>
        <w:t xml:space="preserve"> 加强社会主义民主法治建设</w:t>
      </w:r>
      <w:bookmarkEnd w:id="374"/>
      <w:bookmarkEnd w:id="375"/>
    </w:p>
    <w:p w14:paraId="5B632CBF">
      <w:pPr>
        <w:spacing w:line="580" w:lineRule="exact"/>
        <w:ind w:firstLine="600"/>
        <w:rPr>
          <w:rFonts w:eastAsia="方正仿宋_GBK"/>
          <w:color w:val="auto"/>
        </w:rPr>
      </w:pPr>
      <w:r>
        <w:rPr>
          <w:rFonts w:hint="eastAsia" w:eastAsia="方正仿宋_GBK" w:cs="Times New Roman"/>
          <w:color w:val="auto"/>
          <w:sz w:val="30"/>
          <w:szCs w:val="30"/>
        </w:rPr>
        <w:t>坚持党的领导、人民当家作主、依法治国有机统一，发展全过程人民民主。坚持和完善人民代表大会制度，支持区人大依法履职。发挥人民政协专门协商机构作用，推进协商民主制度化发展。健全基层民主制度，完善吸纳民意、汇集民智工作机制。更好地发挥群团组织桥梁纽带作用。巩固发展最广泛的爱国统一战线，做好民族、宗教、港澳台侨和海外统战工作。全面推进法治云冈建设，做好地方性法规实施衔接，加强重点领域法治保障，协同推进严格执法、公正司法、全民守法。维护宪法法律权威，保证全面有效实施宪法法律</w:t>
      </w:r>
      <w:r>
        <w:rPr>
          <w:rFonts w:hint="eastAsia" w:eastAsia="方正仿宋_GBK" w:cs="Times New Roman"/>
          <w:color w:val="auto"/>
          <w:sz w:val="30"/>
          <w:szCs w:val="30"/>
          <w:lang w:eastAsia="zh-CN"/>
        </w:rPr>
        <w:t>。</w:t>
      </w:r>
      <w:r>
        <w:rPr>
          <w:rFonts w:hint="eastAsia" w:eastAsia="方正仿宋_GBK" w:cs="Times New Roman"/>
          <w:color w:val="auto"/>
          <w:sz w:val="30"/>
          <w:szCs w:val="30"/>
        </w:rPr>
        <w:t>加强领导干部依法履职监督，完善法治考核评价机制，深入开展法治宣传教育，营造全社会崇尚法治、恪守规则、尊重契约、维护公正的良好环境。</w:t>
      </w:r>
    </w:p>
    <w:p w14:paraId="20619981">
      <w:pPr>
        <w:spacing w:line="580" w:lineRule="exact"/>
        <w:ind w:firstLine="0" w:firstLineChars="0"/>
        <w:jc w:val="center"/>
        <w:outlineLvl w:val="1"/>
        <w:rPr>
          <w:rFonts w:eastAsia="楷体" w:cs="Times New Roman"/>
          <w:color w:val="auto"/>
          <w:sz w:val="30"/>
          <w:szCs w:val="30"/>
        </w:rPr>
      </w:pPr>
      <w:bookmarkStart w:id="376" w:name="_Toc1442342316"/>
      <w:bookmarkStart w:id="377" w:name="_Toc508758758"/>
      <w:bookmarkStart w:id="378" w:name="_Toc534848656"/>
      <w:bookmarkStart w:id="379" w:name="_Toc208397619"/>
      <w:bookmarkStart w:id="380" w:name="_Toc177791679"/>
      <w:bookmarkStart w:id="381" w:name="_Toc668967214"/>
      <w:bookmarkStart w:id="382" w:name="OLE_LINK55"/>
      <w:r>
        <w:rPr>
          <w:rFonts w:hint="eastAsia" w:eastAsia="楷体" w:cs="Times New Roman"/>
          <w:color w:val="auto"/>
          <w:sz w:val="30"/>
          <w:szCs w:val="30"/>
        </w:rPr>
        <w:t>第三节  强化各项政策配套保障</w:t>
      </w:r>
      <w:bookmarkEnd w:id="376"/>
      <w:bookmarkEnd w:id="377"/>
      <w:bookmarkEnd w:id="378"/>
      <w:bookmarkEnd w:id="379"/>
      <w:bookmarkEnd w:id="380"/>
      <w:bookmarkEnd w:id="381"/>
    </w:p>
    <w:bookmarkEnd w:id="382"/>
    <w:p w14:paraId="30FF9B41">
      <w:pPr>
        <w:topLinePunct/>
        <w:adjustRightInd w:val="0"/>
        <w:snapToGrid w:val="0"/>
        <w:spacing w:line="580" w:lineRule="exact"/>
        <w:ind w:firstLine="600"/>
        <w:rPr>
          <w:rFonts w:eastAsia="方正仿宋_GBK"/>
          <w:color w:val="auto"/>
          <w:sz w:val="30"/>
          <w:szCs w:val="30"/>
        </w:rPr>
      </w:pPr>
      <w:r>
        <w:rPr>
          <w:rFonts w:hint="eastAsia" w:eastAsia="方正仿宋_GBK"/>
          <w:color w:val="auto"/>
          <w:sz w:val="30"/>
          <w:szCs w:val="30"/>
        </w:rPr>
        <w:t>围绕规划重点任务，强化政策协同集成，统筹运用财政、金融、产业、投资、土地、人才、环境等政策工具，形成支撑有力的政策保障体系。坚持以规划引领项目、以项目落实规划，对纳入“十五五”规划的重大工程项目，优化审批服务，在规划选址、用地保障、资金安排等方面予以优先支持，推动项目及早开工、加快建设、按期投产。积极争取中央预算内投资、地方政府专项债券、超长期特别国债等资金支持，强化与国家、省级、市级规划对接，全力破解项目要素瓶颈。落实减税降费、援企稳岗等惠企政策，着力降低实体经济成本，优化营商环境，为规划目标实现提供坚实支撑。</w:t>
      </w:r>
    </w:p>
    <w:p w14:paraId="2879C740">
      <w:pPr>
        <w:spacing w:line="580" w:lineRule="exact"/>
        <w:ind w:firstLine="0" w:firstLineChars="0"/>
        <w:jc w:val="center"/>
        <w:outlineLvl w:val="1"/>
        <w:rPr>
          <w:rFonts w:eastAsia="楷体" w:cs="Times New Roman"/>
          <w:color w:val="auto"/>
          <w:sz w:val="30"/>
          <w:szCs w:val="30"/>
        </w:rPr>
      </w:pPr>
      <w:bookmarkStart w:id="383" w:name="_Toc1576046999"/>
      <w:bookmarkStart w:id="384" w:name="_Toc994995976"/>
      <w:bookmarkStart w:id="385" w:name="_Toc1982298697"/>
      <w:bookmarkStart w:id="386" w:name="_Toc1255073653"/>
      <w:bookmarkStart w:id="387" w:name="_Toc651897676"/>
      <w:bookmarkStart w:id="388" w:name="OLE_LINK56"/>
      <w:r>
        <w:rPr>
          <w:rFonts w:hint="eastAsia" w:eastAsia="楷体" w:cs="Times New Roman"/>
          <w:color w:val="auto"/>
          <w:sz w:val="30"/>
          <w:szCs w:val="30"/>
        </w:rPr>
        <w:t>第四节  完善规划监督评估体系</w:t>
      </w:r>
      <w:bookmarkEnd w:id="383"/>
      <w:bookmarkEnd w:id="384"/>
      <w:bookmarkEnd w:id="385"/>
      <w:bookmarkEnd w:id="386"/>
      <w:bookmarkEnd w:id="387"/>
    </w:p>
    <w:bookmarkEnd w:id="388"/>
    <w:p w14:paraId="283B43D6">
      <w:pPr>
        <w:pStyle w:val="63"/>
        <w:spacing w:line="580" w:lineRule="exact"/>
        <w:ind w:firstLine="600"/>
        <w:rPr>
          <w:rFonts w:eastAsia="方正仿宋_GBK"/>
          <w:color w:val="auto"/>
          <w:sz w:val="30"/>
          <w:szCs w:val="30"/>
          <w14:ligatures w14:val="standardContextual"/>
        </w:rPr>
      </w:pPr>
      <w:r>
        <w:rPr>
          <w:rFonts w:hint="eastAsia" w:eastAsia="方正仿宋_GBK"/>
          <w:color w:val="auto"/>
          <w:sz w:val="30"/>
          <w:szCs w:val="30"/>
          <w14:ligatures w14:val="standardContextual"/>
        </w:rPr>
        <w:t>建立健全规划实施监测评估、督导考核、动态调整、公众参与相结合的全过程管理机制。强化《纲要》的战略导向和约束作用，加强与发展战略、国土空间规划、专项规划、区域规划的衔接协调，形成定位准确、边界清晰、功能互补、统一衔接的规划体系。依法接受区人大及其常委会的监督，定期报告规划实施情况，认真执行人大决议决定。自觉接受区政协民主监督，认真听取意见建议。完善政府内部督查和审计监督，将规划主要指标、重点任务、重大工程项目纳入督查范围，建立常态化跟踪问效机制。</w:t>
      </w:r>
      <w:r>
        <w:rPr>
          <w:rFonts w:hint="eastAsia" w:eastAsia="方正仿宋_GBK"/>
          <w:color w:val="auto"/>
          <w:sz w:val="30"/>
          <w:szCs w:val="30"/>
          <w:lang w:val="en-US" w:eastAsia="zh-CN"/>
          <w14:ligatures w14:val="standardContextual"/>
        </w:rPr>
        <w:t>加强重大政策、重大项目、重大改革等事项审计，深化审计监督与纪检监督、人大监督等各类监督的贯通协同。</w:t>
      </w:r>
      <w:r>
        <w:rPr>
          <w:rFonts w:hint="eastAsia" w:eastAsia="方正仿宋_GBK"/>
          <w:color w:val="auto"/>
          <w:sz w:val="30"/>
          <w:szCs w:val="30"/>
          <w14:ligatures w14:val="standardContextual"/>
        </w:rPr>
        <w:t>畅通社会监督渠道，完善规划实施信息公开制度，定期发布进展信息。建立健全公众意见反馈机制，主动回应社会关切。在规划实施中期阶段，组织开展全面评估，根据评估结果和发展环境变化，依法依规对规划进行必要调整。加强规划宣传解读，凝聚社会共识，充分调动全社会积极性、主动性、创造性，形成共同推进规划实施的强大合力。</w:t>
      </w:r>
    </w:p>
    <w:p w14:paraId="323F5E79">
      <w:pPr>
        <w:spacing w:line="580" w:lineRule="exact"/>
        <w:ind w:firstLine="600"/>
        <w:rPr>
          <w:color w:val="auto"/>
          <w:sz w:val="30"/>
          <w:szCs w:val="30"/>
        </w:rPr>
      </w:pPr>
      <w:r>
        <w:rPr>
          <w:rFonts w:hint="eastAsia" w:eastAsia="方正仿宋_GBK" w:cs="Times New Roman"/>
          <w:color w:val="auto"/>
          <w:sz w:val="30"/>
          <w:szCs w:val="30"/>
          <w14:ligatures w14:val="standardContextual"/>
        </w:rPr>
        <w:t>全区上下要更加紧密地团结在以习近平同志为核心的党中央周围，在省委省政府、市委市政府的坚强领导下，牢记嘱托、感恩奋进，坚定信心、锐意进取，真抓实干、久久为功，确保“十五五”规划各项目标任务圆满完成，奋力谱写中国式现代化云冈实践新篇章！</w:t>
      </w:r>
    </w:p>
    <w:sectPr>
      <w:footerReference r:id="rId25" w:type="default"/>
      <w:footerReference r:id="rId26" w:type="even"/>
      <w:pgSz w:w="11906" w:h="16838"/>
      <w:pgMar w:top="1440" w:right="1800" w:bottom="1440" w:left="1800" w:header="851" w:footer="992"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E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黑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汉仪中等线KW"/>
    <w:panose1 w:val="02010600030101010101"/>
    <w:charset w:val="86"/>
    <w:family w:val="auto"/>
    <w:pitch w:val="default"/>
    <w:sig w:usb0="00000000" w:usb1="00000000"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等线 Light">
    <w:altName w:val="汉仪中等线KW"/>
    <w:panose1 w:val="02010600030101010101"/>
    <w:charset w:val="86"/>
    <w:family w:val="auto"/>
    <w:pitch w:val="default"/>
    <w:sig w:usb0="00000000" w:usb1="00000000" w:usb2="00000016" w:usb3="00000000" w:csb0="0004000F" w:csb1="00000000"/>
  </w:font>
  <w:font w:name="DejaVu Sans">
    <w:altName w:val="苹方-简"/>
    <w:panose1 w:val="020B0603030804020204"/>
    <w:charset w:val="00"/>
    <w:family w:val="auto"/>
    <w:pitch w:val="default"/>
    <w:sig w:usb0="00000000" w:usb1="00000000" w:usb2="0A246029" w:usb3="0400200C" w:csb0="600001FF" w:csb1="DFFF0000"/>
  </w:font>
  <w:font w:name="方正仿宋_GBK">
    <w:panose1 w:val="03000509000000000000"/>
    <w:charset w:val="86"/>
    <w:family w:val="auto"/>
    <w:pitch w:val="default"/>
    <w:sig w:usb0="00000001" w:usb1="080E0000" w:usb2="00000000" w:usb3="00000000" w:csb0="00040000" w:csb1="00000000"/>
  </w:font>
  <w:font w:name="楷体">
    <w:altName w:val="汉仪楷体KW"/>
    <w:panose1 w:val="02010609060101010101"/>
    <w:charset w:val="86"/>
    <w:family w:val="modern"/>
    <w:pitch w:val="default"/>
    <w:sig w:usb0="00000000" w:usb1="00000000"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Wingdings 3">
    <w:panose1 w:val="05040102010807070707"/>
    <w:charset w:val="00"/>
    <w:family w:val="auto"/>
    <w:pitch w:val="default"/>
    <w:sig w:usb0="00000000" w:usb1="00000000" w:usb2="00000000" w:usb3="00000000" w:csb0="80000000" w:csb1="00000000"/>
  </w:font>
  <w:font w:name="方正小标宋_GBK">
    <w:panose1 w:val="03000509000000000000"/>
    <w:charset w:val="86"/>
    <w:family w:val="script"/>
    <w:pitch w:val="default"/>
    <w:sig w:usb0="00000001" w:usb1="080E0000" w:usb2="00000000" w:usb3="00000000" w:csb0="00040000" w:csb1="00000000"/>
  </w:font>
  <w:font w:name="Times New Roman Regular">
    <w:panose1 w:val="02020603050405020304"/>
    <w:charset w:val="00"/>
    <w:family w:val="auto"/>
    <w:pitch w:val="default"/>
    <w:sig w:usb0="E0002AEF" w:usb1="C0007841" w:usb2="00000009" w:usb3="00000000" w:csb0="400001FF" w:csb1="FFFF0000"/>
  </w:font>
  <w:font w:name="方正仿宋_GB18030">
    <w:altName w:val="方正仿宋_GBK"/>
    <w:panose1 w:val="02000000000000000000"/>
    <w:charset w:val="86"/>
    <w:family w:val="auto"/>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汉仪楷体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汉仪中等线KW">
    <w:panose1 w:val="01010104010101010101"/>
    <w:charset w:val="86"/>
    <w:family w:val="auto"/>
    <w:pitch w:val="default"/>
    <w:sig w:usb0="800002BF" w:usb1="004F7CFA" w:usb2="00000000" w:usb3="00000000" w:csb0="00040001" w:csb1="00000000"/>
  </w:font>
  <w:font w:name="苹方-简">
    <w:panose1 w:val="020B0400000000000000"/>
    <w:charset w:val="86"/>
    <w:family w:val="auto"/>
    <w:pitch w:val="default"/>
    <w:sig w:usb0="A00002FF" w:usb1="7ACFFDFB" w:usb2="00000017" w:usb3="00000000" w:csb0="00040001" w:csb1="00000000"/>
  </w:font>
  <w:font w:name="等线">
    <w:altName w:val="汉仪中等线KW"/>
    <w:panose1 w:val="00000000000000000000"/>
    <w:charset w:val="00"/>
    <w:family w:val="auto"/>
    <w:pitch w:val="default"/>
    <w:sig w:usb0="00000000" w:usb1="00000000" w:usb2="00000000" w:usb3="00000000" w:csb0="00000000" w:csb1="00000000"/>
  </w:font>
  <w:font w:name="等线 Light">
    <w:altName w:val="汉仪中等线KW"/>
    <w:panose1 w:val="00000000000000000000"/>
    <w:charset w:val="00"/>
    <w:family w:val="auto"/>
    <w:pitch w:val="default"/>
    <w:sig w:usb0="00000000" w:usb1="00000000" w:usb2="00000000" w:usb3="00000000" w:csb0="00000000" w:csb1="0000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C4CE2">
    <w:pPr>
      <w:pStyle w:val="18"/>
      <w:ind w:firstLine="360"/>
      <w:jc w:val="center"/>
      <w:rPr>
        <w:rFonts w:cs="Times New Roman"/>
      </w:rPr>
    </w:pPr>
  </w:p>
  <w:p w14:paraId="0748E7BC">
    <w:pPr>
      <w:pStyle w:val="18"/>
      <w:ind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4C3BD">
    <w:pPr>
      <w:pStyle w:val="18"/>
      <w:ind w:firstLine="36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63500</wp:posOffset>
              </wp:positionV>
              <wp:extent cx="471805" cy="295275"/>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471805" cy="2952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28EA38">
                          <w:pPr>
                            <w:pStyle w:val="18"/>
                          </w:pP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5pt;height:23.25pt;width:37.15pt;mso-position-horizontal:center;mso-position-horizontal-relative:margin;z-index:251664384;mso-width-relative:page;mso-height-relative:page;" filled="f" stroked="f" coordsize="21600,21600" o:gfxdata="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OKUcjLVAAAABQEAAA8AAAAAAAAAAQAgAAAAIgAAAGRycy9kb3du&#10;cmV2LnhtbFBLAQIUABQAAAAIAIdO4kD0ZxlROwIAAGMEAAAOAAAAAAAAAAEAIAAAACQBAABkcnMv&#10;ZTJvRG9jLnhtbFBLBQYAAAAABgAGAFkBAADRBQAAAAA=&#10;">
              <v:fill on="f" focussize="0,0"/>
              <v:stroke on="f" weight="0.5pt"/>
              <v:imagedata o:title=""/>
              <o:lock v:ext="edit" aspectratio="f"/>
              <v:textbox inset="0mm,0mm,0mm,0mm">
                <w:txbxContent>
                  <w:p w14:paraId="6028EA38">
                    <w:pPr>
                      <w:pStyle w:val="18"/>
                    </w:pP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4A7E7">
    <w:pPr>
      <w:pStyle w:val="18"/>
      <w:ind w:firstLine="360"/>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63500</wp:posOffset>
              </wp:positionV>
              <wp:extent cx="481965" cy="3810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481965" cy="3810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753FC0">
                          <w:pPr>
                            <w:pStyle w:val="1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3</w:t>
                          </w:r>
                          <w:r>
                            <w:rPr>
                              <w:sz w:val="24"/>
                              <w:szCs w:val="24"/>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5pt;height:30pt;width:37.95pt;mso-position-horizontal:center;mso-position-horizontal-relative:margin;z-index:251662336;mso-width-relative:page;mso-height-relative:page;" filled="f" stroked="f" coordsize="21600,21600" o:gfxdata="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5ZgwctEAAAAFAQAADwAAAAAAAAABACAAAAAiAAAAZHJzL2Rvd25yZXYueG1s&#10;UEsBAhQAFAAAAAgAh07iQCaWxvA4AgAAYwQAAA4AAAAAAAAAAQAgAAAAIAEAAGRycy9lMm9Eb2Mu&#10;eG1sUEsFBgAAAAAGAAYAWQEAAMoFAAAAAA==&#10;">
              <v:fill on="f" focussize="0,0"/>
              <v:stroke on="f" weight="0.5pt"/>
              <v:imagedata o:title=""/>
              <o:lock v:ext="edit" aspectratio="f"/>
              <v:textbox inset="0mm,0mm,0mm,0mm">
                <w:txbxContent>
                  <w:p w14:paraId="50753FC0">
                    <w:pPr>
                      <w:pStyle w:val="1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3</w:t>
                    </w:r>
                    <w:r>
                      <w:rPr>
                        <w:sz w:val="24"/>
                        <w:szCs w:val="24"/>
                      </w:rPr>
                      <w:fldChar w:fldCharType="end"/>
                    </w:r>
                  </w:p>
                </w:txbxContent>
              </v:textbox>
            </v:shape>
          </w:pict>
        </mc:Fallback>
      </mc:AlternateContent>
    </w:r>
  </w:p>
  <w:p w14:paraId="53B58C58">
    <w:pPr>
      <w:pStyle w:val="18"/>
      <w:ind w:firstLine="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E93D3">
    <w:pPr>
      <w:pStyle w:val="18"/>
      <w:ind w:firstLine="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63500</wp:posOffset>
              </wp:positionV>
              <wp:extent cx="686435" cy="220345"/>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686435" cy="2203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EE136">
                          <w:pPr>
                            <w:pStyle w:val="18"/>
                          </w:pP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5pt;height:17.35pt;width:54.05pt;mso-position-horizontal:center;mso-position-horizontal-relative:margin;z-index:251661312;mso-width-relative:page;mso-height-relative:page;" filled="f" stroked="f" coordsize="21600,21600" o:gfxdata="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MWitp7UAAAABgEAAA8AAAAAAAAAAQAgAAAAIgAAAGRycy9kb3ducmV2&#10;LnhtbFBLAQIUABQAAAAIAIdO4kAM5i8WOQIAAGMEAAAOAAAAAAAAAAEAIAAAACMBAABkcnMvZTJv&#10;RG9jLnhtbFBLBQYAAAAABgAGAFkBAADOBQAAAAA=&#10;">
              <v:fill on="f" focussize="0,0"/>
              <v:stroke on="f" weight="0.5pt"/>
              <v:imagedata o:title=""/>
              <o:lock v:ext="edit" aspectratio="f"/>
              <v:textbox inset="0mm,0mm,0mm,0mm">
                <w:txbxContent>
                  <w:p w14:paraId="5A4EE136">
                    <w:pPr>
                      <w:pStyle w:val="18"/>
                    </w:pP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86B89">
    <w:pPr>
      <w:pStyle w:val="1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3A00B">
    <w:pPr>
      <w:pStyle w:val="1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9B292">
    <w:pPr>
      <w:pStyle w:val="18"/>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54BB1">
    <w:pPr>
      <w:pStyle w:val="18"/>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0D1D9">
    <w:pPr>
      <w:pStyle w:val="18"/>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BB076">
    <w:pPr>
      <w:pStyle w:val="18"/>
      <w:ind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63500</wp:posOffset>
              </wp:positionV>
              <wp:extent cx="481965" cy="3810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481965" cy="3810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7EDF03">
                          <w:pPr>
                            <w:pStyle w:val="1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3</w:t>
                          </w:r>
                          <w:r>
                            <w:rPr>
                              <w:sz w:val="24"/>
                              <w:szCs w:val="24"/>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5pt;height:30pt;width:37.95pt;mso-position-horizontal:center;mso-position-horizontal-relative:margin;z-index:251659264;mso-width-relative:page;mso-height-relative:page;" filled="f" stroked="f" coordsize="21600,21600" o:gfxdata="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lmDBy0QAAAAUBAAAPAAAAAAAAAAEAIAAAACIAAABkcnMvZG93bnJldi54bWxQ&#10;SwECFAAUAAAACACHTuJAW0nxgzcCAABjBAAADgAAAAAAAAABACAAAAAgAQAAZHJzL2Uyb0RvYy54&#10;bWxQSwUGAAAAAAYABgBZAQAAyQUAAAAA&#10;">
              <v:fill on="f" focussize="0,0"/>
              <v:stroke on="f" weight="0.5pt"/>
              <v:imagedata o:title=""/>
              <o:lock v:ext="edit" aspectratio="f"/>
              <v:textbox inset="0mm,0mm,0mm,0mm">
                <w:txbxContent>
                  <w:p w14:paraId="1F7EDF03">
                    <w:pPr>
                      <w:pStyle w:val="1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3</w:t>
                    </w:r>
                    <w:r>
                      <w:rPr>
                        <w:sz w:val="24"/>
                        <w:szCs w:val="24"/>
                      </w:rPr>
                      <w:fldChar w:fldCharType="end"/>
                    </w:r>
                  </w:p>
                </w:txbxContent>
              </v:textbox>
            </v:shape>
          </w:pict>
        </mc:Fallback>
      </mc:AlternateContent>
    </w:r>
  </w:p>
  <w:p w14:paraId="19058257">
    <w:pPr>
      <w:pStyle w:val="18"/>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54B8A">
    <w:pPr>
      <w:pStyle w:val="18"/>
      <w:ind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63500</wp:posOffset>
              </wp:positionV>
              <wp:extent cx="323850" cy="221615"/>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323850" cy="2216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C1BC4F">
                          <w:pPr>
                            <w:pStyle w:val="1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5pt;height:17.45pt;width:25.5pt;mso-position-horizontal:center;mso-position-horizontal-relative:margin;z-index:251660288;mso-width-relative:page;mso-height-relative:page;" filled="f" stroked="f" coordsize="21600,21600" o:gfxdata="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HXnVvXUAAAABQEAAA8AAAAAAAAAAQAgAAAAIgAAAGRycy9kb3ducmV2Lnht&#10;bFBLAQIUABQAAAAIAIdO4kDK+csRNgIAAGMEAAAOAAAAAAAAAAEAIAAAACMBAABkcnMvZTJvRG9j&#10;LnhtbFBLBQYAAAAABgAGAFkBAADLBQAAAAA=&#10;">
              <v:fill on="f" focussize="0,0"/>
              <v:stroke on="f" weight="0.5pt"/>
              <v:imagedata o:title=""/>
              <o:lock v:ext="edit" aspectratio="f"/>
              <v:textbox inset="0mm,0mm,0mm,0mm">
                <w:txbxContent>
                  <w:p w14:paraId="63C1BC4F">
                    <w:pPr>
                      <w:pStyle w:val="1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FB0CF">
    <w:pPr>
      <w:pStyle w:val="18"/>
      <w:ind w:firstLine="360"/>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63500</wp:posOffset>
              </wp:positionV>
              <wp:extent cx="481965" cy="3810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481965" cy="3810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EC4469">
                          <w:pPr>
                            <w:pStyle w:val="1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3</w:t>
                          </w:r>
                          <w:r>
                            <w:rPr>
                              <w:sz w:val="24"/>
                              <w:szCs w:val="24"/>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5pt;height:30pt;width:37.95pt;mso-position-horizontal:center;mso-position-horizontal-relative:margin;z-index:251663360;mso-width-relative:page;mso-height-relative:page;" filled="f" stroked="f" coordsize="21600,21600" o:gfxdata="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WYMHLRAAAABQEAAA8AAAAAAAAAAQAgAAAAIgAAAGRycy9kb3ducmV2Lnht&#10;bFBLAQIUABQAAAAIAIdO4kDjLNx9OQIAAGMEAAAOAAAAAAAAAAEAIAAAACABAABkcnMvZTJvRG9j&#10;LnhtbFBLBQYAAAAABgAGAFkBAADLBQAAAAA=&#10;">
              <v:fill on="f" focussize="0,0"/>
              <v:stroke on="f" weight="0.5pt"/>
              <v:imagedata o:title=""/>
              <o:lock v:ext="edit" aspectratio="f"/>
              <v:textbox inset="0mm,0mm,0mm,0mm">
                <w:txbxContent>
                  <w:p w14:paraId="1CEC4469">
                    <w:pPr>
                      <w:pStyle w:val="1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3</w:t>
                    </w:r>
                    <w:r>
                      <w:rPr>
                        <w:sz w:val="24"/>
                        <w:szCs w:val="24"/>
                      </w:rPr>
                      <w:fldChar w:fldCharType="end"/>
                    </w:r>
                  </w:p>
                </w:txbxContent>
              </v:textbox>
            </v:shape>
          </w:pict>
        </mc:Fallback>
      </mc:AlternateContent>
    </w:r>
  </w:p>
  <w:p w14:paraId="3DF609B6">
    <w:pPr>
      <w:pStyle w:val="18"/>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F9DEF">
    <w:pPr>
      <w:pStyle w:val="19"/>
      <w:ind w:firstLine="36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265A1">
    <w:pPr>
      <w:pStyle w:val="19"/>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10B87">
    <w:pPr>
      <w:pStyle w:val="1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4DC6E">
    <w:pPr>
      <w:pStyle w:val="19"/>
      <w:tabs>
        <w:tab w:val="left" w:pos="786"/>
      </w:tabs>
      <w:ind w:firstLine="360"/>
      <w:jc w:val="left"/>
    </w:pPr>
    <w:r>
      <w:rPr>
        <w:rFonts w:hint="eastAsia"/>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33693">
    <w:pPr>
      <w:pStyle w:val="19"/>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7BC67">
    <w:pPr>
      <w:pStyle w:val="19"/>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1C579">
    <w:pPr>
      <w:pStyle w:val="19"/>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62D6E">
    <w:pPr>
      <w:pStyle w:val="19"/>
      <w:ind w:firstLine="3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1854C">
    <w:pPr>
      <w:pStyle w:val="19"/>
      <w:ind w:firstLine="36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37081">
    <w:pPr>
      <w:pStyle w:val="1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4A4472"/>
    <w:multiLevelType w:val="multilevel"/>
    <w:tmpl w:val="214A4472"/>
    <w:lvl w:ilvl="0" w:tentative="0">
      <w:start w:val="1"/>
      <w:numFmt w:val="chineseCountingThousand"/>
      <w:pStyle w:val="2"/>
      <w:suff w:val="space"/>
      <w:lvlText w:val="第%1章"/>
      <w:lvlJc w:val="left"/>
      <w:pPr>
        <w:ind w:left="850" w:firstLine="0"/>
      </w:pPr>
      <w:rPr>
        <w:rFonts w:hint="eastAsia"/>
      </w:rPr>
    </w:lvl>
    <w:lvl w:ilvl="1" w:tentative="0">
      <w:start w:val="1"/>
      <w:numFmt w:val="chineseCountingThousand"/>
      <w:pStyle w:val="3"/>
      <w:suff w:val="nothing"/>
      <w:lvlText w:val="%2、"/>
      <w:lvlJc w:val="left"/>
      <w:pPr>
        <w:ind w:left="560" w:firstLine="0"/>
      </w:pPr>
      <w:rPr>
        <w:rFonts w:hint="eastAsia"/>
        <w:lang w:val="en-US"/>
      </w:rPr>
    </w:lvl>
    <w:lvl w:ilvl="2" w:tentative="0">
      <w:start w:val="1"/>
      <w:numFmt w:val="chineseCountingThousand"/>
      <w:pStyle w:val="4"/>
      <w:suff w:val="nothing"/>
      <w:lvlText w:val="（%3）"/>
      <w:lvlJc w:val="left"/>
      <w:pPr>
        <w:ind w:left="0" w:firstLine="0"/>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trackRevisions w:val="1"/>
  <w:documentProtection w:enforcement="0"/>
  <w:defaultTabStop w:val="420"/>
  <w:evenAndOddHeaders w:val="1"/>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8F5"/>
    <w:rsid w:val="00001764"/>
    <w:rsid w:val="0000617E"/>
    <w:rsid w:val="0001732C"/>
    <w:rsid w:val="00020E5A"/>
    <w:rsid w:val="00022DEC"/>
    <w:rsid w:val="00022F44"/>
    <w:rsid w:val="00026F7D"/>
    <w:rsid w:val="00031083"/>
    <w:rsid w:val="00031E1C"/>
    <w:rsid w:val="00044D0A"/>
    <w:rsid w:val="00045B53"/>
    <w:rsid w:val="00046B4B"/>
    <w:rsid w:val="00051CB8"/>
    <w:rsid w:val="00054513"/>
    <w:rsid w:val="000560F4"/>
    <w:rsid w:val="00062F51"/>
    <w:rsid w:val="000659DC"/>
    <w:rsid w:val="000739F2"/>
    <w:rsid w:val="00074ABF"/>
    <w:rsid w:val="000823D8"/>
    <w:rsid w:val="000840DE"/>
    <w:rsid w:val="00091DD9"/>
    <w:rsid w:val="0009539A"/>
    <w:rsid w:val="00097583"/>
    <w:rsid w:val="000A0206"/>
    <w:rsid w:val="000A1077"/>
    <w:rsid w:val="000A1304"/>
    <w:rsid w:val="000A46E1"/>
    <w:rsid w:val="000B2AC7"/>
    <w:rsid w:val="000B2EB5"/>
    <w:rsid w:val="000B61FC"/>
    <w:rsid w:val="000C1B01"/>
    <w:rsid w:val="000C7B02"/>
    <w:rsid w:val="000C7C99"/>
    <w:rsid w:val="000D0FA4"/>
    <w:rsid w:val="000E0FA5"/>
    <w:rsid w:val="000E4804"/>
    <w:rsid w:val="000E7BB6"/>
    <w:rsid w:val="000F0A9C"/>
    <w:rsid w:val="000F5D01"/>
    <w:rsid w:val="0010064F"/>
    <w:rsid w:val="00101FDC"/>
    <w:rsid w:val="001027D9"/>
    <w:rsid w:val="00116FCB"/>
    <w:rsid w:val="00117F93"/>
    <w:rsid w:val="00121BE5"/>
    <w:rsid w:val="00122417"/>
    <w:rsid w:val="00123151"/>
    <w:rsid w:val="00124574"/>
    <w:rsid w:val="00126C90"/>
    <w:rsid w:val="0013250C"/>
    <w:rsid w:val="00132F86"/>
    <w:rsid w:val="0013374E"/>
    <w:rsid w:val="00134832"/>
    <w:rsid w:val="00136923"/>
    <w:rsid w:val="00137FAC"/>
    <w:rsid w:val="00140466"/>
    <w:rsid w:val="00141AE1"/>
    <w:rsid w:val="00142DB5"/>
    <w:rsid w:val="00142DEE"/>
    <w:rsid w:val="0014648A"/>
    <w:rsid w:val="00154A7A"/>
    <w:rsid w:val="00155291"/>
    <w:rsid w:val="0015558C"/>
    <w:rsid w:val="0016145E"/>
    <w:rsid w:val="00161D94"/>
    <w:rsid w:val="00163209"/>
    <w:rsid w:val="00164523"/>
    <w:rsid w:val="0016629A"/>
    <w:rsid w:val="0017019E"/>
    <w:rsid w:val="00171078"/>
    <w:rsid w:val="001724A6"/>
    <w:rsid w:val="00176730"/>
    <w:rsid w:val="001859BA"/>
    <w:rsid w:val="001864C1"/>
    <w:rsid w:val="00192256"/>
    <w:rsid w:val="00193C4D"/>
    <w:rsid w:val="001A082F"/>
    <w:rsid w:val="001A1101"/>
    <w:rsid w:val="001B1324"/>
    <w:rsid w:val="001B5635"/>
    <w:rsid w:val="001B5B8C"/>
    <w:rsid w:val="001B63A8"/>
    <w:rsid w:val="001B78F5"/>
    <w:rsid w:val="001C4337"/>
    <w:rsid w:val="001C5BC4"/>
    <w:rsid w:val="001C771A"/>
    <w:rsid w:val="001C7ED4"/>
    <w:rsid w:val="001D333D"/>
    <w:rsid w:val="001E201D"/>
    <w:rsid w:val="001E2F6E"/>
    <w:rsid w:val="001F339C"/>
    <w:rsid w:val="001F43D7"/>
    <w:rsid w:val="001F700B"/>
    <w:rsid w:val="00200852"/>
    <w:rsid w:val="002009EB"/>
    <w:rsid w:val="0020769F"/>
    <w:rsid w:val="00212466"/>
    <w:rsid w:val="00213650"/>
    <w:rsid w:val="002136F4"/>
    <w:rsid w:val="00222963"/>
    <w:rsid w:val="002242C4"/>
    <w:rsid w:val="00230CF2"/>
    <w:rsid w:val="002323BA"/>
    <w:rsid w:val="00243887"/>
    <w:rsid w:val="0024770A"/>
    <w:rsid w:val="00254496"/>
    <w:rsid w:val="00256386"/>
    <w:rsid w:val="00266877"/>
    <w:rsid w:val="00266C25"/>
    <w:rsid w:val="002708F9"/>
    <w:rsid w:val="00271DE1"/>
    <w:rsid w:val="00273797"/>
    <w:rsid w:val="0028235F"/>
    <w:rsid w:val="002833D7"/>
    <w:rsid w:val="00291355"/>
    <w:rsid w:val="002934E9"/>
    <w:rsid w:val="002A02A4"/>
    <w:rsid w:val="002A0B97"/>
    <w:rsid w:val="002A2A53"/>
    <w:rsid w:val="002A5417"/>
    <w:rsid w:val="002A5964"/>
    <w:rsid w:val="002A65D6"/>
    <w:rsid w:val="002A7391"/>
    <w:rsid w:val="002B3C7B"/>
    <w:rsid w:val="002C1CC1"/>
    <w:rsid w:val="002C2005"/>
    <w:rsid w:val="002C2C23"/>
    <w:rsid w:val="002D2F7C"/>
    <w:rsid w:val="002D3E96"/>
    <w:rsid w:val="002D7BF5"/>
    <w:rsid w:val="002E3563"/>
    <w:rsid w:val="002E37B2"/>
    <w:rsid w:val="002E4A15"/>
    <w:rsid w:val="002E4E70"/>
    <w:rsid w:val="002E5CEF"/>
    <w:rsid w:val="002F2B35"/>
    <w:rsid w:val="00304771"/>
    <w:rsid w:val="00304992"/>
    <w:rsid w:val="00305560"/>
    <w:rsid w:val="003056C0"/>
    <w:rsid w:val="003070BD"/>
    <w:rsid w:val="00317447"/>
    <w:rsid w:val="0032396C"/>
    <w:rsid w:val="003269F6"/>
    <w:rsid w:val="00333A8A"/>
    <w:rsid w:val="00340850"/>
    <w:rsid w:val="00347800"/>
    <w:rsid w:val="00347E59"/>
    <w:rsid w:val="00352C4E"/>
    <w:rsid w:val="00352D09"/>
    <w:rsid w:val="003619A9"/>
    <w:rsid w:val="00370712"/>
    <w:rsid w:val="00371EC9"/>
    <w:rsid w:val="0037355D"/>
    <w:rsid w:val="0037369C"/>
    <w:rsid w:val="0037608D"/>
    <w:rsid w:val="00376C11"/>
    <w:rsid w:val="003774B3"/>
    <w:rsid w:val="0038022E"/>
    <w:rsid w:val="0038063D"/>
    <w:rsid w:val="00382DEC"/>
    <w:rsid w:val="003837D5"/>
    <w:rsid w:val="00384D41"/>
    <w:rsid w:val="0038530F"/>
    <w:rsid w:val="003910F5"/>
    <w:rsid w:val="0039363C"/>
    <w:rsid w:val="003948BB"/>
    <w:rsid w:val="003A2901"/>
    <w:rsid w:val="003A7616"/>
    <w:rsid w:val="003A7A69"/>
    <w:rsid w:val="003B31D7"/>
    <w:rsid w:val="003B4241"/>
    <w:rsid w:val="003B47AA"/>
    <w:rsid w:val="003C2E60"/>
    <w:rsid w:val="003D662A"/>
    <w:rsid w:val="003E1E60"/>
    <w:rsid w:val="003E3934"/>
    <w:rsid w:val="003F4AFB"/>
    <w:rsid w:val="003F6032"/>
    <w:rsid w:val="00411560"/>
    <w:rsid w:val="004121AE"/>
    <w:rsid w:val="00414796"/>
    <w:rsid w:val="00415351"/>
    <w:rsid w:val="00425A31"/>
    <w:rsid w:val="004308FA"/>
    <w:rsid w:val="00431781"/>
    <w:rsid w:val="00432C86"/>
    <w:rsid w:val="00434A61"/>
    <w:rsid w:val="004357F4"/>
    <w:rsid w:val="004372A9"/>
    <w:rsid w:val="0044073B"/>
    <w:rsid w:val="00443EEE"/>
    <w:rsid w:val="004448A2"/>
    <w:rsid w:val="00455805"/>
    <w:rsid w:val="00466519"/>
    <w:rsid w:val="00466826"/>
    <w:rsid w:val="00467B39"/>
    <w:rsid w:val="00470165"/>
    <w:rsid w:val="00470372"/>
    <w:rsid w:val="00470437"/>
    <w:rsid w:val="004731F9"/>
    <w:rsid w:val="00473763"/>
    <w:rsid w:val="00475F19"/>
    <w:rsid w:val="00480FD3"/>
    <w:rsid w:val="00484EE5"/>
    <w:rsid w:val="00485D51"/>
    <w:rsid w:val="0048682B"/>
    <w:rsid w:val="00486D95"/>
    <w:rsid w:val="00487D79"/>
    <w:rsid w:val="00490918"/>
    <w:rsid w:val="004A09B2"/>
    <w:rsid w:val="004A612A"/>
    <w:rsid w:val="004A69EF"/>
    <w:rsid w:val="004B3614"/>
    <w:rsid w:val="004C0ED5"/>
    <w:rsid w:val="004C2DD6"/>
    <w:rsid w:val="004C5939"/>
    <w:rsid w:val="004D0873"/>
    <w:rsid w:val="004D4754"/>
    <w:rsid w:val="004D5695"/>
    <w:rsid w:val="004E5EC5"/>
    <w:rsid w:val="004E6B11"/>
    <w:rsid w:val="004F0006"/>
    <w:rsid w:val="004F0AEA"/>
    <w:rsid w:val="004F6A6E"/>
    <w:rsid w:val="005009FD"/>
    <w:rsid w:val="00502CAA"/>
    <w:rsid w:val="00505B18"/>
    <w:rsid w:val="00511118"/>
    <w:rsid w:val="00511816"/>
    <w:rsid w:val="00511963"/>
    <w:rsid w:val="00511C2F"/>
    <w:rsid w:val="00512FAF"/>
    <w:rsid w:val="00513417"/>
    <w:rsid w:val="00513515"/>
    <w:rsid w:val="005211C3"/>
    <w:rsid w:val="00524451"/>
    <w:rsid w:val="00526B8A"/>
    <w:rsid w:val="005306CE"/>
    <w:rsid w:val="00532ABE"/>
    <w:rsid w:val="00534B0C"/>
    <w:rsid w:val="0054196B"/>
    <w:rsid w:val="005506FB"/>
    <w:rsid w:val="00553F6E"/>
    <w:rsid w:val="00555257"/>
    <w:rsid w:val="005565DA"/>
    <w:rsid w:val="00556B9E"/>
    <w:rsid w:val="00562995"/>
    <w:rsid w:val="00565582"/>
    <w:rsid w:val="00566B2D"/>
    <w:rsid w:val="00570317"/>
    <w:rsid w:val="005722A2"/>
    <w:rsid w:val="00573982"/>
    <w:rsid w:val="00587F23"/>
    <w:rsid w:val="00590ABD"/>
    <w:rsid w:val="00593BA9"/>
    <w:rsid w:val="00594C7B"/>
    <w:rsid w:val="005A0D75"/>
    <w:rsid w:val="005A4942"/>
    <w:rsid w:val="005B1AEA"/>
    <w:rsid w:val="005B71DE"/>
    <w:rsid w:val="005B7600"/>
    <w:rsid w:val="005D0045"/>
    <w:rsid w:val="005D0462"/>
    <w:rsid w:val="005E04A5"/>
    <w:rsid w:val="005E0EAB"/>
    <w:rsid w:val="005E24FD"/>
    <w:rsid w:val="005E6805"/>
    <w:rsid w:val="005E7FD8"/>
    <w:rsid w:val="005F45B4"/>
    <w:rsid w:val="005F5777"/>
    <w:rsid w:val="005F730A"/>
    <w:rsid w:val="006030D2"/>
    <w:rsid w:val="006033FC"/>
    <w:rsid w:val="00605208"/>
    <w:rsid w:val="00610365"/>
    <w:rsid w:val="006129D9"/>
    <w:rsid w:val="00613342"/>
    <w:rsid w:val="006158F2"/>
    <w:rsid w:val="00620EBB"/>
    <w:rsid w:val="00631561"/>
    <w:rsid w:val="0063523D"/>
    <w:rsid w:val="006429F5"/>
    <w:rsid w:val="00647E9A"/>
    <w:rsid w:val="00651AD9"/>
    <w:rsid w:val="00654527"/>
    <w:rsid w:val="00655981"/>
    <w:rsid w:val="0065639B"/>
    <w:rsid w:val="00656763"/>
    <w:rsid w:val="006675BA"/>
    <w:rsid w:val="00667EF6"/>
    <w:rsid w:val="00670A80"/>
    <w:rsid w:val="00673ACA"/>
    <w:rsid w:val="00675B54"/>
    <w:rsid w:val="0068165E"/>
    <w:rsid w:val="00683E94"/>
    <w:rsid w:val="00684746"/>
    <w:rsid w:val="006857A3"/>
    <w:rsid w:val="00690DE6"/>
    <w:rsid w:val="0069438B"/>
    <w:rsid w:val="00695773"/>
    <w:rsid w:val="00695BCB"/>
    <w:rsid w:val="006A2F06"/>
    <w:rsid w:val="006A5ECB"/>
    <w:rsid w:val="006B10E4"/>
    <w:rsid w:val="006B3C20"/>
    <w:rsid w:val="006B78C1"/>
    <w:rsid w:val="006C3CC5"/>
    <w:rsid w:val="006C4CAF"/>
    <w:rsid w:val="006C6382"/>
    <w:rsid w:val="006D07AC"/>
    <w:rsid w:val="006D27E2"/>
    <w:rsid w:val="006D7506"/>
    <w:rsid w:val="006E0713"/>
    <w:rsid w:val="006E0CF9"/>
    <w:rsid w:val="006E3B49"/>
    <w:rsid w:val="006E469B"/>
    <w:rsid w:val="006E5DA5"/>
    <w:rsid w:val="006F0BE3"/>
    <w:rsid w:val="006F1D27"/>
    <w:rsid w:val="006F2CF1"/>
    <w:rsid w:val="006F51F0"/>
    <w:rsid w:val="00704646"/>
    <w:rsid w:val="007056EF"/>
    <w:rsid w:val="00710E06"/>
    <w:rsid w:val="00710FFA"/>
    <w:rsid w:val="007162AB"/>
    <w:rsid w:val="00730172"/>
    <w:rsid w:val="007353BE"/>
    <w:rsid w:val="0074464F"/>
    <w:rsid w:val="00747225"/>
    <w:rsid w:val="00750483"/>
    <w:rsid w:val="00751697"/>
    <w:rsid w:val="00752B8E"/>
    <w:rsid w:val="007537EB"/>
    <w:rsid w:val="00753EB5"/>
    <w:rsid w:val="007575AE"/>
    <w:rsid w:val="00760AD7"/>
    <w:rsid w:val="00763845"/>
    <w:rsid w:val="00763DC8"/>
    <w:rsid w:val="00764012"/>
    <w:rsid w:val="007665F2"/>
    <w:rsid w:val="00773D3A"/>
    <w:rsid w:val="007754DC"/>
    <w:rsid w:val="00781F16"/>
    <w:rsid w:val="00782307"/>
    <w:rsid w:val="007835DA"/>
    <w:rsid w:val="00783AE2"/>
    <w:rsid w:val="007865E0"/>
    <w:rsid w:val="00790731"/>
    <w:rsid w:val="00791674"/>
    <w:rsid w:val="00794A76"/>
    <w:rsid w:val="0079788D"/>
    <w:rsid w:val="007978E5"/>
    <w:rsid w:val="007A1538"/>
    <w:rsid w:val="007B098E"/>
    <w:rsid w:val="007B4D6C"/>
    <w:rsid w:val="007C3920"/>
    <w:rsid w:val="007C45E9"/>
    <w:rsid w:val="007C6C9B"/>
    <w:rsid w:val="007C77FC"/>
    <w:rsid w:val="007D729E"/>
    <w:rsid w:val="007E40D1"/>
    <w:rsid w:val="007E6563"/>
    <w:rsid w:val="007F0591"/>
    <w:rsid w:val="007F2B5A"/>
    <w:rsid w:val="007F3A81"/>
    <w:rsid w:val="007F702C"/>
    <w:rsid w:val="008006F0"/>
    <w:rsid w:val="008019F3"/>
    <w:rsid w:val="008067E2"/>
    <w:rsid w:val="008205BB"/>
    <w:rsid w:val="00820A6E"/>
    <w:rsid w:val="00823A2C"/>
    <w:rsid w:val="0082655B"/>
    <w:rsid w:val="00827E0B"/>
    <w:rsid w:val="00831A28"/>
    <w:rsid w:val="0083594B"/>
    <w:rsid w:val="00845483"/>
    <w:rsid w:val="00847E35"/>
    <w:rsid w:val="00852C3D"/>
    <w:rsid w:val="008544E5"/>
    <w:rsid w:val="00855784"/>
    <w:rsid w:val="00856AD9"/>
    <w:rsid w:val="00857161"/>
    <w:rsid w:val="008619BD"/>
    <w:rsid w:val="00863400"/>
    <w:rsid w:val="008653BB"/>
    <w:rsid w:val="00866F08"/>
    <w:rsid w:val="008709A1"/>
    <w:rsid w:val="00874D87"/>
    <w:rsid w:val="008773F5"/>
    <w:rsid w:val="008878D1"/>
    <w:rsid w:val="00894660"/>
    <w:rsid w:val="00895A71"/>
    <w:rsid w:val="0089611F"/>
    <w:rsid w:val="008A12BC"/>
    <w:rsid w:val="008A6E00"/>
    <w:rsid w:val="008B5C9F"/>
    <w:rsid w:val="008C66E7"/>
    <w:rsid w:val="008D1504"/>
    <w:rsid w:val="008D40FF"/>
    <w:rsid w:val="008D770D"/>
    <w:rsid w:val="008E0E34"/>
    <w:rsid w:val="008E66DF"/>
    <w:rsid w:val="008F078F"/>
    <w:rsid w:val="008F0FAC"/>
    <w:rsid w:val="008F2341"/>
    <w:rsid w:val="008F7629"/>
    <w:rsid w:val="00900D93"/>
    <w:rsid w:val="00901E0B"/>
    <w:rsid w:val="00904854"/>
    <w:rsid w:val="00911D70"/>
    <w:rsid w:val="0091412B"/>
    <w:rsid w:val="009171FD"/>
    <w:rsid w:val="00923B61"/>
    <w:rsid w:val="009242B1"/>
    <w:rsid w:val="00926556"/>
    <w:rsid w:val="00926990"/>
    <w:rsid w:val="00927481"/>
    <w:rsid w:val="0093086E"/>
    <w:rsid w:val="00940BEB"/>
    <w:rsid w:val="0094118C"/>
    <w:rsid w:val="00944BBE"/>
    <w:rsid w:val="009462B7"/>
    <w:rsid w:val="00950C3A"/>
    <w:rsid w:val="00950CAA"/>
    <w:rsid w:val="009656A1"/>
    <w:rsid w:val="00965732"/>
    <w:rsid w:val="00966B06"/>
    <w:rsid w:val="00966B8B"/>
    <w:rsid w:val="0097542B"/>
    <w:rsid w:val="00976260"/>
    <w:rsid w:val="009801B8"/>
    <w:rsid w:val="00985F23"/>
    <w:rsid w:val="00987350"/>
    <w:rsid w:val="009905B8"/>
    <w:rsid w:val="00991E41"/>
    <w:rsid w:val="0099566E"/>
    <w:rsid w:val="00997118"/>
    <w:rsid w:val="00997F22"/>
    <w:rsid w:val="00997FB9"/>
    <w:rsid w:val="009A15F3"/>
    <w:rsid w:val="009A390D"/>
    <w:rsid w:val="009A7AE3"/>
    <w:rsid w:val="009A7D65"/>
    <w:rsid w:val="009B1098"/>
    <w:rsid w:val="009B2042"/>
    <w:rsid w:val="009B2472"/>
    <w:rsid w:val="009B2476"/>
    <w:rsid w:val="009B4ED2"/>
    <w:rsid w:val="009B64C6"/>
    <w:rsid w:val="009B7129"/>
    <w:rsid w:val="009C3257"/>
    <w:rsid w:val="009C3E17"/>
    <w:rsid w:val="009C6970"/>
    <w:rsid w:val="009D10C8"/>
    <w:rsid w:val="009D21C6"/>
    <w:rsid w:val="009D3991"/>
    <w:rsid w:val="009E13F3"/>
    <w:rsid w:val="009E31E7"/>
    <w:rsid w:val="009E3749"/>
    <w:rsid w:val="009E6C52"/>
    <w:rsid w:val="00A23919"/>
    <w:rsid w:val="00A308C5"/>
    <w:rsid w:val="00A3117F"/>
    <w:rsid w:val="00A328BB"/>
    <w:rsid w:val="00A3546B"/>
    <w:rsid w:val="00A36126"/>
    <w:rsid w:val="00A415BC"/>
    <w:rsid w:val="00A43E6B"/>
    <w:rsid w:val="00A473C8"/>
    <w:rsid w:val="00A52AC6"/>
    <w:rsid w:val="00A52D31"/>
    <w:rsid w:val="00A55519"/>
    <w:rsid w:val="00A61721"/>
    <w:rsid w:val="00A62984"/>
    <w:rsid w:val="00A671D5"/>
    <w:rsid w:val="00A72479"/>
    <w:rsid w:val="00A7438D"/>
    <w:rsid w:val="00A75539"/>
    <w:rsid w:val="00A77EE9"/>
    <w:rsid w:val="00A85EE2"/>
    <w:rsid w:val="00A86BAF"/>
    <w:rsid w:val="00A91D4C"/>
    <w:rsid w:val="00A941A8"/>
    <w:rsid w:val="00A94B49"/>
    <w:rsid w:val="00AA0C4F"/>
    <w:rsid w:val="00AA3F8D"/>
    <w:rsid w:val="00AA47F5"/>
    <w:rsid w:val="00AB49C5"/>
    <w:rsid w:val="00AB65BD"/>
    <w:rsid w:val="00AC0BCD"/>
    <w:rsid w:val="00AC528A"/>
    <w:rsid w:val="00AC6DD3"/>
    <w:rsid w:val="00AD070F"/>
    <w:rsid w:val="00AD39BA"/>
    <w:rsid w:val="00AE1C1C"/>
    <w:rsid w:val="00AE5A1B"/>
    <w:rsid w:val="00AE775D"/>
    <w:rsid w:val="00AF5923"/>
    <w:rsid w:val="00AF6CD2"/>
    <w:rsid w:val="00B00FA4"/>
    <w:rsid w:val="00B01F80"/>
    <w:rsid w:val="00B041A6"/>
    <w:rsid w:val="00B10266"/>
    <w:rsid w:val="00B160BE"/>
    <w:rsid w:val="00B1680D"/>
    <w:rsid w:val="00B17735"/>
    <w:rsid w:val="00B237FC"/>
    <w:rsid w:val="00B26573"/>
    <w:rsid w:val="00B26FDC"/>
    <w:rsid w:val="00B32370"/>
    <w:rsid w:val="00B33DC0"/>
    <w:rsid w:val="00B46BBD"/>
    <w:rsid w:val="00B52573"/>
    <w:rsid w:val="00B53336"/>
    <w:rsid w:val="00B552B8"/>
    <w:rsid w:val="00B6475C"/>
    <w:rsid w:val="00B65ECB"/>
    <w:rsid w:val="00B664AC"/>
    <w:rsid w:val="00B84D15"/>
    <w:rsid w:val="00B91648"/>
    <w:rsid w:val="00B91EEE"/>
    <w:rsid w:val="00B92644"/>
    <w:rsid w:val="00B92ED6"/>
    <w:rsid w:val="00BA1932"/>
    <w:rsid w:val="00BA3A47"/>
    <w:rsid w:val="00BA4F9E"/>
    <w:rsid w:val="00BB4B55"/>
    <w:rsid w:val="00BB59D9"/>
    <w:rsid w:val="00BC1497"/>
    <w:rsid w:val="00BC799B"/>
    <w:rsid w:val="00BD2037"/>
    <w:rsid w:val="00BD4140"/>
    <w:rsid w:val="00BD45F6"/>
    <w:rsid w:val="00BD54B4"/>
    <w:rsid w:val="00BD5DBE"/>
    <w:rsid w:val="00BE0E87"/>
    <w:rsid w:val="00BF4D33"/>
    <w:rsid w:val="00BF4D8B"/>
    <w:rsid w:val="00BF538C"/>
    <w:rsid w:val="00BF6DA8"/>
    <w:rsid w:val="00BF71C1"/>
    <w:rsid w:val="00C00D21"/>
    <w:rsid w:val="00C017C9"/>
    <w:rsid w:val="00C16F10"/>
    <w:rsid w:val="00C21B35"/>
    <w:rsid w:val="00C24BE8"/>
    <w:rsid w:val="00C30F44"/>
    <w:rsid w:val="00C3556A"/>
    <w:rsid w:val="00C36FF0"/>
    <w:rsid w:val="00C47321"/>
    <w:rsid w:val="00C50101"/>
    <w:rsid w:val="00C5157E"/>
    <w:rsid w:val="00C51DC7"/>
    <w:rsid w:val="00C521D4"/>
    <w:rsid w:val="00C5667E"/>
    <w:rsid w:val="00C60ED8"/>
    <w:rsid w:val="00C60FAD"/>
    <w:rsid w:val="00C7121E"/>
    <w:rsid w:val="00C71314"/>
    <w:rsid w:val="00C738ED"/>
    <w:rsid w:val="00C901D6"/>
    <w:rsid w:val="00C91D53"/>
    <w:rsid w:val="00C943DA"/>
    <w:rsid w:val="00CA4F03"/>
    <w:rsid w:val="00CB0D3F"/>
    <w:rsid w:val="00CB15CB"/>
    <w:rsid w:val="00CB2308"/>
    <w:rsid w:val="00CB2B09"/>
    <w:rsid w:val="00CB7B59"/>
    <w:rsid w:val="00CC00FD"/>
    <w:rsid w:val="00CC0473"/>
    <w:rsid w:val="00CC47C4"/>
    <w:rsid w:val="00CD5762"/>
    <w:rsid w:val="00CD6BDC"/>
    <w:rsid w:val="00CD78D7"/>
    <w:rsid w:val="00CD7FD1"/>
    <w:rsid w:val="00CE2258"/>
    <w:rsid w:val="00CE354F"/>
    <w:rsid w:val="00CF0F04"/>
    <w:rsid w:val="00CF71F6"/>
    <w:rsid w:val="00CF78D1"/>
    <w:rsid w:val="00D0344D"/>
    <w:rsid w:val="00D050FA"/>
    <w:rsid w:val="00D13840"/>
    <w:rsid w:val="00D1577F"/>
    <w:rsid w:val="00D226FA"/>
    <w:rsid w:val="00D262F1"/>
    <w:rsid w:val="00D31CCB"/>
    <w:rsid w:val="00D4011E"/>
    <w:rsid w:val="00D5570B"/>
    <w:rsid w:val="00D62C69"/>
    <w:rsid w:val="00D6312B"/>
    <w:rsid w:val="00D6718A"/>
    <w:rsid w:val="00D703CD"/>
    <w:rsid w:val="00D707F9"/>
    <w:rsid w:val="00D71C95"/>
    <w:rsid w:val="00D74969"/>
    <w:rsid w:val="00D753BD"/>
    <w:rsid w:val="00D80415"/>
    <w:rsid w:val="00D8163E"/>
    <w:rsid w:val="00D923C7"/>
    <w:rsid w:val="00D92773"/>
    <w:rsid w:val="00D94555"/>
    <w:rsid w:val="00D94718"/>
    <w:rsid w:val="00D9515E"/>
    <w:rsid w:val="00DA21C2"/>
    <w:rsid w:val="00DB07B4"/>
    <w:rsid w:val="00DB4C8A"/>
    <w:rsid w:val="00DB7BBD"/>
    <w:rsid w:val="00DC5BFF"/>
    <w:rsid w:val="00DD57BB"/>
    <w:rsid w:val="00DD63A3"/>
    <w:rsid w:val="00DD64CB"/>
    <w:rsid w:val="00DE6B3C"/>
    <w:rsid w:val="00DF07C7"/>
    <w:rsid w:val="00E0288E"/>
    <w:rsid w:val="00E07466"/>
    <w:rsid w:val="00E1085C"/>
    <w:rsid w:val="00E159A9"/>
    <w:rsid w:val="00E1731E"/>
    <w:rsid w:val="00E228B6"/>
    <w:rsid w:val="00E23B28"/>
    <w:rsid w:val="00E23BB4"/>
    <w:rsid w:val="00E23D4B"/>
    <w:rsid w:val="00E24FC0"/>
    <w:rsid w:val="00E26AB9"/>
    <w:rsid w:val="00E32ACB"/>
    <w:rsid w:val="00E358B5"/>
    <w:rsid w:val="00E61A8B"/>
    <w:rsid w:val="00E6203B"/>
    <w:rsid w:val="00E6279B"/>
    <w:rsid w:val="00E6334A"/>
    <w:rsid w:val="00E7069E"/>
    <w:rsid w:val="00E74B25"/>
    <w:rsid w:val="00E75B6B"/>
    <w:rsid w:val="00E80DD6"/>
    <w:rsid w:val="00E863CF"/>
    <w:rsid w:val="00EA11F0"/>
    <w:rsid w:val="00EA13AC"/>
    <w:rsid w:val="00EB1C24"/>
    <w:rsid w:val="00EB50B6"/>
    <w:rsid w:val="00EB5E74"/>
    <w:rsid w:val="00EB7C45"/>
    <w:rsid w:val="00EC3558"/>
    <w:rsid w:val="00EC3BB2"/>
    <w:rsid w:val="00EC6190"/>
    <w:rsid w:val="00ED7B1D"/>
    <w:rsid w:val="00EE03E0"/>
    <w:rsid w:val="00EE4432"/>
    <w:rsid w:val="00EE552F"/>
    <w:rsid w:val="00EF1EF1"/>
    <w:rsid w:val="00EF40C2"/>
    <w:rsid w:val="00F03517"/>
    <w:rsid w:val="00F043F5"/>
    <w:rsid w:val="00F138F6"/>
    <w:rsid w:val="00F205CD"/>
    <w:rsid w:val="00F24A33"/>
    <w:rsid w:val="00F26EF6"/>
    <w:rsid w:val="00F27E8F"/>
    <w:rsid w:val="00F313C4"/>
    <w:rsid w:val="00F32EA3"/>
    <w:rsid w:val="00F3654C"/>
    <w:rsid w:val="00F47DD4"/>
    <w:rsid w:val="00F5143E"/>
    <w:rsid w:val="00F555F8"/>
    <w:rsid w:val="00F629A1"/>
    <w:rsid w:val="00F6417F"/>
    <w:rsid w:val="00F658B7"/>
    <w:rsid w:val="00F66CE7"/>
    <w:rsid w:val="00F70F38"/>
    <w:rsid w:val="00F72A6E"/>
    <w:rsid w:val="00F72DA3"/>
    <w:rsid w:val="00F765F1"/>
    <w:rsid w:val="00F908F3"/>
    <w:rsid w:val="00F9121E"/>
    <w:rsid w:val="00F977DF"/>
    <w:rsid w:val="00F97EFF"/>
    <w:rsid w:val="00FA7F2B"/>
    <w:rsid w:val="00FC1F2B"/>
    <w:rsid w:val="00FC4502"/>
    <w:rsid w:val="00FD099A"/>
    <w:rsid w:val="00FD1652"/>
    <w:rsid w:val="00FD3136"/>
    <w:rsid w:val="00FD7E30"/>
    <w:rsid w:val="00FE3434"/>
    <w:rsid w:val="00FE57F8"/>
    <w:rsid w:val="00FF0B35"/>
    <w:rsid w:val="00FF25AE"/>
    <w:rsid w:val="00FF292D"/>
    <w:rsid w:val="00FF3188"/>
    <w:rsid w:val="00FF44F5"/>
    <w:rsid w:val="00FF477B"/>
    <w:rsid w:val="00FF7736"/>
    <w:rsid w:val="01535F75"/>
    <w:rsid w:val="019D2150"/>
    <w:rsid w:val="021F298B"/>
    <w:rsid w:val="03194DA1"/>
    <w:rsid w:val="03926858"/>
    <w:rsid w:val="04113A06"/>
    <w:rsid w:val="06316639"/>
    <w:rsid w:val="084D55C5"/>
    <w:rsid w:val="08AD0F4B"/>
    <w:rsid w:val="08E52849"/>
    <w:rsid w:val="09822228"/>
    <w:rsid w:val="09B55109"/>
    <w:rsid w:val="0BC95953"/>
    <w:rsid w:val="0D365943"/>
    <w:rsid w:val="0D74AB9A"/>
    <w:rsid w:val="0EAB140B"/>
    <w:rsid w:val="0F7820F2"/>
    <w:rsid w:val="11987BEF"/>
    <w:rsid w:val="123C7A2D"/>
    <w:rsid w:val="1379C32A"/>
    <w:rsid w:val="13DB89AA"/>
    <w:rsid w:val="13E7267A"/>
    <w:rsid w:val="13EB357A"/>
    <w:rsid w:val="147B726D"/>
    <w:rsid w:val="14A0057B"/>
    <w:rsid w:val="14AF1D74"/>
    <w:rsid w:val="15187863"/>
    <w:rsid w:val="157E0ECE"/>
    <w:rsid w:val="15E24476"/>
    <w:rsid w:val="16574435"/>
    <w:rsid w:val="167B0466"/>
    <w:rsid w:val="16FF5B47"/>
    <w:rsid w:val="17B706AC"/>
    <w:rsid w:val="17BACE35"/>
    <w:rsid w:val="1969423F"/>
    <w:rsid w:val="19D11E91"/>
    <w:rsid w:val="1A7E7270"/>
    <w:rsid w:val="1B277405"/>
    <w:rsid w:val="1B3B8484"/>
    <w:rsid w:val="1B4C0C1B"/>
    <w:rsid w:val="1B6F0B84"/>
    <w:rsid w:val="1B79D9B1"/>
    <w:rsid w:val="1BF596AC"/>
    <w:rsid w:val="1CE94C7E"/>
    <w:rsid w:val="1DFD80C5"/>
    <w:rsid w:val="1EB35F13"/>
    <w:rsid w:val="1EDD6C12"/>
    <w:rsid w:val="1EFEC46E"/>
    <w:rsid w:val="1F7CBBC3"/>
    <w:rsid w:val="1F871490"/>
    <w:rsid w:val="1FB7E2C5"/>
    <w:rsid w:val="1FFFBF8A"/>
    <w:rsid w:val="20915954"/>
    <w:rsid w:val="20C3085D"/>
    <w:rsid w:val="21A23F16"/>
    <w:rsid w:val="223E73A0"/>
    <w:rsid w:val="223F1EBC"/>
    <w:rsid w:val="23FF7FE0"/>
    <w:rsid w:val="24E39EE6"/>
    <w:rsid w:val="2533DC8E"/>
    <w:rsid w:val="256872AA"/>
    <w:rsid w:val="281613DB"/>
    <w:rsid w:val="29D51686"/>
    <w:rsid w:val="2B0254F2"/>
    <w:rsid w:val="2B524298"/>
    <w:rsid w:val="2BCECEE1"/>
    <w:rsid w:val="2BD92FF8"/>
    <w:rsid w:val="2BDF1206"/>
    <w:rsid w:val="2C5C48F7"/>
    <w:rsid w:val="2CF25F4F"/>
    <w:rsid w:val="2DE81100"/>
    <w:rsid w:val="2DEC0623"/>
    <w:rsid w:val="2ECF96E3"/>
    <w:rsid w:val="2EFA2381"/>
    <w:rsid w:val="2EFFEC04"/>
    <w:rsid w:val="2F9C6646"/>
    <w:rsid w:val="2FDF04E8"/>
    <w:rsid w:val="2FF3F0C5"/>
    <w:rsid w:val="2FFFAD57"/>
    <w:rsid w:val="305111DE"/>
    <w:rsid w:val="308E5A3F"/>
    <w:rsid w:val="30BE3C4C"/>
    <w:rsid w:val="31501496"/>
    <w:rsid w:val="31A74402"/>
    <w:rsid w:val="31FF75A7"/>
    <w:rsid w:val="320E77DD"/>
    <w:rsid w:val="32EA5DF0"/>
    <w:rsid w:val="3371320D"/>
    <w:rsid w:val="34773321"/>
    <w:rsid w:val="34BF6A46"/>
    <w:rsid w:val="354E6B55"/>
    <w:rsid w:val="357ED092"/>
    <w:rsid w:val="35FD5B5F"/>
    <w:rsid w:val="3678D151"/>
    <w:rsid w:val="36AFE3B7"/>
    <w:rsid w:val="3768A3F1"/>
    <w:rsid w:val="37AE2284"/>
    <w:rsid w:val="37BF015F"/>
    <w:rsid w:val="37CF32F0"/>
    <w:rsid w:val="37FAA462"/>
    <w:rsid w:val="382B28D0"/>
    <w:rsid w:val="39DB050F"/>
    <w:rsid w:val="39E7192E"/>
    <w:rsid w:val="3A554158"/>
    <w:rsid w:val="3A756761"/>
    <w:rsid w:val="3AFD0FA1"/>
    <w:rsid w:val="3AFD6501"/>
    <w:rsid w:val="3B1C5C89"/>
    <w:rsid w:val="3B1F743A"/>
    <w:rsid w:val="3B3C073C"/>
    <w:rsid w:val="3B6C3489"/>
    <w:rsid w:val="3B7339AE"/>
    <w:rsid w:val="3BF8EAD4"/>
    <w:rsid w:val="3D34C327"/>
    <w:rsid w:val="3D4F814A"/>
    <w:rsid w:val="3D7FE1E9"/>
    <w:rsid w:val="3DBF84E2"/>
    <w:rsid w:val="3DE03BA2"/>
    <w:rsid w:val="3E100B4D"/>
    <w:rsid w:val="3E7B2DD1"/>
    <w:rsid w:val="3EFF5E3D"/>
    <w:rsid w:val="3F6EF0EC"/>
    <w:rsid w:val="3F770BE2"/>
    <w:rsid w:val="3FB794F8"/>
    <w:rsid w:val="3FCC606B"/>
    <w:rsid w:val="3FCDACE9"/>
    <w:rsid w:val="3FDF5157"/>
    <w:rsid w:val="3FEBA295"/>
    <w:rsid w:val="3FEDFE05"/>
    <w:rsid w:val="40642E22"/>
    <w:rsid w:val="40761B16"/>
    <w:rsid w:val="40FA27EA"/>
    <w:rsid w:val="417C1E33"/>
    <w:rsid w:val="418D5FB6"/>
    <w:rsid w:val="42303371"/>
    <w:rsid w:val="435C67BB"/>
    <w:rsid w:val="43793392"/>
    <w:rsid w:val="43840771"/>
    <w:rsid w:val="43ADC2BA"/>
    <w:rsid w:val="446B764F"/>
    <w:rsid w:val="44B7644A"/>
    <w:rsid w:val="45FFA0D6"/>
    <w:rsid w:val="475F5A44"/>
    <w:rsid w:val="487114CD"/>
    <w:rsid w:val="48E352B0"/>
    <w:rsid w:val="491C01EF"/>
    <w:rsid w:val="492601CA"/>
    <w:rsid w:val="49FE6345"/>
    <w:rsid w:val="4A4C0E65"/>
    <w:rsid w:val="4BFC7FED"/>
    <w:rsid w:val="4CFFF423"/>
    <w:rsid w:val="4DCC0A17"/>
    <w:rsid w:val="4E79C50E"/>
    <w:rsid w:val="4FDF9AFF"/>
    <w:rsid w:val="4FE86FE9"/>
    <w:rsid w:val="4FE99604"/>
    <w:rsid w:val="4FED3657"/>
    <w:rsid w:val="4FF359B6"/>
    <w:rsid w:val="4FFA22D3"/>
    <w:rsid w:val="50367D20"/>
    <w:rsid w:val="508B5231"/>
    <w:rsid w:val="519F3FB8"/>
    <w:rsid w:val="523BD7DD"/>
    <w:rsid w:val="53DF2678"/>
    <w:rsid w:val="543B789C"/>
    <w:rsid w:val="558A68AB"/>
    <w:rsid w:val="55F7776C"/>
    <w:rsid w:val="577C1036"/>
    <w:rsid w:val="57EB6EB5"/>
    <w:rsid w:val="57F63753"/>
    <w:rsid w:val="59C2148F"/>
    <w:rsid w:val="59F7BABB"/>
    <w:rsid w:val="5B6E3F18"/>
    <w:rsid w:val="5B7F4E11"/>
    <w:rsid w:val="5BEDB174"/>
    <w:rsid w:val="5BFDF6E5"/>
    <w:rsid w:val="5C9A677B"/>
    <w:rsid w:val="5CAF466A"/>
    <w:rsid w:val="5D79E590"/>
    <w:rsid w:val="5DDFC3C3"/>
    <w:rsid w:val="5DFD4BC0"/>
    <w:rsid w:val="5DFFFF5D"/>
    <w:rsid w:val="5E5E4281"/>
    <w:rsid w:val="5EF36C62"/>
    <w:rsid w:val="5EFDC82A"/>
    <w:rsid w:val="5F532DED"/>
    <w:rsid w:val="5F6E8AAB"/>
    <w:rsid w:val="5F7D4A0E"/>
    <w:rsid w:val="5F7DD5FB"/>
    <w:rsid w:val="5F7FF978"/>
    <w:rsid w:val="5F98CC32"/>
    <w:rsid w:val="5F9F87FA"/>
    <w:rsid w:val="5FBB1006"/>
    <w:rsid w:val="5FBD3398"/>
    <w:rsid w:val="5FCC5007"/>
    <w:rsid w:val="5FDB5F9D"/>
    <w:rsid w:val="5FF32000"/>
    <w:rsid w:val="5FF67F38"/>
    <w:rsid w:val="5FFDB13A"/>
    <w:rsid w:val="6021C371"/>
    <w:rsid w:val="606B5173"/>
    <w:rsid w:val="60DC253E"/>
    <w:rsid w:val="60EF3825"/>
    <w:rsid w:val="61087F63"/>
    <w:rsid w:val="61B36598"/>
    <w:rsid w:val="61DF5F34"/>
    <w:rsid w:val="62747816"/>
    <w:rsid w:val="62D046AC"/>
    <w:rsid w:val="62D35FF5"/>
    <w:rsid w:val="63144AB2"/>
    <w:rsid w:val="65913850"/>
    <w:rsid w:val="66D1515F"/>
    <w:rsid w:val="66DF7C56"/>
    <w:rsid w:val="66E93D19"/>
    <w:rsid w:val="66FFCA35"/>
    <w:rsid w:val="67AF9FCF"/>
    <w:rsid w:val="67B71462"/>
    <w:rsid w:val="67BB8A69"/>
    <w:rsid w:val="67BF9124"/>
    <w:rsid w:val="67FFDE15"/>
    <w:rsid w:val="685017A0"/>
    <w:rsid w:val="6893578D"/>
    <w:rsid w:val="68D65A21"/>
    <w:rsid w:val="691F1A61"/>
    <w:rsid w:val="698A36B7"/>
    <w:rsid w:val="69E0199F"/>
    <w:rsid w:val="69EF6131"/>
    <w:rsid w:val="6A094CE4"/>
    <w:rsid w:val="6AB1009A"/>
    <w:rsid w:val="6ADF2AB7"/>
    <w:rsid w:val="6AE6588D"/>
    <w:rsid w:val="6AFF58C9"/>
    <w:rsid w:val="6BEDE8E2"/>
    <w:rsid w:val="6BEF907A"/>
    <w:rsid w:val="6CF36035"/>
    <w:rsid w:val="6CF9762F"/>
    <w:rsid w:val="6D768CCE"/>
    <w:rsid w:val="6D8F6CDF"/>
    <w:rsid w:val="6DB60B2A"/>
    <w:rsid w:val="6DFE727C"/>
    <w:rsid w:val="6E4F7885"/>
    <w:rsid w:val="6EBF8D5E"/>
    <w:rsid w:val="6EE06302"/>
    <w:rsid w:val="6EF7A205"/>
    <w:rsid w:val="6EFAFA5E"/>
    <w:rsid w:val="6F2748EA"/>
    <w:rsid w:val="6F4B375B"/>
    <w:rsid w:val="6F6397C8"/>
    <w:rsid w:val="6F7A5878"/>
    <w:rsid w:val="6F7F6266"/>
    <w:rsid w:val="6FB50D6F"/>
    <w:rsid w:val="6FC97D1A"/>
    <w:rsid w:val="6FDBFB7D"/>
    <w:rsid w:val="6FDF192F"/>
    <w:rsid w:val="6FF31BE8"/>
    <w:rsid w:val="6FF7AF56"/>
    <w:rsid w:val="6FFEA304"/>
    <w:rsid w:val="70805C89"/>
    <w:rsid w:val="70BF540B"/>
    <w:rsid w:val="70DB1DE2"/>
    <w:rsid w:val="715547CF"/>
    <w:rsid w:val="719E10E4"/>
    <w:rsid w:val="71E333B4"/>
    <w:rsid w:val="71F9AE0D"/>
    <w:rsid w:val="72EBF45A"/>
    <w:rsid w:val="72EE5FD1"/>
    <w:rsid w:val="72FF0192"/>
    <w:rsid w:val="73573CBB"/>
    <w:rsid w:val="736D250F"/>
    <w:rsid w:val="73FB2F47"/>
    <w:rsid w:val="743EB0C5"/>
    <w:rsid w:val="747FBF7A"/>
    <w:rsid w:val="74FAFBF0"/>
    <w:rsid w:val="759F7DF3"/>
    <w:rsid w:val="75B34C8A"/>
    <w:rsid w:val="75BE3985"/>
    <w:rsid w:val="75DF43C4"/>
    <w:rsid w:val="75F1610C"/>
    <w:rsid w:val="76B3090A"/>
    <w:rsid w:val="7737E0D2"/>
    <w:rsid w:val="77AA5212"/>
    <w:rsid w:val="77B7C04A"/>
    <w:rsid w:val="77D643AE"/>
    <w:rsid w:val="77DCCB7C"/>
    <w:rsid w:val="77E37923"/>
    <w:rsid w:val="77E9988F"/>
    <w:rsid w:val="77EF0E84"/>
    <w:rsid w:val="77F65A45"/>
    <w:rsid w:val="77FF1240"/>
    <w:rsid w:val="77FF8ACB"/>
    <w:rsid w:val="78444715"/>
    <w:rsid w:val="79336C7B"/>
    <w:rsid w:val="79BFA929"/>
    <w:rsid w:val="79BFE564"/>
    <w:rsid w:val="79DF4DC7"/>
    <w:rsid w:val="7A3FDB86"/>
    <w:rsid w:val="7AD44923"/>
    <w:rsid w:val="7ADFBC6C"/>
    <w:rsid w:val="7AF0677B"/>
    <w:rsid w:val="7B1D009D"/>
    <w:rsid w:val="7B7A6C2B"/>
    <w:rsid w:val="7B7F7728"/>
    <w:rsid w:val="7BB79333"/>
    <w:rsid w:val="7BBBD6C2"/>
    <w:rsid w:val="7BD721FF"/>
    <w:rsid w:val="7BE96727"/>
    <w:rsid w:val="7BF6C6A5"/>
    <w:rsid w:val="7BF7B48B"/>
    <w:rsid w:val="7BFA9BDA"/>
    <w:rsid w:val="7BFB22BB"/>
    <w:rsid w:val="7BFD96E0"/>
    <w:rsid w:val="7BFF26C9"/>
    <w:rsid w:val="7C1914FD"/>
    <w:rsid w:val="7C4F3DF1"/>
    <w:rsid w:val="7CFD4F0A"/>
    <w:rsid w:val="7D577702"/>
    <w:rsid w:val="7D774403"/>
    <w:rsid w:val="7D84B14E"/>
    <w:rsid w:val="7DDF5BB6"/>
    <w:rsid w:val="7DE79531"/>
    <w:rsid w:val="7DFE6420"/>
    <w:rsid w:val="7DFF1563"/>
    <w:rsid w:val="7DFF919F"/>
    <w:rsid w:val="7E287013"/>
    <w:rsid w:val="7E3B7721"/>
    <w:rsid w:val="7E5C4F74"/>
    <w:rsid w:val="7E5F9914"/>
    <w:rsid w:val="7E6E6CB1"/>
    <w:rsid w:val="7E7C9309"/>
    <w:rsid w:val="7E7D924E"/>
    <w:rsid w:val="7EAF498A"/>
    <w:rsid w:val="7EBB7985"/>
    <w:rsid w:val="7ECB36D3"/>
    <w:rsid w:val="7EE91ED6"/>
    <w:rsid w:val="7EEFDA7D"/>
    <w:rsid w:val="7EFBCF79"/>
    <w:rsid w:val="7F1E1C9C"/>
    <w:rsid w:val="7F3F836D"/>
    <w:rsid w:val="7F55F005"/>
    <w:rsid w:val="7F5F554A"/>
    <w:rsid w:val="7F671D58"/>
    <w:rsid w:val="7F6F309C"/>
    <w:rsid w:val="7F6F6100"/>
    <w:rsid w:val="7F6F9482"/>
    <w:rsid w:val="7F766955"/>
    <w:rsid w:val="7F775920"/>
    <w:rsid w:val="7F7F0F77"/>
    <w:rsid w:val="7F7F3052"/>
    <w:rsid w:val="7F7F5E1B"/>
    <w:rsid w:val="7F7FDE40"/>
    <w:rsid w:val="7F920735"/>
    <w:rsid w:val="7F99273D"/>
    <w:rsid w:val="7FBFC9F7"/>
    <w:rsid w:val="7FBFD266"/>
    <w:rsid w:val="7FC664BF"/>
    <w:rsid w:val="7FD26CEA"/>
    <w:rsid w:val="7FDE4117"/>
    <w:rsid w:val="7FDF1017"/>
    <w:rsid w:val="7FDF577B"/>
    <w:rsid w:val="7FEB60BE"/>
    <w:rsid w:val="7FED2804"/>
    <w:rsid w:val="7FEFBDCF"/>
    <w:rsid w:val="7FF1A63B"/>
    <w:rsid w:val="7FF82A4A"/>
    <w:rsid w:val="7FFA3364"/>
    <w:rsid w:val="7FFA97E2"/>
    <w:rsid w:val="7FFBD058"/>
    <w:rsid w:val="7FFD9D21"/>
    <w:rsid w:val="7FFDE3EE"/>
    <w:rsid w:val="7FFFDAAA"/>
    <w:rsid w:val="7FFFFFC5"/>
    <w:rsid w:val="8667F264"/>
    <w:rsid w:val="869ECC92"/>
    <w:rsid w:val="87ECDC4E"/>
    <w:rsid w:val="87F7893F"/>
    <w:rsid w:val="8CE32C2A"/>
    <w:rsid w:val="92FDDF4E"/>
    <w:rsid w:val="95F7BD05"/>
    <w:rsid w:val="979D0442"/>
    <w:rsid w:val="99FF0622"/>
    <w:rsid w:val="9B4C40C2"/>
    <w:rsid w:val="9D7C1928"/>
    <w:rsid w:val="9DFF8ECE"/>
    <w:rsid w:val="9EDFE74D"/>
    <w:rsid w:val="9EF11BF9"/>
    <w:rsid w:val="9F6F9A10"/>
    <w:rsid w:val="9FEA1B71"/>
    <w:rsid w:val="A6F6A0C4"/>
    <w:rsid w:val="A7C5C51B"/>
    <w:rsid w:val="A7FA4730"/>
    <w:rsid w:val="AB9D103F"/>
    <w:rsid w:val="ABFB82D5"/>
    <w:rsid w:val="AD3738FD"/>
    <w:rsid w:val="AD7F6CC3"/>
    <w:rsid w:val="AEFB8144"/>
    <w:rsid w:val="AF37A9DC"/>
    <w:rsid w:val="AFBBDAE0"/>
    <w:rsid w:val="AFCFE413"/>
    <w:rsid w:val="AFDF52D7"/>
    <w:rsid w:val="AFFD9B30"/>
    <w:rsid w:val="B38AC05B"/>
    <w:rsid w:val="B4FF6D8E"/>
    <w:rsid w:val="B57FBFAC"/>
    <w:rsid w:val="B6BE416D"/>
    <w:rsid w:val="B76EF023"/>
    <w:rsid w:val="B7B66DA2"/>
    <w:rsid w:val="B7BD8545"/>
    <w:rsid w:val="B7BE7A52"/>
    <w:rsid w:val="B7FFBCFD"/>
    <w:rsid w:val="B93783A4"/>
    <w:rsid w:val="B9BE0651"/>
    <w:rsid w:val="BB7F820E"/>
    <w:rsid w:val="BBEFA0EB"/>
    <w:rsid w:val="BE1F3A1E"/>
    <w:rsid w:val="BEAF6027"/>
    <w:rsid w:val="BEBB2F13"/>
    <w:rsid w:val="BEBE637C"/>
    <w:rsid w:val="BEFCB7A1"/>
    <w:rsid w:val="BF1A38E3"/>
    <w:rsid w:val="BF26E6D1"/>
    <w:rsid w:val="BF5DE793"/>
    <w:rsid w:val="BF5E586E"/>
    <w:rsid w:val="BFBD920D"/>
    <w:rsid w:val="BFCDCFD5"/>
    <w:rsid w:val="BFCE82A3"/>
    <w:rsid w:val="BFF51CEB"/>
    <w:rsid w:val="BFF7B917"/>
    <w:rsid w:val="BFFD8458"/>
    <w:rsid w:val="BFFFDF01"/>
    <w:rsid w:val="C17D5B9C"/>
    <w:rsid w:val="C3FFF447"/>
    <w:rsid w:val="C56D7093"/>
    <w:rsid w:val="C6FF6E61"/>
    <w:rsid w:val="C7E3D96E"/>
    <w:rsid w:val="C7F3E0FC"/>
    <w:rsid w:val="C999BE45"/>
    <w:rsid w:val="CAEBE243"/>
    <w:rsid w:val="CC6EBF78"/>
    <w:rsid w:val="CE8F0FBF"/>
    <w:rsid w:val="CEDF28D9"/>
    <w:rsid w:val="CF5B403A"/>
    <w:rsid w:val="CF5C79E5"/>
    <w:rsid w:val="CFDCCE67"/>
    <w:rsid w:val="CFE77C2A"/>
    <w:rsid w:val="CFFBA48F"/>
    <w:rsid w:val="CFFEB6B7"/>
    <w:rsid w:val="D1BFB0B3"/>
    <w:rsid w:val="D35E5F70"/>
    <w:rsid w:val="D63E743F"/>
    <w:rsid w:val="D6597082"/>
    <w:rsid w:val="D77AC847"/>
    <w:rsid w:val="D7BF2AC4"/>
    <w:rsid w:val="D7DF0844"/>
    <w:rsid w:val="D9F94E44"/>
    <w:rsid w:val="D9FA2147"/>
    <w:rsid w:val="DA9FD28B"/>
    <w:rsid w:val="DACF3010"/>
    <w:rsid w:val="DBA6E423"/>
    <w:rsid w:val="DBCBC498"/>
    <w:rsid w:val="DBDD7BA6"/>
    <w:rsid w:val="DBDF17B6"/>
    <w:rsid w:val="DBF76506"/>
    <w:rsid w:val="DBFD229E"/>
    <w:rsid w:val="DD5F776E"/>
    <w:rsid w:val="DD7E55C7"/>
    <w:rsid w:val="DD7F9322"/>
    <w:rsid w:val="DD7FCF80"/>
    <w:rsid w:val="DD9BF842"/>
    <w:rsid w:val="DDCEE6B1"/>
    <w:rsid w:val="DDDA084C"/>
    <w:rsid w:val="DDED5C7C"/>
    <w:rsid w:val="DDFF8694"/>
    <w:rsid w:val="DE6F6202"/>
    <w:rsid w:val="DEE212A8"/>
    <w:rsid w:val="DEE72D05"/>
    <w:rsid w:val="DEE9736C"/>
    <w:rsid w:val="DEF7C533"/>
    <w:rsid w:val="DEFA7E72"/>
    <w:rsid w:val="DF479A42"/>
    <w:rsid w:val="DF66F0B4"/>
    <w:rsid w:val="DF6B0C00"/>
    <w:rsid w:val="DF7AF694"/>
    <w:rsid w:val="DFB71E66"/>
    <w:rsid w:val="DFBF0622"/>
    <w:rsid w:val="DFD9964D"/>
    <w:rsid w:val="DFDF57B7"/>
    <w:rsid w:val="DFE7360E"/>
    <w:rsid w:val="DFE82812"/>
    <w:rsid w:val="DFEB1B9F"/>
    <w:rsid w:val="DFF89D95"/>
    <w:rsid w:val="DFF8ECB5"/>
    <w:rsid w:val="DFFFDE7C"/>
    <w:rsid w:val="E19079C2"/>
    <w:rsid w:val="E3FE262B"/>
    <w:rsid w:val="E53DC452"/>
    <w:rsid w:val="E59F606D"/>
    <w:rsid w:val="E6F6A0B0"/>
    <w:rsid w:val="E77F1FC9"/>
    <w:rsid w:val="E7BB8ADD"/>
    <w:rsid w:val="E7FF5BB9"/>
    <w:rsid w:val="E7FF7C9C"/>
    <w:rsid w:val="E80FCD9B"/>
    <w:rsid w:val="E8DD1236"/>
    <w:rsid w:val="E96FF5AA"/>
    <w:rsid w:val="E9FDEB24"/>
    <w:rsid w:val="EB6BD143"/>
    <w:rsid w:val="EBF9C205"/>
    <w:rsid w:val="EBFE0772"/>
    <w:rsid w:val="EBFF3BCC"/>
    <w:rsid w:val="ECF42978"/>
    <w:rsid w:val="EDB7061A"/>
    <w:rsid w:val="EDDA5019"/>
    <w:rsid w:val="EDF6FEB3"/>
    <w:rsid w:val="EDF74FC0"/>
    <w:rsid w:val="EE790078"/>
    <w:rsid w:val="EEB9206F"/>
    <w:rsid w:val="EEBE00E5"/>
    <w:rsid w:val="EEBFC1C9"/>
    <w:rsid w:val="EEBFC89D"/>
    <w:rsid w:val="EEDF27CB"/>
    <w:rsid w:val="EEFE3C57"/>
    <w:rsid w:val="EF795334"/>
    <w:rsid w:val="EF7F600B"/>
    <w:rsid w:val="EF82806A"/>
    <w:rsid w:val="EFDF5410"/>
    <w:rsid w:val="EFFD8F9A"/>
    <w:rsid w:val="EFFE602F"/>
    <w:rsid w:val="F1ED7F69"/>
    <w:rsid w:val="F2FEF6EB"/>
    <w:rsid w:val="F356A796"/>
    <w:rsid w:val="F39F2E0D"/>
    <w:rsid w:val="F3F31828"/>
    <w:rsid w:val="F3FD1E6D"/>
    <w:rsid w:val="F3FE251D"/>
    <w:rsid w:val="F3FFB698"/>
    <w:rsid w:val="F4FF2593"/>
    <w:rsid w:val="F5CDC039"/>
    <w:rsid w:val="F5F69060"/>
    <w:rsid w:val="F5FEF141"/>
    <w:rsid w:val="F5FF05F8"/>
    <w:rsid w:val="F5FF585B"/>
    <w:rsid w:val="F65D3010"/>
    <w:rsid w:val="F662447F"/>
    <w:rsid w:val="F6C7B3ED"/>
    <w:rsid w:val="F6FF9E83"/>
    <w:rsid w:val="F74D7EEB"/>
    <w:rsid w:val="F755849B"/>
    <w:rsid w:val="F757F522"/>
    <w:rsid w:val="F767E704"/>
    <w:rsid w:val="F77BBB03"/>
    <w:rsid w:val="F77E2FE5"/>
    <w:rsid w:val="F79E13BD"/>
    <w:rsid w:val="F7B70D88"/>
    <w:rsid w:val="F7D3DA06"/>
    <w:rsid w:val="F7EFCBF7"/>
    <w:rsid w:val="F7FE4366"/>
    <w:rsid w:val="F7FEFA16"/>
    <w:rsid w:val="F7FF07F1"/>
    <w:rsid w:val="F7FF0DDF"/>
    <w:rsid w:val="F8BF0B60"/>
    <w:rsid w:val="F8EF71F9"/>
    <w:rsid w:val="F8FB9080"/>
    <w:rsid w:val="F9D7914B"/>
    <w:rsid w:val="F9FFE3FB"/>
    <w:rsid w:val="FA7F78F8"/>
    <w:rsid w:val="FA9F5ED0"/>
    <w:rsid w:val="FAB1EBD0"/>
    <w:rsid w:val="FAFE67D3"/>
    <w:rsid w:val="FAFFD472"/>
    <w:rsid w:val="FB0D257F"/>
    <w:rsid w:val="FB29E3C9"/>
    <w:rsid w:val="FB75C5EB"/>
    <w:rsid w:val="FB7F7357"/>
    <w:rsid w:val="FB7FE1A6"/>
    <w:rsid w:val="FBD3103C"/>
    <w:rsid w:val="FBDBC9DC"/>
    <w:rsid w:val="FBE5A7CA"/>
    <w:rsid w:val="FBFBC54E"/>
    <w:rsid w:val="FBFE4211"/>
    <w:rsid w:val="FBFF07A1"/>
    <w:rsid w:val="FBFF0B67"/>
    <w:rsid w:val="FC8E53AD"/>
    <w:rsid w:val="FC9D7C22"/>
    <w:rsid w:val="FCF5DE50"/>
    <w:rsid w:val="FCF9996C"/>
    <w:rsid w:val="FCFE3302"/>
    <w:rsid w:val="FCFF6981"/>
    <w:rsid w:val="FCFFC48E"/>
    <w:rsid w:val="FD7CF56C"/>
    <w:rsid w:val="FD7F5169"/>
    <w:rsid w:val="FDCFB766"/>
    <w:rsid w:val="FDE59D08"/>
    <w:rsid w:val="FDFBAFD8"/>
    <w:rsid w:val="FDFEE883"/>
    <w:rsid w:val="FDFF382B"/>
    <w:rsid w:val="FDFFAD98"/>
    <w:rsid w:val="FDFFF241"/>
    <w:rsid w:val="FE432140"/>
    <w:rsid w:val="FE4FDED6"/>
    <w:rsid w:val="FE7BC339"/>
    <w:rsid w:val="FE7F01E9"/>
    <w:rsid w:val="FE8685CF"/>
    <w:rsid w:val="FEF23CB2"/>
    <w:rsid w:val="FEF95D59"/>
    <w:rsid w:val="FEFEF229"/>
    <w:rsid w:val="FEFF7A6A"/>
    <w:rsid w:val="FF178369"/>
    <w:rsid w:val="FF30C335"/>
    <w:rsid w:val="FF6E082C"/>
    <w:rsid w:val="FF7253A9"/>
    <w:rsid w:val="FF7FB642"/>
    <w:rsid w:val="FF9F4C04"/>
    <w:rsid w:val="FFAD720E"/>
    <w:rsid w:val="FFB7B6C7"/>
    <w:rsid w:val="FFBB4C09"/>
    <w:rsid w:val="FFBC84D0"/>
    <w:rsid w:val="FFBD7F29"/>
    <w:rsid w:val="FFBDAFF7"/>
    <w:rsid w:val="FFCE10C8"/>
    <w:rsid w:val="FFCF1E89"/>
    <w:rsid w:val="FFDEEEA2"/>
    <w:rsid w:val="FFDF8E6A"/>
    <w:rsid w:val="FFEDAADD"/>
    <w:rsid w:val="FFEF7980"/>
    <w:rsid w:val="FFF55266"/>
    <w:rsid w:val="FFF5CD68"/>
    <w:rsid w:val="FFFDD754"/>
    <w:rsid w:val="FFFF4431"/>
    <w:rsid w:val="FFFF69D6"/>
    <w:rsid w:val="FFFFB4AB"/>
    <w:rsid w:val="FFFFF1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jc w:val="both"/>
    </w:pPr>
    <w:rPr>
      <w:rFonts w:ascii="Times New Roman" w:hAnsi="Times New Roman" w:eastAsia="宋体" w:cstheme="minorBidi"/>
      <w:kern w:val="2"/>
      <w:sz w:val="24"/>
      <w:szCs w:val="22"/>
      <w:lang w:val="en-US" w:eastAsia="zh-CN" w:bidi="ar-SA"/>
    </w:rPr>
  </w:style>
  <w:style w:type="paragraph" w:styleId="2">
    <w:name w:val="heading 1"/>
    <w:basedOn w:val="1"/>
    <w:next w:val="1"/>
    <w:link w:val="38"/>
    <w:qFormat/>
    <w:uiPriority w:val="9"/>
    <w:pPr>
      <w:keepNext/>
      <w:keepLines/>
      <w:numPr>
        <w:ilvl w:val="0"/>
        <w:numId w:val="1"/>
      </w:numPr>
      <w:spacing w:before="120" w:after="80" w:line="600" w:lineRule="exact"/>
      <w:ind w:left="0" w:firstLineChars="0"/>
      <w:outlineLvl w:val="0"/>
    </w:pPr>
    <w:rPr>
      <w:rFonts w:eastAsia="黑体" w:cstheme="majorBidi"/>
      <w:sz w:val="28"/>
      <w:szCs w:val="48"/>
    </w:rPr>
  </w:style>
  <w:style w:type="paragraph" w:styleId="3">
    <w:name w:val="heading 2"/>
    <w:basedOn w:val="2"/>
    <w:next w:val="1"/>
    <w:link w:val="40"/>
    <w:unhideWhenUsed/>
    <w:qFormat/>
    <w:uiPriority w:val="9"/>
    <w:pPr>
      <w:numPr>
        <w:ilvl w:val="1"/>
      </w:numPr>
      <w:outlineLvl w:val="1"/>
    </w:pPr>
    <w:rPr>
      <w:rFonts w:eastAsia="楷体_GB2312"/>
      <w:szCs w:val="40"/>
    </w:rPr>
  </w:style>
  <w:style w:type="paragraph" w:styleId="4">
    <w:name w:val="heading 3"/>
    <w:basedOn w:val="1"/>
    <w:next w:val="1"/>
    <w:link w:val="39"/>
    <w:unhideWhenUsed/>
    <w:qFormat/>
    <w:uiPriority w:val="9"/>
    <w:pPr>
      <w:keepNext/>
      <w:keepLines/>
      <w:numPr>
        <w:ilvl w:val="2"/>
        <w:numId w:val="1"/>
      </w:numPr>
      <w:outlineLvl w:val="2"/>
    </w:pPr>
    <w:rPr>
      <w:rFonts w:eastAsia="仿宋_GB2312" w:cstheme="majorBidi"/>
      <w:szCs w:val="32"/>
    </w:rPr>
  </w:style>
  <w:style w:type="paragraph" w:styleId="5">
    <w:name w:val="heading 4"/>
    <w:basedOn w:val="1"/>
    <w:next w:val="1"/>
    <w:link w:val="41"/>
    <w:unhideWhenUsed/>
    <w:qFormat/>
    <w:uiPriority w:val="9"/>
    <w:pPr>
      <w:keepNext/>
      <w:keepLines/>
      <w:spacing w:line="400" w:lineRule="exact"/>
      <w:outlineLvl w:val="3"/>
    </w:pPr>
    <w:rPr>
      <w:rFonts w:eastAsiaTheme="minorEastAsia" w:cstheme="majorBidi"/>
      <w:color w:val="BF9000" w:themeColor="accent4" w:themeShade="BF"/>
      <w:sz w:val="21"/>
      <w:szCs w:val="28"/>
    </w:rPr>
  </w:style>
  <w:style w:type="paragraph" w:styleId="6">
    <w:name w:val="heading 5"/>
    <w:basedOn w:val="1"/>
    <w:next w:val="1"/>
    <w:link w:val="42"/>
    <w:semiHidden/>
    <w:unhideWhenUsed/>
    <w:qFormat/>
    <w:uiPriority w:val="9"/>
    <w:pPr>
      <w:keepNext/>
      <w:keepLines/>
      <w:spacing w:before="80" w:after="40"/>
      <w:outlineLvl w:val="4"/>
    </w:pPr>
    <w:rPr>
      <w:rFonts w:asciiTheme="minorHAnsi" w:hAnsiTheme="minorHAnsi" w:eastAsiaTheme="minorEastAsia" w:cstheme="majorBidi"/>
      <w:color w:val="2F5597" w:themeColor="accent1" w:themeShade="BF"/>
      <w:szCs w:val="24"/>
    </w:rPr>
  </w:style>
  <w:style w:type="paragraph" w:styleId="7">
    <w:name w:val="heading 6"/>
    <w:basedOn w:val="1"/>
    <w:next w:val="1"/>
    <w:link w:val="43"/>
    <w:semiHidden/>
    <w:unhideWhenUsed/>
    <w:qFormat/>
    <w:uiPriority w:val="9"/>
    <w:pPr>
      <w:keepNext/>
      <w:keepLines/>
      <w:spacing w:before="40"/>
      <w:outlineLvl w:val="5"/>
    </w:pPr>
    <w:rPr>
      <w:rFonts w:asciiTheme="minorHAnsi" w:hAnsiTheme="minorHAnsi" w:eastAsiaTheme="minorEastAsia" w:cstheme="majorBidi"/>
      <w:b/>
      <w:bCs/>
      <w:color w:val="2F5597" w:themeColor="accent1" w:themeShade="BF"/>
    </w:rPr>
  </w:style>
  <w:style w:type="paragraph" w:styleId="8">
    <w:name w:val="heading 7"/>
    <w:basedOn w:val="1"/>
    <w:next w:val="1"/>
    <w:link w:val="44"/>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45"/>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46"/>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30">
    <w:name w:val="Default Paragraph Font"/>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160" w:line="278" w:lineRule="auto"/>
      <w:ind w:left="2520" w:leftChars="1200" w:firstLine="0" w:firstLineChars="0"/>
      <w:jc w:val="left"/>
    </w:pPr>
    <w:rPr>
      <w:rFonts w:asciiTheme="minorHAnsi" w:hAnsiTheme="minorHAnsi" w:eastAsiaTheme="minorEastAsia"/>
      <w:sz w:val="22"/>
      <w:szCs w:val="24"/>
      <w14:ligatures w14:val="standardContextual"/>
    </w:rPr>
  </w:style>
  <w:style w:type="paragraph" w:styleId="12">
    <w:name w:val="table of authorities"/>
    <w:basedOn w:val="1"/>
    <w:next w:val="1"/>
    <w:qFormat/>
    <w:uiPriority w:val="0"/>
    <w:pPr>
      <w:ind w:left="420" w:leftChars="200"/>
    </w:pPr>
    <w:rPr>
      <w:rFonts w:ascii="Calibri" w:hAnsi="Calibri" w:cs="Times New Roman"/>
      <w:sz w:val="32"/>
      <w:szCs w:val="32"/>
    </w:rPr>
  </w:style>
  <w:style w:type="paragraph" w:styleId="13">
    <w:name w:val="annotation text"/>
    <w:basedOn w:val="1"/>
    <w:unhideWhenUsed/>
    <w:qFormat/>
    <w:uiPriority w:val="99"/>
    <w:pPr>
      <w:jc w:val="left"/>
    </w:pPr>
  </w:style>
  <w:style w:type="paragraph" w:styleId="14">
    <w:name w:val="Body Text"/>
    <w:basedOn w:val="1"/>
    <w:qFormat/>
    <w:uiPriority w:val="0"/>
    <w:pPr>
      <w:spacing w:after="120"/>
    </w:pPr>
  </w:style>
  <w:style w:type="paragraph" w:styleId="15">
    <w:name w:val="toc 5"/>
    <w:basedOn w:val="1"/>
    <w:next w:val="1"/>
    <w:unhideWhenUsed/>
    <w:qFormat/>
    <w:uiPriority w:val="39"/>
    <w:pPr>
      <w:spacing w:after="160" w:line="278" w:lineRule="auto"/>
      <w:ind w:left="1680" w:leftChars="800" w:firstLine="0" w:firstLineChars="0"/>
      <w:jc w:val="left"/>
    </w:pPr>
    <w:rPr>
      <w:rFonts w:asciiTheme="minorHAnsi" w:hAnsiTheme="minorHAnsi" w:eastAsiaTheme="minorEastAsia"/>
      <w:sz w:val="22"/>
      <w:szCs w:val="24"/>
      <w14:ligatures w14:val="standardContextual"/>
    </w:rPr>
  </w:style>
  <w:style w:type="paragraph" w:styleId="16">
    <w:name w:val="toc 3"/>
    <w:basedOn w:val="1"/>
    <w:next w:val="1"/>
    <w:unhideWhenUsed/>
    <w:qFormat/>
    <w:uiPriority w:val="39"/>
    <w:pPr>
      <w:spacing w:after="160" w:line="278" w:lineRule="auto"/>
      <w:ind w:left="840" w:leftChars="400" w:firstLine="0" w:firstLineChars="0"/>
      <w:jc w:val="left"/>
    </w:pPr>
    <w:rPr>
      <w:rFonts w:asciiTheme="minorHAnsi" w:hAnsiTheme="minorHAnsi" w:eastAsiaTheme="minorEastAsia"/>
      <w:sz w:val="22"/>
      <w:szCs w:val="24"/>
      <w14:ligatures w14:val="standardContextual"/>
    </w:rPr>
  </w:style>
  <w:style w:type="paragraph" w:styleId="17">
    <w:name w:val="toc 8"/>
    <w:basedOn w:val="1"/>
    <w:next w:val="1"/>
    <w:unhideWhenUsed/>
    <w:qFormat/>
    <w:uiPriority w:val="39"/>
    <w:pPr>
      <w:spacing w:after="160" w:line="278" w:lineRule="auto"/>
      <w:ind w:left="2940" w:leftChars="1400" w:firstLine="0" w:firstLineChars="0"/>
      <w:jc w:val="left"/>
    </w:pPr>
    <w:rPr>
      <w:rFonts w:asciiTheme="minorHAnsi" w:hAnsiTheme="minorHAnsi" w:eastAsiaTheme="minorEastAsia"/>
      <w:sz w:val="22"/>
      <w:szCs w:val="24"/>
      <w14:ligatures w14:val="standardContextual"/>
    </w:rPr>
  </w:style>
  <w:style w:type="paragraph" w:styleId="18">
    <w:name w:val="footer"/>
    <w:basedOn w:val="1"/>
    <w:link w:val="57"/>
    <w:unhideWhenUsed/>
    <w:qFormat/>
    <w:uiPriority w:val="99"/>
    <w:pPr>
      <w:tabs>
        <w:tab w:val="center" w:pos="4153"/>
        <w:tab w:val="right" w:pos="8306"/>
      </w:tabs>
      <w:snapToGrid w:val="0"/>
      <w:spacing w:line="240" w:lineRule="atLeast"/>
      <w:jc w:val="left"/>
    </w:pPr>
    <w:rPr>
      <w:sz w:val="18"/>
      <w:szCs w:val="18"/>
    </w:rPr>
  </w:style>
  <w:style w:type="paragraph" w:styleId="19">
    <w:name w:val="header"/>
    <w:basedOn w:val="1"/>
    <w:link w:val="56"/>
    <w:unhideWhenUsed/>
    <w:qFormat/>
    <w:uiPriority w:val="99"/>
    <w:pPr>
      <w:tabs>
        <w:tab w:val="center" w:pos="4153"/>
        <w:tab w:val="right" w:pos="8306"/>
      </w:tabs>
      <w:snapToGrid w:val="0"/>
      <w:spacing w:line="240" w:lineRule="atLeast"/>
      <w:jc w:val="center"/>
    </w:pPr>
    <w:rPr>
      <w:sz w:val="18"/>
      <w:szCs w:val="18"/>
    </w:rPr>
  </w:style>
  <w:style w:type="paragraph" w:styleId="20">
    <w:name w:val="toc 1"/>
    <w:basedOn w:val="1"/>
    <w:next w:val="1"/>
    <w:unhideWhenUsed/>
    <w:qFormat/>
    <w:uiPriority w:val="39"/>
  </w:style>
  <w:style w:type="paragraph" w:styleId="21">
    <w:name w:val="toc 4"/>
    <w:basedOn w:val="1"/>
    <w:next w:val="1"/>
    <w:unhideWhenUsed/>
    <w:qFormat/>
    <w:uiPriority w:val="39"/>
    <w:pPr>
      <w:spacing w:after="160" w:line="278" w:lineRule="auto"/>
      <w:ind w:left="1260" w:leftChars="600" w:firstLine="0" w:firstLineChars="0"/>
      <w:jc w:val="left"/>
    </w:pPr>
    <w:rPr>
      <w:rFonts w:asciiTheme="minorHAnsi" w:hAnsiTheme="minorHAnsi" w:eastAsiaTheme="minorEastAsia"/>
      <w:sz w:val="22"/>
      <w:szCs w:val="24"/>
      <w14:ligatures w14:val="standardContextual"/>
    </w:rPr>
  </w:style>
  <w:style w:type="paragraph" w:styleId="22">
    <w:name w:val="Subtitle"/>
    <w:basedOn w:val="1"/>
    <w:next w:val="1"/>
    <w:link w:val="4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3">
    <w:name w:val="toc 6"/>
    <w:basedOn w:val="1"/>
    <w:next w:val="1"/>
    <w:unhideWhenUsed/>
    <w:qFormat/>
    <w:uiPriority w:val="39"/>
    <w:pPr>
      <w:spacing w:after="160" w:line="278" w:lineRule="auto"/>
      <w:ind w:left="2100" w:leftChars="1000" w:firstLine="0" w:firstLineChars="0"/>
      <w:jc w:val="left"/>
    </w:pPr>
    <w:rPr>
      <w:rFonts w:asciiTheme="minorHAnsi" w:hAnsiTheme="minorHAnsi" w:eastAsiaTheme="minorEastAsia"/>
      <w:sz w:val="22"/>
      <w:szCs w:val="24"/>
      <w14:ligatures w14:val="standardContextual"/>
    </w:rPr>
  </w:style>
  <w:style w:type="paragraph" w:styleId="24">
    <w:name w:val="toc 2"/>
    <w:basedOn w:val="1"/>
    <w:next w:val="1"/>
    <w:qFormat/>
    <w:uiPriority w:val="39"/>
    <w:pPr>
      <w:tabs>
        <w:tab w:val="right" w:leader="dot" w:pos="8296"/>
      </w:tabs>
      <w:ind w:firstLine="560"/>
    </w:pPr>
  </w:style>
  <w:style w:type="paragraph" w:styleId="25">
    <w:name w:val="toc 9"/>
    <w:basedOn w:val="1"/>
    <w:next w:val="1"/>
    <w:unhideWhenUsed/>
    <w:qFormat/>
    <w:uiPriority w:val="39"/>
    <w:pPr>
      <w:spacing w:after="160" w:line="278" w:lineRule="auto"/>
      <w:ind w:left="3360" w:leftChars="1600" w:firstLine="0" w:firstLineChars="0"/>
      <w:jc w:val="left"/>
    </w:pPr>
    <w:rPr>
      <w:rFonts w:asciiTheme="minorHAnsi" w:hAnsiTheme="minorHAnsi" w:eastAsiaTheme="minorEastAsia"/>
      <w:sz w:val="22"/>
      <w:szCs w:val="24"/>
      <w14:ligatures w14:val="standardContextual"/>
    </w:rPr>
  </w:style>
  <w:style w:type="paragraph" w:styleId="26">
    <w:name w:val="Normal (Web)"/>
    <w:basedOn w:val="1"/>
    <w:semiHidden/>
    <w:unhideWhenUsed/>
    <w:qFormat/>
    <w:uiPriority w:val="99"/>
  </w:style>
  <w:style w:type="paragraph" w:styleId="27">
    <w:name w:val="Title"/>
    <w:basedOn w:val="1"/>
    <w:next w:val="1"/>
    <w:link w:val="4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29">
    <w:name w:val="Table Grid"/>
    <w:basedOn w:val="28"/>
    <w:unhideWhenUsed/>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qFormat/>
    <w:uiPriority w:val="22"/>
    <w:rPr>
      <w:b/>
    </w:rPr>
  </w:style>
  <w:style w:type="character" w:styleId="32">
    <w:name w:val="FollowedHyperlink"/>
    <w:basedOn w:val="30"/>
    <w:semiHidden/>
    <w:unhideWhenUsed/>
    <w:qFormat/>
    <w:uiPriority w:val="99"/>
    <w:rPr>
      <w:color w:val="954F72" w:themeColor="followedHyperlink"/>
      <w:u w:val="single"/>
      <w14:textFill>
        <w14:solidFill>
          <w14:schemeClr w14:val="folHlink"/>
        </w14:solidFill>
      </w14:textFill>
    </w:rPr>
  </w:style>
  <w:style w:type="character" w:styleId="33">
    <w:name w:val="Emphasis"/>
    <w:basedOn w:val="30"/>
    <w:qFormat/>
    <w:uiPriority w:val="20"/>
    <w:rPr>
      <w:i/>
      <w:iCs/>
    </w:rPr>
  </w:style>
  <w:style w:type="character" w:styleId="34">
    <w:name w:val="Hyperlink"/>
    <w:basedOn w:val="30"/>
    <w:unhideWhenUsed/>
    <w:qFormat/>
    <w:uiPriority w:val="99"/>
    <w:rPr>
      <w:color w:val="0563C1" w:themeColor="hyperlink"/>
      <w:u w:val="single"/>
      <w14:textFill>
        <w14:solidFill>
          <w14:schemeClr w14:val="hlink"/>
        </w14:solidFill>
      </w14:textFill>
    </w:rPr>
  </w:style>
  <w:style w:type="character" w:styleId="35">
    <w:name w:val="annotation reference"/>
    <w:basedOn w:val="30"/>
    <w:semiHidden/>
    <w:unhideWhenUsed/>
    <w:qFormat/>
    <w:uiPriority w:val="99"/>
    <w:rPr>
      <w:sz w:val="21"/>
      <w:szCs w:val="21"/>
    </w:rPr>
  </w:style>
  <w:style w:type="paragraph" w:customStyle="1" w:styleId="36">
    <w:name w:val="Default"/>
    <w:qFormat/>
    <w:uiPriority w:val="0"/>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 w:type="paragraph" w:customStyle="1" w:styleId="37">
    <w:name w:val="公文一级标题"/>
    <w:basedOn w:val="1"/>
    <w:qFormat/>
    <w:uiPriority w:val="0"/>
    <w:pPr>
      <w:ind w:firstLine="600"/>
    </w:pPr>
    <w:rPr>
      <w:rFonts w:hint="eastAsia" w:ascii="方正仿宋_GBK" w:hAnsi="方正仿宋_GBK" w:eastAsia="方正黑体_GBK"/>
      <w:sz w:val="30"/>
    </w:rPr>
  </w:style>
  <w:style w:type="character" w:customStyle="1" w:styleId="38">
    <w:name w:val="标题 1 字符"/>
    <w:basedOn w:val="30"/>
    <w:link w:val="2"/>
    <w:qFormat/>
    <w:uiPriority w:val="9"/>
    <w:rPr>
      <w:rFonts w:ascii="Times New Roman" w:hAnsi="Times New Roman" w:eastAsia="黑体" w:cstheme="majorBidi"/>
      <w:sz w:val="28"/>
      <w:szCs w:val="48"/>
    </w:rPr>
  </w:style>
  <w:style w:type="character" w:customStyle="1" w:styleId="39">
    <w:name w:val="标题 3 字符"/>
    <w:basedOn w:val="30"/>
    <w:link w:val="4"/>
    <w:qFormat/>
    <w:uiPriority w:val="9"/>
    <w:rPr>
      <w:rFonts w:ascii="Times New Roman" w:hAnsi="Times New Roman" w:eastAsia="仿宋_GB2312" w:cstheme="majorBidi"/>
      <w:sz w:val="24"/>
      <w:szCs w:val="32"/>
    </w:rPr>
  </w:style>
  <w:style w:type="character" w:customStyle="1" w:styleId="40">
    <w:name w:val="标题 2 字符"/>
    <w:basedOn w:val="30"/>
    <w:link w:val="3"/>
    <w:qFormat/>
    <w:uiPriority w:val="9"/>
    <w:rPr>
      <w:rFonts w:ascii="Times New Roman" w:hAnsi="Times New Roman" w:eastAsia="楷体_GB2312" w:cstheme="majorBidi"/>
      <w:sz w:val="28"/>
      <w:szCs w:val="40"/>
    </w:rPr>
  </w:style>
  <w:style w:type="character" w:customStyle="1" w:styleId="41">
    <w:name w:val="标题 4 字符"/>
    <w:basedOn w:val="30"/>
    <w:link w:val="5"/>
    <w:qFormat/>
    <w:uiPriority w:val="9"/>
    <w:rPr>
      <w:rFonts w:ascii="Times New Roman" w:hAnsi="Times New Roman" w:cstheme="majorBidi"/>
      <w:color w:val="BF9000" w:themeColor="accent4" w:themeShade="BF"/>
      <w:szCs w:val="28"/>
    </w:rPr>
  </w:style>
  <w:style w:type="character" w:customStyle="1" w:styleId="42">
    <w:name w:val="标题 5 字符"/>
    <w:basedOn w:val="30"/>
    <w:link w:val="6"/>
    <w:semiHidden/>
    <w:qFormat/>
    <w:uiPriority w:val="9"/>
    <w:rPr>
      <w:rFonts w:cstheme="majorBidi"/>
      <w:color w:val="2F5597" w:themeColor="accent1" w:themeShade="BF"/>
      <w:sz w:val="24"/>
      <w:szCs w:val="24"/>
    </w:rPr>
  </w:style>
  <w:style w:type="character" w:customStyle="1" w:styleId="43">
    <w:name w:val="标题 6 字符"/>
    <w:basedOn w:val="30"/>
    <w:link w:val="7"/>
    <w:semiHidden/>
    <w:qFormat/>
    <w:uiPriority w:val="9"/>
    <w:rPr>
      <w:rFonts w:cstheme="majorBidi"/>
      <w:b/>
      <w:bCs/>
      <w:color w:val="2F5597" w:themeColor="accent1" w:themeShade="BF"/>
      <w:sz w:val="32"/>
    </w:rPr>
  </w:style>
  <w:style w:type="character" w:customStyle="1" w:styleId="44">
    <w:name w:val="标题 7 字符"/>
    <w:basedOn w:val="30"/>
    <w:link w:val="8"/>
    <w:semiHidden/>
    <w:qFormat/>
    <w:uiPriority w:val="9"/>
    <w:rPr>
      <w:rFonts w:cstheme="majorBidi"/>
      <w:b/>
      <w:bCs/>
      <w:color w:val="595959" w:themeColor="text1" w:themeTint="A6"/>
      <w:sz w:val="32"/>
      <w14:textFill>
        <w14:solidFill>
          <w14:schemeClr w14:val="tx1">
            <w14:lumMod w14:val="65000"/>
            <w14:lumOff w14:val="35000"/>
          </w14:schemeClr>
        </w14:solidFill>
      </w14:textFill>
    </w:rPr>
  </w:style>
  <w:style w:type="character" w:customStyle="1" w:styleId="45">
    <w:name w:val="标题 8 字符"/>
    <w:basedOn w:val="30"/>
    <w:link w:val="9"/>
    <w:semiHidden/>
    <w:qFormat/>
    <w:uiPriority w:val="9"/>
    <w:rPr>
      <w:rFonts w:cstheme="majorBidi"/>
      <w:color w:val="595959" w:themeColor="text1" w:themeTint="A6"/>
      <w:sz w:val="32"/>
      <w14:textFill>
        <w14:solidFill>
          <w14:schemeClr w14:val="tx1">
            <w14:lumMod w14:val="65000"/>
            <w14:lumOff w14:val="35000"/>
          </w14:schemeClr>
        </w14:solidFill>
      </w14:textFill>
    </w:rPr>
  </w:style>
  <w:style w:type="character" w:customStyle="1" w:styleId="46">
    <w:name w:val="标题 9 字符"/>
    <w:basedOn w:val="30"/>
    <w:link w:val="10"/>
    <w:semiHidden/>
    <w:qFormat/>
    <w:uiPriority w:val="9"/>
    <w:rPr>
      <w:rFonts w:eastAsiaTheme="majorEastAsia" w:cstheme="majorBidi"/>
      <w:color w:val="595959" w:themeColor="text1" w:themeTint="A6"/>
      <w:sz w:val="32"/>
      <w14:textFill>
        <w14:solidFill>
          <w14:schemeClr w14:val="tx1">
            <w14:lumMod w14:val="65000"/>
            <w14:lumOff w14:val="35000"/>
          </w14:schemeClr>
        </w14:solidFill>
      </w14:textFill>
    </w:rPr>
  </w:style>
  <w:style w:type="character" w:customStyle="1" w:styleId="47">
    <w:name w:val="标题 字符"/>
    <w:basedOn w:val="30"/>
    <w:link w:val="27"/>
    <w:qFormat/>
    <w:uiPriority w:val="10"/>
    <w:rPr>
      <w:rFonts w:asciiTheme="majorHAnsi" w:hAnsiTheme="majorHAnsi" w:eastAsiaTheme="majorEastAsia" w:cstheme="majorBidi"/>
      <w:spacing w:val="-10"/>
      <w:kern w:val="28"/>
      <w:sz w:val="56"/>
      <w:szCs w:val="56"/>
    </w:rPr>
  </w:style>
  <w:style w:type="character" w:customStyle="1" w:styleId="48">
    <w:name w:val="副标题 字符"/>
    <w:basedOn w:val="30"/>
    <w:link w:val="22"/>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49">
    <w:name w:val="Quote"/>
    <w:basedOn w:val="1"/>
    <w:next w:val="1"/>
    <w:link w:val="5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50">
    <w:name w:val="引用 字符"/>
    <w:basedOn w:val="30"/>
    <w:link w:val="49"/>
    <w:qFormat/>
    <w:uiPriority w:val="29"/>
    <w:rPr>
      <w:rFonts w:ascii="Times New Roman" w:hAnsi="Times New Roman" w:eastAsia="仿宋_GB2312"/>
      <w:i/>
      <w:iCs/>
      <w:color w:val="404040" w:themeColor="text1" w:themeTint="BF"/>
      <w:sz w:val="32"/>
      <w14:textFill>
        <w14:solidFill>
          <w14:schemeClr w14:val="tx1">
            <w14:lumMod w14:val="75000"/>
            <w14:lumOff w14:val="25000"/>
          </w14:schemeClr>
        </w14:solidFill>
      </w14:textFill>
    </w:rPr>
  </w:style>
  <w:style w:type="paragraph" w:styleId="51">
    <w:name w:val="List Paragraph"/>
    <w:basedOn w:val="1"/>
    <w:qFormat/>
    <w:uiPriority w:val="34"/>
    <w:pPr>
      <w:ind w:left="720"/>
      <w:contextualSpacing/>
    </w:pPr>
  </w:style>
  <w:style w:type="character" w:customStyle="1" w:styleId="52">
    <w:name w:val="明显强调1"/>
    <w:basedOn w:val="30"/>
    <w:qFormat/>
    <w:uiPriority w:val="21"/>
    <w:rPr>
      <w:i/>
      <w:iCs/>
      <w:color w:val="2F5597" w:themeColor="accent1" w:themeShade="BF"/>
    </w:rPr>
  </w:style>
  <w:style w:type="paragraph" w:styleId="53">
    <w:name w:val="Intense Quote"/>
    <w:basedOn w:val="1"/>
    <w:next w:val="1"/>
    <w:link w:val="5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54">
    <w:name w:val="明显引用 字符"/>
    <w:basedOn w:val="30"/>
    <w:link w:val="53"/>
    <w:qFormat/>
    <w:uiPriority w:val="30"/>
    <w:rPr>
      <w:rFonts w:ascii="Times New Roman" w:hAnsi="Times New Roman" w:eastAsia="仿宋_GB2312"/>
      <w:i/>
      <w:iCs/>
      <w:color w:val="2F5597" w:themeColor="accent1" w:themeShade="BF"/>
      <w:sz w:val="32"/>
    </w:rPr>
  </w:style>
  <w:style w:type="character" w:customStyle="1" w:styleId="55">
    <w:name w:val="明显参考1"/>
    <w:basedOn w:val="30"/>
    <w:qFormat/>
    <w:uiPriority w:val="32"/>
    <w:rPr>
      <w:b/>
      <w:bCs/>
      <w:smallCaps/>
      <w:color w:val="2F5597" w:themeColor="accent1" w:themeShade="BF"/>
      <w:spacing w:val="5"/>
    </w:rPr>
  </w:style>
  <w:style w:type="character" w:customStyle="1" w:styleId="56">
    <w:name w:val="页眉 字符"/>
    <w:basedOn w:val="30"/>
    <w:link w:val="19"/>
    <w:qFormat/>
    <w:uiPriority w:val="99"/>
    <w:rPr>
      <w:rFonts w:ascii="Times New Roman" w:hAnsi="Times New Roman" w:eastAsia="仿宋_GB2312"/>
      <w:sz w:val="18"/>
      <w:szCs w:val="18"/>
    </w:rPr>
  </w:style>
  <w:style w:type="character" w:customStyle="1" w:styleId="57">
    <w:name w:val="页脚 字符"/>
    <w:basedOn w:val="30"/>
    <w:link w:val="18"/>
    <w:qFormat/>
    <w:uiPriority w:val="99"/>
    <w:rPr>
      <w:rFonts w:ascii="Times New Roman" w:hAnsi="Times New Roman" w:eastAsia="仿宋_GB2312"/>
      <w:sz w:val="18"/>
      <w:szCs w:val="18"/>
    </w:rPr>
  </w:style>
  <w:style w:type="character" w:customStyle="1" w:styleId="58">
    <w:name w:val="不明显强调1"/>
    <w:basedOn w:val="30"/>
    <w:qFormat/>
    <w:uiPriority w:val="19"/>
    <w:rPr>
      <w:i/>
      <w:iCs/>
      <w:color w:val="404040" w:themeColor="text1" w:themeTint="BF"/>
      <w14:textFill>
        <w14:solidFill>
          <w14:schemeClr w14:val="tx1">
            <w14:lumMod w14:val="75000"/>
            <w14:lumOff w14:val="25000"/>
          </w14:schemeClr>
        </w14:solidFill>
      </w14:textFill>
    </w:rPr>
  </w:style>
  <w:style w:type="paragraph" w:customStyle="1" w:styleId="59">
    <w:name w:val="修订1"/>
    <w:hidden/>
    <w:unhideWhenUsed/>
    <w:qFormat/>
    <w:uiPriority w:val="99"/>
    <w:rPr>
      <w:rFonts w:ascii="Times New Roman" w:hAnsi="Times New Roman" w:eastAsia="宋体" w:cstheme="minorBidi"/>
      <w:kern w:val="2"/>
      <w:sz w:val="24"/>
      <w:szCs w:val="22"/>
      <w:lang w:val="en-US" w:eastAsia="zh-CN" w:bidi="ar-SA"/>
    </w:rPr>
  </w:style>
  <w:style w:type="paragraph" w:customStyle="1" w:styleId="60">
    <w:name w:val="章"/>
    <w:basedOn w:val="2"/>
    <w:qFormat/>
    <w:uiPriority w:val="0"/>
    <w:pPr>
      <w:numPr>
        <w:numId w:val="0"/>
      </w:numPr>
      <w:spacing w:before="0" w:after="0" w:line="240" w:lineRule="auto"/>
      <w:outlineLvl w:val="1"/>
    </w:pPr>
    <w:rPr>
      <w:rFonts w:eastAsia="楷体" w:asciiTheme="majorHAnsi" w:hAnsiTheme="majorHAnsi"/>
      <w:b/>
      <w:sz w:val="30"/>
    </w:rPr>
  </w:style>
  <w:style w:type="paragraph" w:customStyle="1" w:styleId="61">
    <w:name w:val="篇"/>
    <w:basedOn w:val="1"/>
    <w:link w:val="62"/>
    <w:qFormat/>
    <w:uiPriority w:val="0"/>
    <w:pPr>
      <w:spacing w:after="160" w:line="360" w:lineRule="auto"/>
      <w:ind w:firstLine="640"/>
      <w:outlineLvl w:val="0"/>
    </w:pPr>
    <w:rPr>
      <w:rFonts w:ascii="黑体" w:hAnsi="黑体" w:eastAsia="黑体" w:cs="Times New Roman"/>
      <w:sz w:val="32"/>
      <w:szCs w:val="32"/>
    </w:rPr>
  </w:style>
  <w:style w:type="character" w:customStyle="1" w:styleId="62">
    <w:name w:val="篇 字符"/>
    <w:basedOn w:val="30"/>
    <w:link w:val="61"/>
    <w:qFormat/>
    <w:uiPriority w:val="0"/>
    <w:rPr>
      <w:rFonts w:ascii="黑体" w:hAnsi="黑体" w:eastAsia="黑体" w:cs="Times New Roman"/>
      <w:kern w:val="2"/>
      <w:sz w:val="32"/>
      <w:szCs w:val="32"/>
    </w:rPr>
  </w:style>
  <w:style w:type="paragraph" w:customStyle="1" w:styleId="63">
    <w:name w:val="Normal Indent1"/>
    <w:basedOn w:val="1"/>
    <w:next w:val="1"/>
    <w:qFormat/>
    <w:uiPriority w:val="0"/>
    <w:pPr>
      <w:ind w:firstLine="420"/>
    </w:pPr>
    <w:rPr>
      <w:rFonts w:cs="Times New Roman"/>
    </w:rPr>
  </w:style>
  <w:style w:type="paragraph" w:customStyle="1" w:styleId="64">
    <w:name w:val="二级标题"/>
    <w:basedOn w:val="3"/>
    <w:qFormat/>
    <w:uiPriority w:val="0"/>
    <w:pPr>
      <w:spacing w:before="312" w:beforeLines="100" w:after="312" w:afterLines="100" w:line="240" w:lineRule="auto"/>
      <w:ind w:firstLine="640"/>
      <w:jc w:val="center"/>
    </w:pPr>
    <w:rPr>
      <w:color w:val="000000" w:themeColor="text1"/>
      <w:sz w:val="32"/>
      <w:szCs w:val="32"/>
      <w14:textFill>
        <w14:solidFill>
          <w14:schemeClr w14:val="tx1"/>
        </w14:solidFill>
      </w14:textFill>
    </w:rPr>
  </w:style>
  <w:style w:type="paragraph" w:customStyle="1" w:styleId="65">
    <w:name w:val="NOTE_Normal"/>
    <w:basedOn w:val="1"/>
    <w:qFormat/>
    <w:uiPriority w:val="0"/>
  </w:style>
  <w:style w:type="table" w:customStyle="1" w:styleId="66">
    <w:name w:val="网格型6"/>
    <w:basedOn w:val="2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olor w:val="2F5597" w:themeColor="accent1" w:themeShade="BF"/>
      <w:kern w:val="0"/>
      <w:szCs w:val="28"/>
    </w:rPr>
  </w:style>
  <w:style w:type="character" w:customStyle="1" w:styleId="68">
    <w:name w:val="未处理的提及1"/>
    <w:basedOn w:val="30"/>
    <w:semiHidden/>
    <w:unhideWhenUsed/>
    <w:qFormat/>
    <w:uiPriority w:val="99"/>
    <w:rPr>
      <w:color w:val="605E5C"/>
      <w:shd w:val="clear" w:color="auto" w:fill="E1DFDD"/>
    </w:rPr>
  </w:style>
  <w:style w:type="paragraph" w:customStyle="1" w:styleId="69">
    <w:name w:val="修订2"/>
    <w:hidden/>
    <w:unhideWhenUsed/>
    <w:qFormat/>
    <w:uiPriority w:val="99"/>
    <w:rPr>
      <w:rFonts w:ascii="Times New Roman" w:hAnsi="Times New Roman" w:eastAsia="宋体" w:cstheme="minorBidi"/>
      <w:kern w:val="2"/>
      <w:sz w:val="24"/>
      <w:szCs w:val="22"/>
      <w:lang w:val="en-US" w:eastAsia="zh-CN" w:bidi="ar-SA"/>
    </w:rPr>
  </w:style>
  <w:style w:type="paragraph" w:customStyle="1" w:styleId="70">
    <w:name w:val="p1"/>
    <w:basedOn w:val="1"/>
    <w:qFormat/>
    <w:uiPriority w:val="0"/>
    <w:pPr>
      <w:jc w:val="left"/>
    </w:pPr>
    <w:rPr>
      <w:rFonts w:ascii="Wingdings 3" w:hAnsi="Wingdings 3" w:eastAsia="Wingdings 3" w:cs="Times New Roman"/>
      <w:kern w:val="0"/>
      <w:sz w:val="26"/>
      <w:szCs w:val="26"/>
    </w:rPr>
  </w:style>
  <w:style w:type="paragraph" w:customStyle="1" w:styleId="71">
    <w:name w:val="修订3"/>
    <w:hidden/>
    <w:unhideWhenUsed/>
    <w:qFormat/>
    <w:uiPriority w:val="99"/>
    <w:rPr>
      <w:rFonts w:ascii="Times New Roman" w:hAnsi="Times New Roman" w:eastAsia="宋体" w:cstheme="minorBidi"/>
      <w:kern w:val="2"/>
      <w:sz w:val="24"/>
      <w:szCs w:val="22"/>
      <w:lang w:val="en-US" w:eastAsia="zh-CN" w:bidi="ar-SA"/>
    </w:rPr>
  </w:style>
  <w:style w:type="paragraph" w:customStyle="1" w:styleId="72">
    <w:name w:val="修订4"/>
    <w:hidden/>
    <w:unhideWhenUsed/>
    <w:qFormat/>
    <w:uiPriority w:val="99"/>
    <w:rPr>
      <w:rFonts w:ascii="Times New Roman" w:hAnsi="Times New Roman" w:eastAsia="宋体" w:cstheme="minorBidi"/>
      <w:kern w:val="2"/>
      <w:sz w:val="24"/>
      <w:szCs w:val="22"/>
      <w:lang w:val="en-US" w:eastAsia="zh-CN" w:bidi="ar-SA"/>
    </w:rPr>
  </w:style>
  <w:style w:type="paragraph" w:customStyle="1" w:styleId="73">
    <w:name w:val="修订5"/>
    <w:hidden/>
    <w:unhideWhenUsed/>
    <w:qFormat/>
    <w:uiPriority w:val="99"/>
    <w:rPr>
      <w:rFonts w:ascii="Times New Roman" w:hAnsi="Times New Roman" w:eastAsia="宋体" w:cstheme="minorBidi"/>
      <w:kern w:val="2"/>
      <w:sz w:val="24"/>
      <w:szCs w:val="22"/>
      <w:lang w:val="en-US" w:eastAsia="zh-CN" w:bidi="ar-SA"/>
    </w:rPr>
  </w:style>
  <w:style w:type="paragraph" w:customStyle="1" w:styleId="74">
    <w:name w:val="修订6"/>
    <w:hidden/>
    <w:unhideWhenUsed/>
    <w:qFormat/>
    <w:uiPriority w:val="99"/>
    <w:rPr>
      <w:rFonts w:ascii="Times New Roman" w:hAnsi="Times New Roman" w:eastAsia="宋体" w:cstheme="minorBidi"/>
      <w:kern w:val="2"/>
      <w:sz w:val="24"/>
      <w:szCs w:val="22"/>
      <w:lang w:val="en-US" w:eastAsia="zh-CN" w:bidi="ar-SA"/>
    </w:rPr>
  </w:style>
  <w:style w:type="paragraph" w:customStyle="1" w:styleId="75">
    <w:name w:val="修订7"/>
    <w:hidden/>
    <w:unhideWhenUsed/>
    <w:qFormat/>
    <w:uiPriority w:val="99"/>
    <w:rPr>
      <w:rFonts w:ascii="Times New Roman" w:hAnsi="Times New Roman" w:eastAsia="宋体" w:cstheme="minorBidi"/>
      <w:kern w:val="2"/>
      <w:sz w:val="24"/>
      <w:szCs w:val="22"/>
      <w:lang w:val="en-US" w:eastAsia="zh-CN" w:bidi="ar-SA"/>
    </w:rPr>
  </w:style>
  <w:style w:type="character" w:customStyle="1" w:styleId="76">
    <w:name w:val="未处理的提及2"/>
    <w:basedOn w:val="30"/>
    <w:semiHidden/>
    <w:unhideWhenUsed/>
    <w:qFormat/>
    <w:uiPriority w:val="99"/>
    <w:rPr>
      <w:color w:val="605E5C"/>
      <w:shd w:val="clear" w:color="auto" w:fill="E1DFDD"/>
    </w:rPr>
  </w:style>
  <w:style w:type="paragraph" w:customStyle="1" w:styleId="77">
    <w:name w:val="修订8"/>
    <w:hidden/>
    <w:unhideWhenUsed/>
    <w:qFormat/>
    <w:uiPriority w:val="99"/>
    <w:rPr>
      <w:rFonts w:ascii="Times New Roman" w:hAnsi="Times New Roman" w:eastAsia="宋体" w:cstheme="minorBidi"/>
      <w:kern w:val="2"/>
      <w:sz w:val="24"/>
      <w:szCs w:val="22"/>
      <w:lang w:val="en-US" w:eastAsia="zh-CN" w:bidi="ar-SA"/>
    </w:rPr>
  </w:style>
  <w:style w:type="paragraph" w:customStyle="1" w:styleId="78">
    <w:name w:val="修订9"/>
    <w:hidden/>
    <w:unhideWhenUsed/>
    <w:qFormat/>
    <w:uiPriority w:val="99"/>
    <w:rPr>
      <w:rFonts w:ascii="Times New Roman" w:hAnsi="Times New Roman" w:eastAsia="宋体" w:cstheme="minorBidi"/>
      <w:kern w:val="2"/>
      <w:sz w:val="24"/>
      <w:szCs w:val="22"/>
      <w:lang w:val="en-US" w:eastAsia="zh-CN" w:bidi="ar-SA"/>
    </w:rPr>
  </w:style>
  <w:style w:type="paragraph" w:customStyle="1" w:styleId="79">
    <w:name w:val="修订10"/>
    <w:hidden/>
    <w:unhideWhenUsed/>
    <w:qFormat/>
    <w:uiPriority w:val="99"/>
    <w:rPr>
      <w:rFonts w:ascii="Times New Roman" w:hAnsi="Times New Roman" w:eastAsia="宋体" w:cstheme="minorBidi"/>
      <w:kern w:val="2"/>
      <w:sz w:val="24"/>
      <w:szCs w:val="22"/>
      <w:lang w:val="en-US" w:eastAsia="zh-CN" w:bidi="ar-SA"/>
    </w:rPr>
  </w:style>
  <w:style w:type="paragraph" w:customStyle="1" w:styleId="80">
    <w:name w:val="修订11"/>
    <w:hidden/>
    <w:unhideWhenUsed/>
    <w:qFormat/>
    <w:uiPriority w:val="99"/>
    <w:rPr>
      <w:rFonts w:ascii="Times New Roman" w:hAnsi="Times New Roman" w:eastAsia="宋体" w:cstheme="minorBidi"/>
      <w:kern w:val="2"/>
      <w:sz w:val="24"/>
      <w:szCs w:val="22"/>
      <w:lang w:val="en-US" w:eastAsia="zh-CN" w:bidi="ar-SA"/>
    </w:rPr>
  </w:style>
  <w:style w:type="paragraph" w:customStyle="1" w:styleId="81">
    <w:name w:val="修订12"/>
    <w:hidden/>
    <w:unhideWhenUsed/>
    <w:qFormat/>
    <w:uiPriority w:val="99"/>
    <w:rPr>
      <w:rFonts w:ascii="Times New Roman" w:hAnsi="Times New Roman" w:eastAsia="宋体" w:cstheme="minorBidi"/>
      <w:kern w:val="2"/>
      <w:sz w:val="24"/>
      <w:szCs w:val="22"/>
      <w:lang w:val="en-US" w:eastAsia="zh-CN" w:bidi="ar-SA"/>
    </w:rPr>
  </w:style>
  <w:style w:type="paragraph" w:customStyle="1" w:styleId="82">
    <w:name w:val="Revision"/>
    <w:hidden/>
    <w:unhideWhenUsed/>
    <w:qFormat/>
    <w:uiPriority w:val="99"/>
    <w:rPr>
      <w:rFonts w:ascii="Times New Roman" w:hAnsi="Times New Roman" w:eastAsia="宋体" w:cstheme="minorBidi"/>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theme" Target="theme/theme1.xml"/><Relationship Id="rId26" Type="http://schemas.openxmlformats.org/officeDocument/2006/relationships/footer" Target="footer12.xml"/><Relationship Id="rId25" Type="http://schemas.openxmlformats.org/officeDocument/2006/relationships/footer" Target="footer11.xml"/><Relationship Id="rId24" Type="http://schemas.openxmlformats.org/officeDocument/2006/relationships/footer" Target="footer10.xml"/><Relationship Id="rId23" Type="http://schemas.openxmlformats.org/officeDocument/2006/relationships/footer" Target="footer9.xml"/><Relationship Id="rId22" Type="http://schemas.openxmlformats.org/officeDocument/2006/relationships/header" Target="header10.xml"/><Relationship Id="rId21" Type="http://schemas.openxmlformats.org/officeDocument/2006/relationships/header" Target="head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footer" Target="footer7.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104</Pages>
  <Words>57542</Words>
  <Characters>58079</Characters>
  <Lines>13380</Lines>
  <Paragraphs>9343</Paragraphs>
  <TotalTime>50</TotalTime>
  <ScaleCrop>false</ScaleCrop>
  <LinksUpToDate>false</LinksUpToDate>
  <CharactersWithSpaces>58963</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2025-12-25T04:44:00Z</dcterms:created>
  <dc:creator>user</dc:creator>
  <cp:lastModifiedBy>WW</cp:lastModifiedBy>
  <cp:lastPrinted>2026-01-18T22:36:00Z</cp:lastPrinted>
  <dcterms:modified xsi:type="dcterms:W3CDTF">2026-08-28T10:04:18Z</dcterms:modified>
  <cp:revision>131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eyJoZGlkIjoiMmEwY2IxNDRmYzg2OTdhOGZiNjRhMmU2NWEzZTFlMDMiLCJ1c2VySWQiOiIzOTc2NDg1MTQifQ==</vt:lpwstr>
  </property>
  <property fmtid="{D5CDD505-2E9C-101B-9397-08002B2CF9AE}" pid="3" name="KSOProductBuildVer">
    <vt:lpwstr>2052-12.1.25895.25895</vt:lpwstr>
  </property>
  <property fmtid="{D5CDD505-2E9C-101B-9397-08002B2CF9AE}" pid="4" name="ICV">
    <vt:lpwstr>7E18A05BF3E287E7A2EC906A1167A9E8_43</vt:lpwstr>
  </property>
</Properties>
</file>